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D910" w14:textId="77777777" w:rsidR="00FD3C85" w:rsidRPr="00697017" w:rsidRDefault="00FD3C85" w:rsidP="00FD3C85">
      <w:pPr>
        <w:pStyle w:val="Title"/>
        <w:pBdr>
          <w:bottom w:val="single" w:sz="8" w:space="0" w:color="5B9BD5"/>
        </w:pBdr>
        <w:spacing w:before="120" w:after="0" w:line="276" w:lineRule="auto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14:paraId="4C8A1590" w14:textId="77777777" w:rsidR="00DA5F0A" w:rsidRPr="00DB2EA1" w:rsidRDefault="0074067A" w:rsidP="0074067A">
      <w:pPr>
        <w:pStyle w:val="Heading1"/>
        <w:spacing w:before="240" w:after="120"/>
        <w:jc w:val="center"/>
        <w:rPr>
          <w:color w:val="auto"/>
          <w:rFonts w:ascii="Arial" w:hAnsi="Arial" w:cs="Arial"/>
        </w:rPr>
      </w:pPr>
      <w:r>
        <w:rPr>
          <w:color w:val="auto"/>
          <w:rFonts w:ascii="Arial" w:hAnsi="Arial"/>
        </w:rPr>
        <w:t xml:space="preserve">Prvi deo</w:t>
      </w:r>
    </w:p>
    <w:p w14:paraId="686A0EDA" w14:textId="6D6EAA92" w:rsidR="0074067A" w:rsidRPr="00DB2EA1" w:rsidRDefault="0074067A" w:rsidP="00DB2EA1">
      <w:pPr>
        <w:pStyle w:val="ListParagraph"/>
        <w:numPr>
          <w:ilvl w:val="0"/>
          <w:numId w:val="2"/>
        </w:numPr>
        <w:spacing w:before="200" w:after="120"/>
        <w:ind w:hanging="250"/>
        <w:rPr>
          <w:b/>
          <w:sz w:val="24"/>
          <w:szCs w:val="24"/>
          <w:rFonts w:cs="Arial"/>
        </w:rPr>
      </w:pPr>
      <w:r>
        <w:rPr>
          <w:b/>
          <w:sz w:val="24"/>
        </w:rPr>
        <w:t xml:space="preserve">OPŠTE INFORMACIJE</w:t>
      </w:r>
    </w:p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3582"/>
        <w:gridCol w:w="5345"/>
      </w:tblGrid>
      <w:tr w:rsidR="001C4C77" w:rsidRPr="001C4C77" w14:paraId="0009BE8E" w14:textId="77777777" w:rsidTr="00937F8B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89D5B" w14:textId="77777777" w:rsidR="001C4C77" w:rsidRPr="001C4C77" w:rsidRDefault="001C4C77" w:rsidP="001C4C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5EE" w14:textId="745CC710" w:rsidR="001C4C77" w:rsidRPr="00FD3C85" w:rsidRDefault="00BB6077" w:rsidP="00F10CA5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Prištinska obilaznica, 19 km</w:t>
            </w:r>
          </w:p>
        </w:tc>
      </w:tr>
      <w:tr w:rsidR="00BB6077" w:rsidRPr="001C4C77" w14:paraId="116E4018" w14:textId="77777777" w:rsidTr="00937F8B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00111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947B" w14:textId="7C2028B1" w:rsidR="00BB6077" w:rsidRPr="00FD3C85" w:rsidRDefault="00BB6077" w:rsidP="00BB607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BB6077" w:rsidRPr="001C4C77" w14:paraId="00740316" w14:textId="77777777" w:rsidTr="00937F8B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DA179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71C" w14:textId="782CDCA1" w:rsidR="00BB6077" w:rsidRPr="00FD3C85" w:rsidRDefault="00BB6077" w:rsidP="00BB607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BB6077" w:rsidRPr="001C4C77" w14:paraId="3899BC56" w14:textId="77777777" w:rsidTr="00937F8B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70229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7D5E" w14:textId="2D36C764" w:rsidR="00EC0CD1" w:rsidRPr="00FD3C85" w:rsidRDefault="00B36E17" w:rsidP="00BB607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infrastrukture;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Opština Priština</w:t>
            </w:r>
          </w:p>
          <w:p w14:paraId="0B0ACE51" w14:textId="68BEC5F1" w:rsidR="0030074C" w:rsidRPr="00FD3C85" w:rsidRDefault="0030074C" w:rsidP="00BB607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Direkcija za kapitalne investicije i upravljanje ugovorima</w:t>
            </w:r>
          </w:p>
        </w:tc>
      </w:tr>
      <w:tr w:rsidR="00BB6077" w:rsidRPr="001C4C77" w14:paraId="739BD495" w14:textId="77777777" w:rsidTr="00937F8B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B963F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B6B" w14:textId="6DAC665A" w:rsidR="00BB6077" w:rsidRPr="00FD3C85" w:rsidRDefault="00FD3C85" w:rsidP="00FD3C85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Opština Priština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BB6077" w:rsidRPr="001C4C77" w14:paraId="1B88017D" w14:textId="77777777" w:rsidTr="0030074C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75D21" w14:textId="63760FB1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91A" w14:textId="49928A5D" w:rsidR="00721278" w:rsidRPr="00721278" w:rsidRDefault="00B90398" w:rsidP="00B90398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drawing>
                <wp:anchor distT="0" distB="0" distL="114300" distR="114300" simplePos="0" relativeHeight="251667456" behindDoc="0" locked="0" layoutInCell="1" allowOverlap="1" wp14:anchorId="10392F6B" wp14:editId="5D44E2BC">
                  <wp:simplePos x="0" y="0"/>
                  <wp:positionH relativeFrom="margin">
                    <wp:posOffset>77470</wp:posOffset>
                  </wp:positionH>
                  <wp:positionV relativeFrom="margin">
                    <wp:posOffset>2631440</wp:posOffset>
                  </wp:positionV>
                  <wp:extent cx="3195320" cy="2965450"/>
                  <wp:effectExtent l="0" t="0" r="5080" b="635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20" cy="296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rFonts w:ascii="Arial" w:hAnsi="Arial"/>
              </w:rPr>
              <w:drawing>
                <wp:anchor distT="0" distB="0" distL="114300" distR="114300" simplePos="0" relativeHeight="251665408" behindDoc="1" locked="0" layoutInCell="1" allowOverlap="1" wp14:anchorId="7ED19BDB" wp14:editId="68A1B30D">
                  <wp:simplePos x="0" y="0"/>
                  <wp:positionH relativeFrom="margin">
                    <wp:posOffset>22225</wp:posOffset>
                  </wp:positionH>
                  <wp:positionV relativeFrom="margin">
                    <wp:posOffset>-8255</wp:posOffset>
                  </wp:positionV>
                  <wp:extent cx="3194050" cy="2576195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39"/>
                          <a:stretch/>
                        </pic:blipFill>
                        <pic:spPr bwMode="auto">
                          <a:xfrm>
                            <a:off x="0" y="0"/>
                            <a:ext cx="3194050" cy="257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6077" w:rsidRPr="001C4C77" w14:paraId="6237355D" w14:textId="77777777" w:rsidTr="00937F8B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DD421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procenjena investicija:</w:t>
            </w:r>
          </w:p>
          <w:p w14:paraId="66AFC6E9" w14:textId="77777777" w:rsidR="00BB6077" w:rsidRPr="001C4C77" w:rsidRDefault="00BB6077" w:rsidP="00736F3D">
            <w:pPr>
              <w:numPr>
                <w:ilvl w:val="0"/>
                <w:numId w:val="7"/>
              </w:numPr>
              <w:tabs>
                <w:tab w:val="num" w:pos="360"/>
              </w:tabs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14:paraId="006EB915" w14:textId="77777777" w:rsidR="00BB6077" w:rsidRPr="001C4C77" w:rsidRDefault="00BB6077" w:rsidP="00736F3D">
            <w:pPr>
              <w:numPr>
                <w:ilvl w:val="0"/>
                <w:numId w:val="7"/>
              </w:numPr>
              <w:tabs>
                <w:tab w:val="num" w:pos="360"/>
              </w:tabs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Građevinski radovi</w:t>
            </w:r>
          </w:p>
          <w:p w14:paraId="32BF0557" w14:textId="77777777" w:rsidR="00BB6077" w:rsidRPr="001C4C77" w:rsidRDefault="00BB6077" w:rsidP="00736F3D">
            <w:pPr>
              <w:numPr>
                <w:ilvl w:val="0"/>
                <w:numId w:val="7"/>
              </w:numPr>
              <w:tabs>
                <w:tab w:val="num" w:pos="360"/>
              </w:tabs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Nadzor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AAEF" w14:textId="7C13DE5B" w:rsidR="007E0605" w:rsidRPr="002F0EF2" w:rsidRDefault="002F0EF2" w:rsidP="00E8554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bookmarkStart w:id="1" w:name="_Hlk125459938"/>
            <w:r>
              <w:rPr>
                <w:sz w:val="20"/>
                <w:rFonts w:ascii="Arial" w:hAnsi="Arial"/>
              </w:rPr>
              <w:t xml:space="preserve">Ukupna procenjena investicija: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386.050.000 EUR</w:t>
            </w:r>
          </w:p>
          <w:p w14:paraId="628A18D6" w14:textId="77777777" w:rsidR="00E85547" w:rsidRPr="00FD3C85" w:rsidRDefault="00E85547" w:rsidP="00E85547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14:paraId="66E7A767" w14:textId="6EC1EF60" w:rsidR="00E85547" w:rsidRPr="00FD3C85" w:rsidRDefault="00E85547" w:rsidP="00B90398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360"/>
                <w:tab w:val="num" w:pos="446"/>
              </w:tabs>
              <w:spacing w:before="60" w:after="60" w:line="260" w:lineRule="atLeast"/>
              <w:ind w:left="356" w:hanging="356"/>
              <w:rPr>
                <w:szCs w:val="20"/>
                <w:rFonts w:eastAsiaTheme="majorEastAsia" w:cs="Arial"/>
              </w:rPr>
            </w:pPr>
            <w:r>
              <w:t xml:space="preserve">Pripremne aktivnosti: (bez eksproprijacije):</w:t>
            </w:r>
            <w:r>
              <w:t xml:space="preserve"> </w:t>
            </w:r>
            <w:r>
              <w:t xml:space="preserve">120.000.000 EUR</w:t>
            </w:r>
          </w:p>
          <w:p w14:paraId="600DF634" w14:textId="56227A2F" w:rsidR="00E85547" w:rsidRPr="00FD3C85" w:rsidRDefault="00E85547" w:rsidP="00736F3D">
            <w:pPr>
              <w:pStyle w:val="ListParagraph"/>
              <w:numPr>
                <w:ilvl w:val="0"/>
                <w:numId w:val="8"/>
              </w:numPr>
              <w:tabs>
                <w:tab w:val="num" w:pos="360"/>
              </w:tabs>
              <w:spacing w:before="60" w:after="60" w:line="260" w:lineRule="atLeast"/>
              <w:rPr>
                <w:szCs w:val="20"/>
                <w:rFonts w:eastAsiaTheme="majorEastAsia" w:cs="Arial"/>
              </w:rPr>
            </w:pPr>
            <w:r>
              <w:t xml:space="preserve">Građevinski radovi:</w:t>
            </w:r>
            <w:r>
              <w:t xml:space="preserve"> </w:t>
            </w:r>
            <w:r>
              <w:t xml:space="preserve">260.000.000 EUR</w:t>
            </w:r>
            <w:r>
              <w:t xml:space="preserve">  </w:t>
            </w:r>
          </w:p>
          <w:p w14:paraId="653CA29C" w14:textId="7DAF66EC" w:rsidR="00BB6077" w:rsidRPr="00FD3C85" w:rsidRDefault="00E85547" w:rsidP="00BB6077">
            <w:pPr>
              <w:pStyle w:val="ListParagraph"/>
              <w:numPr>
                <w:ilvl w:val="0"/>
                <w:numId w:val="8"/>
              </w:numPr>
              <w:tabs>
                <w:tab w:val="num" w:pos="360"/>
              </w:tabs>
              <w:spacing w:before="60" w:after="60" w:line="260" w:lineRule="atLeast"/>
              <w:rPr>
                <w:szCs w:val="20"/>
                <w:rFonts w:eastAsiaTheme="majorEastAsia" w:cs="Arial"/>
              </w:rPr>
            </w:pPr>
            <w:r>
              <w:t xml:space="preserve">Nadzor radova:</w:t>
            </w:r>
            <w:r>
              <w:t xml:space="preserve"> </w:t>
            </w:r>
            <w:r>
              <w:t xml:space="preserve">6.050.000</w:t>
            </w:r>
            <w:bookmarkEnd w:id="1"/>
            <w:r>
              <w:t xml:space="preserve"> EUR</w:t>
            </w:r>
          </w:p>
        </w:tc>
      </w:tr>
      <w:tr w:rsidR="00BB6077" w:rsidRPr="001C4C77" w14:paraId="04542635" w14:textId="77777777" w:rsidTr="00937F8B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72E83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4FD9" w14:textId="3695FF9B" w:rsidR="00BB6077" w:rsidRPr="007A37ED" w:rsidRDefault="0080714D" w:rsidP="005017C1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Gezim Kastrati</w:t>
            </w:r>
          </w:p>
        </w:tc>
      </w:tr>
      <w:tr w:rsidR="00BB6077" w:rsidRPr="001C4C77" w14:paraId="4211CB85" w14:textId="77777777" w:rsidTr="00937F8B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A61B9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EF6" w14:textId="714EBF1A" w:rsidR="00BB6077" w:rsidRPr="007A37ED" w:rsidRDefault="00E60C1C" w:rsidP="00445DCF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Gezim Kastrati, savetnik, kabinet gradonačelnika</w:t>
            </w:r>
          </w:p>
        </w:tc>
      </w:tr>
      <w:tr w:rsidR="00BB6077" w:rsidRPr="001C4C77" w14:paraId="60F62C5D" w14:textId="77777777" w:rsidTr="00937F8B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9733A" w14:textId="77777777" w:rsidR="00BB6077" w:rsidRPr="001C4C77" w:rsidRDefault="00BB6077" w:rsidP="00BB6077">
            <w:pPr>
              <w:spacing w:before="60" w:after="60" w:line="260" w:lineRule="atLeast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1B5" w14:textId="7DC692BE" w:rsidR="00BB6077" w:rsidRPr="00CD787F" w:rsidRDefault="00B36E17" w:rsidP="005017C1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hyperlink r:id="rId10" w:history="1">
              <w:r>
                <w:rPr>
                  <w:rStyle w:val="Hyperlink"/>
                  <w:sz w:val="20"/>
                  <w:rFonts w:ascii="Arial" w:hAnsi="Arial"/>
                </w:rPr>
                <w:t xml:space="preserve">gezimkastrati@gmail.com</w:t>
              </w:r>
            </w:hyperlink>
          </w:p>
          <w:p w14:paraId="48863D9B" w14:textId="255DE611" w:rsidR="008A701B" w:rsidRPr="007A37ED" w:rsidRDefault="008A701B" w:rsidP="005017C1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+38349468468</w:t>
            </w:r>
          </w:p>
        </w:tc>
      </w:tr>
    </w:tbl>
    <w:p w14:paraId="220CF634" w14:textId="63863348" w:rsidR="0083451C" w:rsidRPr="00DB2EA1" w:rsidRDefault="00DB2EA1" w:rsidP="00DB2EA1">
      <w:pPr>
        <w:tabs>
          <w:tab w:val="num" w:pos="360"/>
        </w:tabs>
        <w:spacing w:before="200" w:after="120"/>
        <w:jc w:val="both"/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2.</w:t>
      </w:r>
      <w:r>
        <w:rPr>
          <w:b/>
          <w:sz w:val="24"/>
          <w:rFonts w:ascii="Arial" w:hAnsi="Arial"/>
        </w:rPr>
        <w:tab/>
      </w:r>
      <w:r>
        <w:rPr>
          <w:b/>
          <w:sz w:val="24"/>
          <w:rFonts w:ascii="Arial" w:hAnsi="Arial"/>
        </w:rPr>
        <w:t xml:space="preserve">OPIS PROJEKTA</w:t>
      </w: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3696"/>
        <w:gridCol w:w="5327"/>
      </w:tblGrid>
      <w:tr w:rsidR="001C4C77" w:rsidRPr="001C4C77" w14:paraId="5293EE24" w14:textId="77777777" w:rsidTr="00DB2EA1">
        <w:trPr>
          <w:trHeight w:val="34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DEFEC" w14:textId="77777777" w:rsidR="001C4C77" w:rsidRPr="001C4C77" w:rsidRDefault="001C4C77" w:rsidP="001C4C77">
            <w:pPr>
              <w:spacing w:after="0" w:line="240" w:lineRule="auto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33C" w14:textId="4F7F823D" w:rsidR="00A30658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projekat uključuje izgradnju nove obilaznice od 19 km koja okružuje glavni grad Prištinu.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Njegov primarni cilj je unapređenje putne infrastrukture i usluga u okolini grada, čime se olakšava nesmetan protok putnika i robe uz smanjenje troškova prevoza.</w:t>
            </w:r>
          </w:p>
          <w:p w14:paraId="541AB11C" w14:textId="77777777" w:rsidR="00A30658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ima za cilj postizanje tri ključna cilja:</w:t>
            </w:r>
          </w:p>
          <w:p w14:paraId="1F09509F" w14:textId="5D733D1B" w:rsidR="00A30658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i) Unapređenje integracije grada sa panevropskim koridorima: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Projekat će obezbediti poboljšani pristup i veze, omogućavajući bolju integraciju Prištine sa panevropskim transportnim mrežama.</w:t>
            </w:r>
          </w:p>
          <w:p w14:paraId="4366A83F" w14:textId="77777777" w:rsidR="00A30658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ii) Rešavanje problema zagađenja vazduha u centru grada: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Smanjenjem zagušenja i preusmeravanjem teretnog saobraćaja od centra grada, projekat nastoji da poboljša kvalitet vazduha i ublaži problem nezdravih koncentracija zagađenja vazduha, koje trenutno prelaze 150 μg PM2,5/m3.</w:t>
            </w:r>
          </w:p>
          <w:p w14:paraId="54515379" w14:textId="56A0778F" w:rsidR="00A30658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iii) Poboljšanje bezbednosti na putevima i standarda: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Projekat će doprineti poboljšanju bezbednosti na putevima ublažavanjem zastoja i smanjenjem rizika od nezgoda.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Istraživanje saobraćajnih nezgoda sprovedeno 2017. godine otkrilo je da je stopa povreda u Prištini skoro tri puta veća od proseka EU od 283 povređene osobe na 100 hiljada stanovnika.</w:t>
            </w:r>
          </w:p>
          <w:p w14:paraId="5179953C" w14:textId="7E99A0BD" w:rsidR="007A5919" w:rsidRPr="00FD3C85" w:rsidRDefault="00A30658" w:rsidP="00824145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nadograđuje na postojeći projekat gradskog saobraćaja koji je preduzet u saradnji sa gradom.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 inicijativa je uključivala tehničku podršku za razvoj Plana održive urbane mobilnosti (SUMP), sa konačnim izveštajem objavljenim u januaru 2019.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Unutrašnji kružni put je sastavni deo plana gradskog SUMP-a.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56FA1211" w14:textId="59A1D86F" w:rsidR="00B35515" w:rsidRPr="00FD3C85" w:rsidRDefault="00445DCF" w:rsidP="00445DCF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Realizacijom ovog projekta uži deo grada bi se oslobodio saobraćaja, posebno od broja vozila koja prolaze kroz grad u tranzitu.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B35515" w:rsidRPr="001C4C77" w14:paraId="376C369C" w14:textId="77777777" w:rsidTr="00DB2EA1">
        <w:trPr>
          <w:trHeight w:val="330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3BE5D" w14:textId="77777777" w:rsidR="00B35515" w:rsidRPr="001C4C77" w:rsidRDefault="00B35515" w:rsidP="00B35515">
            <w:pPr>
              <w:spacing w:after="0" w:line="240" w:lineRule="auto"/>
              <w:contextualSpacing/>
              <w:jc w:val="both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20B" w14:textId="771ADD34" w:rsidR="00BD6A68" w:rsidRPr="00FD3C85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Realizacija projekta će direktno uticati na poboljšanje putne infrastrukture i usluga koje okružuju grad, omogućavajući nesmetan protok putnika i robe uz smanjenje troškova prevoza.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u regionu jugoistočne Evrope, ovaj projekat daje značajan doprinos povećanju obima tranzitnog saobraćaja između SEETO mreže i ostatka Evrope.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projekat će doneti sledeće prednosti:</w:t>
            </w:r>
          </w:p>
          <w:p w14:paraId="28D8C8A5" w14:textId="4BE23DD7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Smanjenje vremena putovanja:</w:t>
            </w:r>
            <w:r>
              <w:t xml:space="preserve"> </w:t>
            </w:r>
            <w:r>
              <w:t xml:space="preserve">Projekat će rezultirati kraćim trajanjem putovanja za putnike i prevoz robe;</w:t>
            </w:r>
          </w:p>
          <w:p w14:paraId="602468FA" w14:textId="01E0AC11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Smanjenje troškova održavanja putne infrastrukture:</w:t>
            </w:r>
            <w:r>
              <w:t xml:space="preserve"> </w:t>
            </w:r>
            <w:r>
              <w:t xml:space="preserve">Uz poboljšanu infrastrukturu, projekat će pomoći u smanjenju troškova vezanih za održavanje puteva;</w:t>
            </w:r>
          </w:p>
          <w:p w14:paraId="6996BDF8" w14:textId="4CFF729E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Ekonomičnost u zaštiti životne sredine, nesrećama i zagušenju:</w:t>
            </w:r>
            <w:r>
              <w:t xml:space="preserve"> </w:t>
            </w:r>
            <w:r>
              <w:t xml:space="preserve">Projekat ima za cilj postizanje isplativih mera za ublažavanje uticaja na životnu sredinu, smanjenje nesreća i ublažavanje zagušenja u poređenju sa drugim konkurentskim putevima.</w:t>
            </w:r>
          </w:p>
          <w:p w14:paraId="20F56D5B" w14:textId="72E43FD7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Podsticanje razvoja zapadnog Balkana:</w:t>
            </w:r>
            <w:r>
              <w:t xml:space="preserve"> </w:t>
            </w:r>
            <w:r>
              <w:t xml:space="preserve">Jačanjem veza, projekat doprinosi razvoju i napretku regiona zapadnog Balkana;</w:t>
            </w:r>
          </w:p>
          <w:p w14:paraId="42996152" w14:textId="6262B2C8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Ekonomski rast i društveni razvoj:</w:t>
            </w:r>
            <w:r>
              <w:t xml:space="preserve"> </w:t>
            </w:r>
            <w:r>
              <w:t xml:space="preserve">Poboljšana putna infrastruktura stimuliše ekonomski rast i podstiče društveni razvoj u ovoj oblasti;</w:t>
            </w:r>
          </w:p>
          <w:p w14:paraId="38BBC93A" w14:textId="5C11B572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Omogućavanje trgovinskih i ekonomskih veza:</w:t>
            </w:r>
            <w:r>
              <w:t xml:space="preserve"> </w:t>
            </w:r>
            <w:r>
              <w:t xml:space="preserve">Projekat igra vitalnu ulogu u olakšavanju trgovine i jačanju ekonomskih veza sa susednim zemljama i državama članicama Evropske unije;</w:t>
            </w:r>
          </w:p>
          <w:p w14:paraId="46C57850" w14:textId="3FF0F46F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Obezbeđivanje bezbednih i pouzdanih putovanja:</w:t>
            </w:r>
            <w:r>
              <w:t xml:space="preserve"> </w:t>
            </w:r>
            <w:r>
              <w:t xml:space="preserve">Projekat ima za cilj da unapredi bezbednost na putevima i obezbedi pouzdan prevoz za sve učesnike u saobraćaju;</w:t>
            </w:r>
          </w:p>
          <w:p w14:paraId="05D8C2E1" w14:textId="3D5C042D" w:rsidR="00BD6A68" w:rsidRPr="007E0605" w:rsidRDefault="00BD6A68" w:rsidP="007E0605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jc w:val="both"/>
              <w:rPr>
                <w:szCs w:val="20"/>
                <w:rFonts w:eastAsiaTheme="majorEastAsia" w:cs="Arial"/>
              </w:rPr>
            </w:pPr>
            <w:r>
              <w:t xml:space="preserve">Poboljšan kapacitet puta:</w:t>
            </w:r>
            <w:r>
              <w:t xml:space="preserve"> </w:t>
            </w:r>
            <w:r>
              <w:t xml:space="preserve">Projekat doprinosi povećanju kapaciteta puteva, omogućavajući lakši protok saobraćaja i poboljšanu efikasnost.</w:t>
            </w:r>
          </w:p>
          <w:p w14:paraId="464A9CBF" w14:textId="77D1B31A" w:rsidR="00B35515" w:rsidRPr="00FD3C85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Sve u svemu, realizacija ovog projekta donosi višestruke koristi koje pozitivno utiču na transport, ekonomski rast i regionalnu povezanost.</w:t>
            </w:r>
          </w:p>
        </w:tc>
      </w:tr>
      <w:tr w:rsidR="00B35515" w:rsidRPr="00952C64" w14:paraId="4C55F4C6" w14:textId="77777777" w:rsidTr="00860D34">
        <w:trPr>
          <w:trHeight w:val="2690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7D5BD" w14:textId="4A3A1B66" w:rsidR="00B35515" w:rsidRPr="00FD3C85" w:rsidRDefault="00B35515" w:rsidP="002F0EF2">
            <w:pPr>
              <w:spacing w:after="0" w:line="240" w:lineRule="auto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622" w14:textId="5229AC92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Učinjena su značajna poboljšanja putne mreže Kosova kroz izgradnju osnovnih autoputeva, odnosno R6, R7 i R7.1.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Ovi autoputevi uspostavljaju vitalne veze između Kosova i njegovih susednih zemalja, uključujući i Severnu Makedoniju, Albaniju odnosno Srbiju.</w:t>
            </w:r>
          </w:p>
          <w:p w14:paraId="0FEA1344" w14:textId="454769B9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Pored autoputeva, na nacionalnoj putnoj mreži postoje ključni pravci, kao što je N2.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Polazeći od severne granice sa Srbijom, N2 prolazi kroz Prištinu, protežući se sve do južne granice sa Severnom Makedonijom.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 svom južnom kraju, N2 pruža ključnu vezu između Prištine i Panevropskog koridora X.</w:t>
            </w:r>
          </w:p>
          <w:p w14:paraId="21F1D42C" w14:textId="29F26284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projekta je opština Priština, glavni grad Kosova sa 218.728 stanovnika prema poslednjem popisu iz 2021. godine.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Priština je strateški locirana na raskrsnici dva vitalna međunarodna transportna koridora, odnosno Koridora VI i Koridora VII.</w:t>
            </w:r>
          </w:p>
          <w:p w14:paraId="556565DD" w14:textId="179481F6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Sa značajnim urbanim razvojem poslednjih godina i izgradnjom novih stambenih i poslovnih zgrada, grad je takođe doživeo povećanje infrastrukturnih projekata, uključujući i poboljšanje puteva i inicijative za javni prevoz.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Nakon toga, Priština je glavni pokretač ekonomskog rasta na Kosovu.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 ekspanzijom različitih industrija, uključujući i građevinarstvo, usluge i trgovinu, privukla je strane investicije i ugostila međunarodne kompanije.</w:t>
            </w:r>
            <w:r>
              <w:rPr>
                <w:sz w:val="20"/>
                <w:rFonts w:ascii="Arial" w:hAnsi="Arial"/>
              </w:rPr>
              <w:t xml:space="preserve">  </w:t>
            </w:r>
          </w:p>
          <w:p w14:paraId="2E01ACDF" w14:textId="6020D57E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obilaznice oko Prištine ima za cilj da reši nekoliko ključnih problema i nedostataka u postojećem transportnom sistemu u Prištini.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Evo nekih uobičajenih problema koje projekat namerava da reši:</w:t>
            </w:r>
          </w:p>
          <w:p w14:paraId="1151BBD5" w14:textId="2BE9E2C5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Zagušenja i preopterećenost saobraćajem: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Priština trenutno ima visok nivo saobraćajnih zagušenja, posebno tokom špica.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Postojeća putna mreža nije u stanju da efikasno nosi sve veći broj vozila, što dovodi do kašnjenja, dužeg vremena putovanja i frustracije među putnicima.</w:t>
            </w:r>
          </w:p>
          <w:p w14:paraId="079FA589" w14:textId="09718ACA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Neadekvatan putni kapacitet: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Postojeća putna infrastruktura u Prištini nema dovoljan kapacitet da primi sve veći broj stanovnika i sve veći broj vozila.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dovodi do uskih grla, posebno u oblastima sa gustim saobraćajem, što dovodi do smanjene efikasnosti i mobilnosti.</w:t>
            </w:r>
          </w:p>
          <w:p w14:paraId="129E335E" w14:textId="2695ECEF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Nedostatak povezivanja: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Sadašnja putna mreža u Prištini ima praznine i ograničenja u pogledu povezanosti između različitih delova grada.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nedostatak povezanosti rezultira neefikasnim putnim rutama, dužim razdaljinama i produženim vremenom putovanja i za stanovnike i za putnike na posao.</w:t>
            </w:r>
          </w:p>
          <w:p w14:paraId="5A255245" w14:textId="77777777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Postojeći sistem puteva takođe ima bezbednosne nedostatke, uključujući i neadekvatnu signalizaciju, loše osvetljenje i uslove na putevima ispod standarda.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Ovi faktori doprinose povećanju rizika od nezgoda i predstavljaju pretnju po bezbednost učesnika u saobraćaju.</w:t>
            </w:r>
          </w:p>
          <w:p w14:paraId="6B141417" w14:textId="3CAA14ED" w:rsidR="00860D34" w:rsidRPr="00FD3C85" w:rsidRDefault="00860D34" w:rsidP="00860D34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 početka izvođenja radova na ovom projektu predviđen je u prvom kvartalu 2024. godine, sa trajanjem od najmanje 4 godine.</w:t>
            </w:r>
          </w:p>
          <w:p w14:paraId="094F900D" w14:textId="0A6C4A76" w:rsidR="008A7CB5" w:rsidRPr="00FD3C85" w:rsidRDefault="00860D34" w:rsidP="00E4367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19 km dugog puta unutar glavnog grada Prištine, zajedno sa integracijom R7, R7.1 i R6, koji će se konačno povezati sa Koridorom X (E-75), značajno će doprineti povećanju kapaciteta mreže.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razvoj će omogućiti bržu integraciju u panevropski i regionalni sistem, koji obuhvata Sveobuhvatnu mrežu jugoistočne Evrope (SEE).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Kao rezultat toga, očekuje se značajno povećanje kretanja ljudi i robe, što će dalje podsticati ekonomski i regionalni rast.</w:t>
            </w:r>
          </w:p>
        </w:tc>
      </w:tr>
    </w:tbl>
    <w:p w14:paraId="0281E4AA" w14:textId="77777777" w:rsidR="00B90398" w:rsidRPr="00FD3C85" w:rsidRDefault="00B90398" w:rsidP="00796486">
      <w:pPr>
        <w:spacing w:after="0" w:line="240" w:lineRule="auto"/>
        <w:rPr>
          <w:rFonts w:ascii="Arial" w:eastAsiaTheme="majorEastAsia" w:hAnsi="Arial" w:cs="Arial"/>
          <w:sz w:val="20"/>
          <w:szCs w:val="20"/>
          <w:lang w:val="en-US"/>
        </w:rPr>
      </w:pPr>
    </w:p>
    <w:p w14:paraId="3BE9A5FF" w14:textId="57195941" w:rsidR="006F1611" w:rsidRPr="002F0EF2" w:rsidRDefault="00DB2EA1" w:rsidP="002F0EF2">
      <w:pPr>
        <w:tabs>
          <w:tab w:val="num" w:pos="360"/>
        </w:tabs>
        <w:spacing w:before="200" w:after="120"/>
        <w:jc w:val="both"/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3.</w:t>
      </w:r>
      <w:r>
        <w:rPr>
          <w:b/>
          <w:sz w:val="24"/>
          <w:rFonts w:ascii="Arial" w:hAnsi="Arial"/>
        </w:rPr>
        <w:tab/>
      </w:r>
      <w:r>
        <w:rPr>
          <w:b/>
          <w:sz w:val="24"/>
          <w:rFonts w:ascii="Arial" w:hAnsi="Arial"/>
        </w:rPr>
        <w:t xml:space="preserve">PODOBNOST</w:t>
      </w:r>
    </w:p>
    <w:p w14:paraId="0D91EEBF" w14:textId="77777777" w:rsidR="006F1611" w:rsidRPr="00FD3C85" w:rsidRDefault="006F1611">
      <w:pPr>
        <w:spacing w:after="0" w:line="240" w:lineRule="auto"/>
        <w:rPr>
          <w:rFonts w:ascii="Arial" w:eastAsiaTheme="majorEastAsia" w:hAnsi="Arial" w:cs="Arial"/>
          <w:sz w:val="20"/>
          <w:szCs w:val="20"/>
          <w:lang w:val="en-US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3590"/>
        <w:gridCol w:w="5337"/>
      </w:tblGrid>
      <w:tr w:rsidR="001C4C77" w:rsidRPr="00952C64" w14:paraId="6236404A" w14:textId="77777777" w:rsidTr="00937F8B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0D753" w14:textId="77777777" w:rsidR="001C4C77" w:rsidRPr="00FD3C85" w:rsidRDefault="001C4C77" w:rsidP="001C4C77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21A" w14:textId="36B1EE3F" w:rsidR="00667A77" w:rsidRPr="00FD3C85" w:rsidRDefault="00667A77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Ekonomski i investicioni plan za zapadni Balkan objavljen u Briselu 6. oktobra 2020. godine naglašava „opredijeljenost EU da daje prioritet projektima i programima koji proširuju osnovnu mrežu Transevropske transportne mreže (TEN-T) i koji su od strateškog interesa za regiona i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Promoviše dalju regionalnu saradnju, integraciju i povezanost glavnih gradova u regionu i EU.</w:t>
            </w:r>
          </w:p>
          <w:p w14:paraId="44FDE69D" w14:textId="1E89E704" w:rsidR="00BD6A68" w:rsidRPr="00FD3C85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za 2021-2027 prepoznaje da je poboljšanje održive povezanosti unutar korisnika IPA III i između njih i Evropske unije ključno za ekonomski rast i da će doneti jasne koristi privredama i građanima regiona.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Saobraćajni sektor je identifikovan kao sektor sa jakim potencijalom da doprinese konkurentnosti i trgovini.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IPA III naglašava važnost efikasnog kombinovanja vidova transporta, uključujući i drumske, železničke, pomorske i unutrašnje plovne puteve, kako bi se postigla konkurentna, održiva i ekološki prihvatljiva transportna rešenja.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se fokusira na bezbednost i sigurnost u saobraćaju, posebno u drumskom saobraćaju, i prava putnika u skladu sa zahtevima EU i ciljevima za smanjenje smrtnih slučajeva i ozbiljnih povreda na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IPA III podržava izgradnju nove saobraćajne infrastrukture, nadogradnju postojeće infrastrukture, uspostavljanje intermodalnih veza i postepeni prelazak sa individualnog drumskog prevoza na javnu ili zajedničku mobilnost.</w:t>
            </w:r>
          </w:p>
          <w:p w14:paraId="17148A4E" w14:textId="0781EDBC" w:rsidR="00BD6A68" w:rsidRPr="00FD3C85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osnivanju Transportne zajednice, ratifikovan 27. oktobra 2017. godine, ima za cilj stvaranje Transportne zajednice koja se fokusira na drumski, železnički, unutrašnji vodni i pomorski saobraćaj, kao i na razvoj saobraćajne mreže između strana Evropske unije i jugoistočne Evrope.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sporazum jača značaj regionalne saradnje i integracije u oblasti saobraćaja između EU i zemalja jugoistočne Evrope.</w:t>
            </w:r>
          </w:p>
          <w:p w14:paraId="13D15F00" w14:textId="723A9BF9" w:rsidR="00667A77" w:rsidRPr="00FD3C85" w:rsidRDefault="00BD6A68" w:rsidP="00667A77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Sve u svemu, ovi različiti dokumenti i inicijative pokazuju posvećenost Kosova, EU i regiona da daju prioritet povezivanju, razvoju infrastrukture i održivom transportu kako bi se podstakao ekonomski rast, poboljšala regionalna saradnja i ojačala integracija između zapadnog Balkana i Evropske unije.</w:t>
            </w:r>
          </w:p>
        </w:tc>
      </w:tr>
      <w:tr w:rsidR="009D0C01" w:rsidRPr="00952C64" w14:paraId="6A66A68B" w14:textId="77777777" w:rsidTr="00937F8B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D470D" w14:textId="22C403A4" w:rsidR="009D0C01" w:rsidRPr="00FD3C85" w:rsidRDefault="009D0C01" w:rsidP="009D0C01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50A" w14:textId="69430609" w:rsidR="00BD6A68" w:rsidRPr="00796CE1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 skladu sa Sporazumom o stabilizaciji i pridruživanju (SSP), između Kosova i Evropske unije kao što je navedeno u članu 113 ovog ugovora.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SSP naglašava saradnju u prioritetnim oblastima koje se odnose na saobraćajne propise EU, uključujući i restrukturiranje i modernizaciju saobraćajnih sistema Kosova, poboljšanje povezane infrastrukture (uključujući i regionalne veze identifikovane od strane Transportne opservatorije jugoistočne Evrope), unapređenje slobodnog kretanja putnika i robe, postizanje interoperabilnih standarda uporedivih sa onima u EU, i usklađivanje saobraćajnog zakonodavstva sa normama EU kada to okolnosti dozvoljavaju.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ima za cilj olakšavanje progresivnog uzajamnog pristupa saobraćajnim tržištima EU i Kosova, razvoj kompatibilnog i interoperabilnog saobraćajnog sistema na Kosovu usklađenog sa EU i unapređenje zaštite životne sredine u saobraćajnom sektoru.</w:t>
            </w:r>
          </w:p>
          <w:p w14:paraId="63D26235" w14:textId="4C985535" w:rsidR="00BD6A68" w:rsidRPr="00796CE1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o zemlji za Kosovo 2023 preporučuje primenu izveštaja CONNECTA radi poboljšanja kvaliteta putne mreže i povezanih akcija.</w:t>
            </w:r>
          </w:p>
          <w:p w14:paraId="5C794B27" w14:textId="36082F58" w:rsidR="00BD6A68" w:rsidRPr="00796CE1" w:rsidRDefault="00952C64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2023-2027 naglašava promociju moderne putne i železničke infrastrukture za povezivanje sa panevropskim koridorima.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Investicija u putnu infrastrukturu je identifikovana kao jedan od glavnih prioriteta Vlade Kosova u njenoj težnji ka evropskim integracijama.</w:t>
            </w:r>
          </w:p>
          <w:p w14:paraId="5368D0B3" w14:textId="023130F7" w:rsidR="00BD6A68" w:rsidRPr="00154FA9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Srednjoročni okvir rashoda 2022-2024, objavljen u aprilu 2021. godine, naglašava nastavak ulaganja u putnu i železničku infrastrukturu od nacionalnog i međunarodnog značaja.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naglašava izgradnju vitalne nacionalne infrastrukture koja povezuje različite regione Kosova kako bi se obezbedio ekonomski rast.</w:t>
            </w:r>
          </w:p>
          <w:p w14:paraId="6D3CA853" w14:textId="33842EAB" w:rsidR="00BD6A68" w:rsidRPr="00154FA9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 2024-2026 uključuje reformsku meru (#13) usmerenu na dalji razvoj i modernizaciju saobraćajnog sektora.</w:t>
            </w:r>
          </w:p>
          <w:p w14:paraId="1B2AB4A4" w14:textId="50D384CD" w:rsidR="00BD6A68" w:rsidRPr="00154FA9" w:rsidRDefault="00BD6A68" w:rsidP="00BD6A68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opštine Priština za period 2021-2025. godine pokazuje posvećenost lokalnog rukovodstva izgradnji obilaznice oko Prištine.</w:t>
            </w:r>
          </w:p>
          <w:p w14:paraId="6DAB9456" w14:textId="2C5EADA1" w:rsidR="00893640" w:rsidRPr="00796CE1" w:rsidRDefault="00BD6A68" w:rsidP="00154FA9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Sve u svemu, ovi različiti politički dokumenti i okviri, uključujući i SSP, Izveštaj EU za Kosovo 2023, Nacionalni program za evropske integracije, Program ekonomskih reformi i program Opštine Priština, zajedno naglašavaju važnost modernizacije i razvoja saobraćajne infrastrukture Kosova, povezivanje sa panevropskim koridorima, i davanje prioriteta investicijama u putnom sektoru kao deo napora Kosova za evropsku integraciju.</w:t>
            </w:r>
          </w:p>
        </w:tc>
      </w:tr>
      <w:tr w:rsidR="009D0C01" w:rsidRPr="00952C64" w14:paraId="3EA8386F" w14:textId="77777777" w:rsidTr="00937F8B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013B6" w14:textId="77777777" w:rsidR="009D0C01" w:rsidRPr="00FD3C85" w:rsidRDefault="009D0C01" w:rsidP="009D0C01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891" w14:textId="28D1D258" w:rsidR="000E23E9" w:rsidRPr="00FD3C85" w:rsidRDefault="00E43678" w:rsidP="006D779C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multimodalnog transporta 2030. postavlja cilj uspostavljanja održivog i integrisanog saobraćajnog sistema unapređenjem različitih vidova saobraćaja, uključujući i drumski, železnički i vazdušni.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Dajući prioritet faktorima kao što su pogodnost, brzina, cena, pouzdanost i predvidljivost, strategija ima za cilj da obezbedi efikasnija saobraćajna rešenja za ljude i robu.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sveobuhvatni pristup ima za cilj ublažavanje zagušenja na putevima i promovisanje ekološki prihvatljivog, sigurnijeg i isplativijeg saobraćajanog sektora.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Optimizacijom prednosti i prednosti svakog vida saobraćaja i njihovom efikasnom integracijom, strategija nastoji da stvori besprekornu i međusobno povezanu saobraćjanu mrežu koja zadovoljava rastuće potrebe društva.</w:t>
            </w:r>
          </w:p>
        </w:tc>
      </w:tr>
    </w:tbl>
    <w:p w14:paraId="013B39D2" w14:textId="77777777" w:rsidR="006F1611" w:rsidRDefault="0074067A" w:rsidP="00576C27">
      <w:pPr>
        <w:pStyle w:val="ListParagraph"/>
        <w:numPr>
          <w:ilvl w:val="0"/>
          <w:numId w:val="6"/>
        </w:numPr>
        <w:tabs>
          <w:tab w:val="num" w:pos="360"/>
        </w:tabs>
        <w:spacing w:before="240" w:after="120"/>
        <w:ind w:hanging="630"/>
        <w:rPr>
          <w:b/>
          <w:rFonts w:cs="Arial"/>
        </w:rPr>
      </w:pPr>
      <w:r>
        <w:rPr>
          <w:b/>
        </w:rPr>
        <w:t xml:space="preserve">STRATEŠKA RELEVANTNOST</w:t>
      </w: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5337"/>
      </w:tblGrid>
      <w:tr w:rsidR="001C4C77" w:rsidRPr="001C4C77" w14:paraId="40A26B93" w14:textId="77777777" w:rsidTr="00937F8B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5E3D6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1C4C77" w:rsidRPr="001C4C77" w14:paraId="2707721E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5BBBF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3F5" w14:textId="0E59B16C" w:rsidR="001C4C77" w:rsidRPr="00FD3C85" w:rsidRDefault="00A30658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 projekta će direktno unaprediti putnu infrastrukturu i usluge u gradu i okolini, čime će se olakšati nesmetano kretanje putnika i robe uz smanjenje troškova prevoza.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poboljšaće efikasnost i atraktivnost jednog putovanja napravljenog sa više od jednog režima prevoza (npr. pešačenje, taksi, bicikl i autobus), sa ciljem da se putnicima ponudi besprekorno putovanje.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C4C77" w:rsidRPr="001C4C77" w14:paraId="5608C804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1A0A5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92D" w14:textId="2EC6FDD5" w:rsidR="001C4C77" w:rsidRPr="00FD3C85" w:rsidRDefault="00BD6A68" w:rsidP="00E43678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19 km duge obilaznice u glavnom gradu Prištini, zajedno sa povezivanjem R7, R7.1 i R6 na Koridor X E-75, igraće ključnu ulogu u povećanju kapaciteta mreže.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razvoj će dovesti do ubrzane integracije u panevropski i regionalni sistem, kao i sveobuhvatnu mrežu regiona jugoistočne Evrope (JIE).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Kao rezultat toga, postoji opravdano očekivanje da će i kretanje ljudi i transport robe biti značajno povećani.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C4C77" w:rsidRPr="001C4C77" w14:paraId="5FA51F8C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E2509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Biti uključen u najnoviji višegodišnji plan (MAP) SEETO-a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8D1B" w14:textId="449CD489" w:rsidR="001C4C77" w:rsidRPr="00FD3C85" w:rsidRDefault="002C2789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N/A</w:t>
            </w:r>
          </w:p>
        </w:tc>
      </w:tr>
      <w:tr w:rsidR="001C4C77" w:rsidRPr="001C4C77" w14:paraId="66BE4746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8166C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1E6" w14:textId="568B878A" w:rsidR="001C4C77" w:rsidRPr="00FD3C85" w:rsidRDefault="00BD6A68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Da, obilaznica oko Prištine je projektovana da obezbedi vezu sa koridorima TEN-T (Trans-evropska transportna mreža).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Obilaznica oko Prištine, povezivanjem sa TEN-T koridorima, poboljšaće povezanost Prištine i šire evropske transportne mreže, doprinoseći integraciji transportnog sistema Kosova sa panevropskom infrastrukturom.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C4C77" w:rsidRPr="001C4C77" w14:paraId="2510E850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136A7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Njen doprinos poboljšanju uslova bezbednosti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F91" w14:textId="65D61EFC" w:rsidR="001C4C77" w:rsidRPr="00FD3C85" w:rsidRDefault="00BD6A68" w:rsidP="00E3291B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projekat podrazumeva izgradnju novog puta od 19 km oko glavnog grada Prištine.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Njegov primarni cilj je da unapredi bezbednost na putevima i standarde preusmeravanjem teretnog saobraćaja od zakrčenog centra grada.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Unapređenjem putne infrastrukture i usluga u okolini grada, projekat ima za cilj stvaranje sigurnijih uslova kako za putnike tako i za robu.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Preusmeravanje teretnog saobraćaja će smanjiti rizike povezane sa protokom teških vozila kroz gusto naseljena područja, čime će se umanjiti potencijal za nesreće i poboljšati ukupna bezbednost na putevima.</w:t>
            </w:r>
          </w:p>
        </w:tc>
      </w:tr>
      <w:tr w:rsidR="001C4C77" w:rsidRPr="001C4C77" w14:paraId="5DE0716F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D061A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065" w14:textId="64F2EAF1" w:rsidR="001C4C77" w:rsidRPr="00FD3C85" w:rsidRDefault="00E22F37" w:rsidP="00AE0DA2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Biće izgrađen novi deo grinfild infrastrukture u dužini od 19 km, sa novom trasom koja će se povezati sa koridorom R6.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projekat podrazumeva izgradnju potpuno nove infrastrukture, omogućavajući stvaranje efikasne i moderne saobraćajne rute.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1C4C77" w:rsidRPr="001C4C77" w14:paraId="301CB2D4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C9B00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tražnje saobraćaja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327" w14:textId="6D14EF36" w:rsidR="001C4C7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Trenutna stopa rasta saobraćaja iznosi 5%.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 osnovu nalaza studije izvodljivosti, karakteristike novog puta će biti dizajnirane tako da se prilagode ovoj rastućoj saobraćajnoj potražnji.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Projekat uzima u obzir očekivani rast i osigurava da su specifikacije i kapacitet puta u skladu sa projektovanim obimom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Uzimajući u obzir buduće potrebe saobraćaja, novi put će biti opremljen da efikasno i delotvorno podnosi rastući nivo saobraćaja, pružajući pouzdano i održivo rešenje za rastuće zahteve regiona.</w:t>
            </w:r>
          </w:p>
        </w:tc>
      </w:tr>
      <w:tr w:rsidR="001C4C77" w:rsidRPr="001C4C77" w14:paraId="382FFC9F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549AD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9CE" w14:textId="2C68E708" w:rsidR="001C4C77" w:rsidRPr="00FD3C85" w:rsidRDefault="00E22F37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obilaznice oko Prištine će doneti značajno smanjenje vremena putovanja unutar grada, sa procenjenim smanjenjem od 10,06%.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To znači da će putnici znatno kraće putovati kada se kreću iz jednog dela grada u drugi.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novi put će takođe doprineti smanjenju vremena putovanja za veze sa koridorima R6 i R7, dodatno poboljšavajući efikasnost transporta i povezanost.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Poboljšana dostupnost i skraćeno vreme putovanja koje nudi obilaznica oko Prištine će imati koristi i za lokalno stanovništvo i za one koji prolaze kroz grad, povećavajući opštu pogodnost prevoza i olakšavajući nesmetano kretanje ljudi i robe.</w:t>
            </w:r>
          </w:p>
        </w:tc>
      </w:tr>
      <w:tr w:rsidR="001C4C77" w:rsidRPr="001C4C77" w14:paraId="78001BB8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B321C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Njen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F05" w14:textId="6F07697C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Očekuje se da će izgradnja obilaznice oko Prištine imati pozitivan efekat na smanjenje emisije CO2 i buke.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891B7E1" w14:textId="77777777" w:rsidR="00E22F37" w:rsidRPr="00FD3C85" w:rsidRDefault="00E22F37" w:rsidP="00AE0DA2">
            <w:pPr>
              <w:spacing w:after="0" w:line="240" w:lineRule="auto"/>
              <w:jc w:val="both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  <w:p w14:paraId="71273540" w14:textId="5D64FC48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Obezbeđivanjem alternativnog puta za vozila, obilaznica oko Prištine će pomoći da se optimizuje protok saobraćaja unutar grada.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može dovesti do smanjenja zagušenja i gužvi u saobraćaju, što rezultira lakšim kretanjem vozila i kraćim vremenom praznog hoda.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Kao rezultat toga, potrošnja goriva i emisija CO2 iz vozila biće smanjeni.</w:t>
            </w:r>
          </w:p>
          <w:p w14:paraId="1DCCB82C" w14:textId="72A2DFE7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putna infrastruktura može biti projektovana sa savremenim tehnologijama i standardima kojima je prioritet energetska efikasnost.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uključuje karakteristike kao što su poboljšani materijali za površinu puta, bolji sistemi upravljanja saobraćajem i optimizovan dizajn raskrsnica.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Ovi elementi doprinose tečnijem odvijanju saobraćaja, smanjenju situacija zaustavljanja i kretanja i na kraju smanjenju potrošnje goriva i emisija.</w:t>
            </w:r>
          </w:p>
          <w:p w14:paraId="24A2A052" w14:textId="14056B99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Preusmeravajući teretni saobraćaj dalje od centra grada, put u Prištini pomaže u ublažavanju zagušenja u urbanim sredinama.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smanjenje obima saobraćaja može dovesti do smanjenja emisije vozila, uključujući CO2 i buku.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poboljšava kvalitet vazduha i stvara prijatnije životno okruženje za stanovnike u centru grada.</w:t>
            </w:r>
          </w:p>
          <w:p w14:paraId="5D37E37C" w14:textId="699281A1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Kao deo projekta izgradnje puta, barijere protiv buke mogu biti ugrađene duž određenih deonica obilaznice oko Prištine.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Ove barijere pomažu u ublažavanju buke koju stvara drumski saobraćaj, štiteći obližnja stambena područja i promovišući mirnije životno okruženje.</w:t>
            </w:r>
          </w:p>
          <w:p w14:paraId="76BE278C" w14:textId="2F8922B8" w:rsidR="001C4C77" w:rsidRPr="00FD3C85" w:rsidRDefault="00E22F37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Sve u svemu, dizajn obilaznice oko Prištine i uticaj na šeme saobraćaja imaju potencijal da doprinesu smanjenju emisije CO2 i zagađenja bukom.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Ove ekološke prednosti su u skladu sa ciljevima održivosti i promovišu ekološki prihvatljiviji i prihvatljiviji grad.</w:t>
            </w:r>
          </w:p>
        </w:tc>
      </w:tr>
      <w:tr w:rsidR="001C4C77" w:rsidRPr="001C4C77" w14:paraId="124087B2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4576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871" w14:textId="3EA5A868" w:rsidR="00E22F37" w:rsidRPr="00FD3C85" w:rsidRDefault="00E22F37" w:rsidP="00154FA9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Očekuje se da će obilaznica oko Prištine dati značajan doprinos ukupnom ekonomskom rastu u regionu.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14:paraId="281DA5A1" w14:textId="7CA35CD0" w:rsidR="00E22F37" w:rsidRPr="00FD3C85" w:rsidRDefault="00E22F37" w:rsidP="00AE0D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Turizam i ugostiteljstvo: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Obilaznica oko Prištine može poboljšati pristup turističkim destinacijama i kulturnim lokacijama unutar i oko Prištine.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može podstaći sektore turizma i ugostiteljstva, privući više posetilaca, generisati prihod i stvoriti mogućnosti za zapošljavanje u turističkoj industriji.</w:t>
            </w:r>
          </w:p>
          <w:p w14:paraId="6E0A0A78" w14:textId="4509A9CB" w:rsidR="001C4C77" w:rsidRPr="00FD3C85" w:rsidRDefault="00E22F37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Sve u svemu, pozitivan uticaj obilaznice oko Prištine na povezanost, olakšavanje trgovine, zapošljavanje, nekretnine i turizam može doprineti ukupnom ekonomskom rastu.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potencijal da stimuliše različite sektore privrede, privuče investicije i poboljša kvalitet života stanovnika, podstičući na kraju održivi ekonomski razvoj u regionu.</w:t>
            </w:r>
          </w:p>
        </w:tc>
      </w:tr>
      <w:tr w:rsidR="001C4C77" w:rsidRPr="001C4C77" w14:paraId="7EEB44C4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272EF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Njena integracija sa drugim projektima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84E" w14:textId="01B247F7" w:rsidR="00A30658" w:rsidRPr="00FD3C85" w:rsidRDefault="00E22F37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obilaznice oko Prištine je neprimetno integrisan sa postojećim rutama R7, R7.1 i R6, formirajući vitalnu obilaznicu koja efektivno skraćuje putnu udaljenost potrebnu za povezivanje sa Koridorom X. Ova integracija igra ključnu ulogu u poboljšanju saobraćajne infrastrukture glavnog grada i predstavlja značajnu investiciju u modernizaciju putne transportne mreže Kosova.</w:t>
            </w:r>
          </w:p>
        </w:tc>
      </w:tr>
      <w:tr w:rsidR="001C4C77" w:rsidRPr="001C4C77" w14:paraId="2DE01BC6" w14:textId="77777777" w:rsidTr="00937F8B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A0865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88A" w14:textId="7B8268D4" w:rsidR="001C4C77" w:rsidRPr="00FD3C85" w:rsidRDefault="00661886" w:rsidP="0072435F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je temeljno ispitala sve dostupne alternative i pažljivo procenila njihovu održivost.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Nakon sprovođenja sveobuhvatne analize troškova i koristi (CBA) i postizanja konsenzusa između Vlade i opštine, doneta je odluka da se obilaznica Prištine koristi kao tranzitni put za povezivanje sa nacionalnim koridorima.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izbor je zasnovan na njegovoj optimalnoj prikladnosti i izvodljivosti, uzimajući u obzir faktore kao što su protok saobraćaja, kapacitet infrastrukture i ekonomska razmatranja.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Sporazum o saradnji između Vlade i opštine odigrao je ključnu ulogu u obezbeđivanju delotvornosti i uspeha ove odluke, jer je uključivao zajedničko razumevanje koristi i prednosti koje pruža obilaznica oko Prištine kao održiva veza sa nacionalnim koridorima.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14:paraId="09963527" w14:textId="77777777" w:rsidR="0074067A" w:rsidRPr="00B90398" w:rsidRDefault="0074067A" w:rsidP="001C2CAF">
      <w:pPr>
        <w:pStyle w:val="Heading1"/>
        <w:spacing w:before="240" w:after="120"/>
        <w:jc w:val="center"/>
        <w:rPr>
          <w:color w:val="auto"/>
          <w:rFonts w:ascii="Arial" w:hAnsi="Arial" w:cs="Arial"/>
        </w:rPr>
      </w:pPr>
      <w:r>
        <w:rPr>
          <w:color w:val="auto"/>
          <w:rFonts w:ascii="Arial" w:hAnsi="Arial"/>
        </w:rPr>
        <w:t xml:space="preserve">Drugi deo</w:t>
      </w:r>
    </w:p>
    <w:p w14:paraId="6281D1D0" w14:textId="77777777" w:rsidR="0074067A" w:rsidRPr="00010032" w:rsidRDefault="0074067A" w:rsidP="00736F3D">
      <w:pPr>
        <w:pStyle w:val="ListParagraph"/>
        <w:numPr>
          <w:ilvl w:val="0"/>
          <w:numId w:val="6"/>
        </w:numPr>
        <w:tabs>
          <w:tab w:val="num" w:pos="360"/>
        </w:tabs>
        <w:spacing w:after="120"/>
        <w:rPr>
          <w:b/>
          <w:sz w:val="24"/>
          <w:szCs w:val="24"/>
          <w:rFonts w:cs="Arial"/>
        </w:rPr>
      </w:pPr>
      <w:r>
        <w:rPr>
          <w:b/>
          <w:sz w:val="24"/>
        </w:rPr>
        <w:t xml:space="preserve">ZRELOST</w:t>
      </w:r>
    </w:p>
    <w:tbl>
      <w:tblPr>
        <w:tblW w:w="4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1428"/>
        <w:gridCol w:w="1271"/>
        <w:gridCol w:w="1159"/>
      </w:tblGrid>
      <w:tr w:rsidR="001C4C77" w:rsidRPr="001C4C77" w14:paraId="62859E4D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AFEB1" w14:textId="77777777" w:rsidR="001C4C77" w:rsidRPr="001C4C77" w:rsidRDefault="001C4C77" w:rsidP="001C4C77">
            <w:pPr>
              <w:spacing w:after="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995E2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7C0D0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CD0DD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1C4C77" w:rsidRPr="001C4C77" w14:paraId="05938E2E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6DF1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5D81" w14:textId="02D54181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A23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654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2AEDF669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22DE4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9A1" w14:textId="5F11C762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9900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61B9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079D0796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2EBE5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6A30" w14:textId="7FE4BDDC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D8C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9A0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5A56D361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8AB6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B2C" w14:textId="5DD8A5BC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0161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3BE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77E73396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8048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C81" w14:textId="69FBD0E6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EAB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DF0F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0E732E40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30C7B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8CA" w14:textId="4B2237FD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BBD5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B0A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5506B988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208E4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0325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713" w14:textId="58A21F5D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9547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6C7F9C64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8701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32D2" w14:textId="0E599417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D8F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46D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</w:tr>
      <w:tr w:rsidR="001C4C77" w:rsidRPr="001C4C77" w14:paraId="6A665C86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F9D83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E16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79CD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852" w14:textId="5BE0716F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1C4C77" w:rsidRPr="001C4C77" w14:paraId="04E891D4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87F9B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1F9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9041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C70" w14:textId="45CF2643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1C4C77" w:rsidRPr="001C4C77" w14:paraId="49A88BF1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F1D06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530F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4528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027" w14:textId="7F8E2BCC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1C4C77" w:rsidRPr="001C4C77" w14:paraId="45B17462" w14:textId="77777777" w:rsidTr="00937F8B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D8A1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9FD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EA2" w14:textId="77777777" w:rsidR="001C4C77" w:rsidRPr="00FD3C85" w:rsidRDefault="001C4C77" w:rsidP="001C4C77">
            <w:pPr>
              <w:spacing w:after="0"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0E1" w14:textId="3ABD8B94" w:rsidR="001C4C77" w:rsidRPr="00FD3C85" w:rsidRDefault="002F0EF2" w:rsidP="001C4C77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</w:tbl>
    <w:p w14:paraId="53A00060" w14:textId="77777777" w:rsidR="001C2CAF" w:rsidRPr="00010032" w:rsidRDefault="001C2CAF" w:rsidP="00576C27">
      <w:pPr>
        <w:pStyle w:val="ListParagraph"/>
        <w:numPr>
          <w:ilvl w:val="0"/>
          <w:numId w:val="6"/>
        </w:numPr>
        <w:tabs>
          <w:tab w:val="num" w:pos="360"/>
        </w:tabs>
        <w:spacing w:before="240" w:after="120"/>
        <w:rPr>
          <w:b/>
          <w:sz w:val="24"/>
          <w:szCs w:val="24"/>
          <w:rFonts w:cs="Arial"/>
        </w:rPr>
      </w:pPr>
      <w:r>
        <w:rPr>
          <w:b/>
          <w:sz w:val="24"/>
        </w:rPr>
        <w:t xml:space="preserve">ODREĐIVANJE IZVORA FINANSIRANJA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614"/>
        <w:gridCol w:w="3788"/>
        <w:gridCol w:w="511"/>
      </w:tblGrid>
      <w:tr w:rsidR="001C4C77" w:rsidRPr="001C4C77" w14:paraId="5B21E68E" w14:textId="77777777" w:rsidTr="00937F8B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B3A2B" w14:textId="77777777" w:rsidR="001C4C77" w:rsidRPr="001C4C77" w:rsidRDefault="001C4C77" w:rsidP="001C4C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34E8D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94347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6BC47" w14:textId="77777777" w:rsidR="001C4C77" w:rsidRPr="001C4C77" w:rsidRDefault="001C4C77" w:rsidP="001C4C77">
            <w:pPr>
              <w:spacing w:after="0" w:line="240" w:lineRule="auto"/>
              <w:jc w:val="center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1C4C77" w:rsidRPr="001C4C77" w14:paraId="6AA4513C" w14:textId="77777777" w:rsidTr="00937F8B">
        <w:trPr>
          <w:trHeight w:val="26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6ABAE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BD" w14:textId="005F28E1" w:rsidR="001C4C77" w:rsidRPr="00FD3C85" w:rsidRDefault="002F0EF2" w:rsidP="00F65324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3EC" w14:textId="3BFB2B8D" w:rsidR="001C4C77" w:rsidRPr="00FD3C85" w:rsidRDefault="00661886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Da, obilaznica oko Prištine ima potencijal da unapredi povezanost u regionu.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Kao obilaznica, pruža alternativnu i efikasnu vezu sa nacionalnim koridorima.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Preusmeravanjem saobraćaja od zakrčenih urbanih područja, put može ublažiti gužve u saobraćaju i poboljšati efikasnost transporta.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 poboljšana povezanost može imati koristi za različite zainteresovane strane, uključujući i putnike koji putuju na posao, preduzeća i logističke operacije, smanjenjem vremena putovanja, poboljšanjem pristupa različitim delovima grada i omogućavanjem nesmetanog kretanja robe i usluga.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toga, put može doprineti regionalnoj integraciji promovisanjem lakšeg pristupa susednim oblastima i olakšavanjem ekonomskog razvoja jačanjem trgovine i trgovine.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697" w14:textId="77777777" w:rsidR="001C4C77" w:rsidRPr="001C4C77" w:rsidRDefault="001C4C77" w:rsidP="001C4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77" w:rsidRPr="001C4C77" w14:paraId="155BC535" w14:textId="77777777" w:rsidTr="00937F8B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CD5798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22B" w14:textId="387DF15C" w:rsidR="001C4C77" w:rsidRPr="00FD3C85" w:rsidRDefault="00D61624" w:rsidP="00F65324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E30" w14:textId="2CE4654B" w:rsidR="001C4C77" w:rsidRPr="00FD3C85" w:rsidRDefault="00661886" w:rsidP="00E3291B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Obilaznica oko Prištine nije samo lokalni infrastrukturni projekat; služi kao vitalni regionalni tranzitni put koji igra značajnu ulogu u povezivanju glavnih koridora zemlje.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Njen strateški položaj i povezanost imaju prekogranične uticaje koji se protežu izvan nacionalnih granica, podstičući regionalnu integraciju i olakšavajući saobraćajne veze sa susednim zemljama kao što su Albanija, Srbija i druge.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Služeći kao ključna veza između ovih nacija, put poboljšava regionalnu povezanost, pojednostavljuje prekograničnu trgovinu i promoviše ekonomsku saradnju.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On stvara besprekornu i efikasnu tranzitnu trasu, olakšavajući kretanje roba, usluga i ljudi preko granica, podstičući na taj način regionalni razvoj i integraciju.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E15" w14:textId="77777777" w:rsidR="001C4C77" w:rsidRPr="001C4C77" w:rsidRDefault="001C4C77" w:rsidP="001C4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77" w:rsidRPr="001C4C77" w14:paraId="1E407859" w14:textId="77777777" w:rsidTr="00937F8B">
        <w:trPr>
          <w:trHeight w:val="417"/>
          <w:jc w:val="center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9331B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D23" w14:textId="32875005" w:rsidR="001C4C77" w:rsidRPr="00FD3C85" w:rsidRDefault="002F0EF2" w:rsidP="00F65324">
            <w:pPr>
              <w:spacing w:after="0" w:line="240" w:lineRule="auto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D16" w14:textId="5885FED4" w:rsidR="00661886" w:rsidRPr="00FD3C85" w:rsidRDefault="00154FA9" w:rsidP="00341E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Fokusirajući se na poboljšanje gradske povezanosti, projekat ima za cilj da omogući lakšu integraciju u širi evropski saobraćajni okvir.</w:t>
            </w:r>
          </w:p>
          <w:p w14:paraId="15B24A21" w14:textId="1EB62F5B" w:rsidR="00661886" w:rsidRPr="00FD3C85" w:rsidRDefault="00661886" w:rsidP="00341E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Ulaganjem u unapređenje saobraćajne infrastrukture, projekat ima za cilj smanjenje vremena putovanja, optimizaciju efikasnosti transporta i poboljšanje povezanosti grada sa ključnim panevropskim koridorima.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Ovi koridori služe kao vitalne veze za kretanje roba, usluga i ljudi širom kontinenta.</w:t>
            </w:r>
          </w:p>
          <w:p w14:paraId="4D3F5199" w14:textId="70BE91C8" w:rsidR="001C4C77" w:rsidRPr="00FD3C85" w:rsidRDefault="00154FA9" w:rsidP="00341EA2">
            <w:pPr>
              <w:spacing w:after="0" w:line="240" w:lineRule="auto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Putem primene, projekat nastoji da otvori nove mogućnosti za grad, omogućavajući mu da postane sastavniji deo evropske saobraćajne mreže.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Jačanjem pristupa grada panevropskim koridorima, projekat podržava regionalnu integraciju, stimuliše ekonomski razvoj i promoviše bliže veze sa susednim zemljama.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908" w14:textId="77777777" w:rsidR="001C4C77" w:rsidRPr="001C4C77" w:rsidRDefault="001C4C77" w:rsidP="001C4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3C5E8" w14:textId="6796DD53" w:rsidR="001C2CAF" w:rsidRDefault="001C2CAF" w:rsidP="00576C27">
      <w:pPr>
        <w:pStyle w:val="ListParagraph"/>
        <w:numPr>
          <w:ilvl w:val="0"/>
          <w:numId w:val="6"/>
        </w:numPr>
        <w:tabs>
          <w:tab w:val="num" w:pos="360"/>
        </w:tabs>
        <w:spacing w:before="240" w:after="120"/>
        <w:rPr>
          <w:b/>
          <w:rFonts w:cs="Arial"/>
        </w:rPr>
      </w:pPr>
      <w:r>
        <w:rPr>
          <w:b/>
        </w:rPr>
        <w:t xml:space="preserve">RASPORED POTROŠNJE</w:t>
      </w:r>
    </w:p>
    <w:tbl>
      <w:tblPr>
        <w:tblW w:w="49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661"/>
        <w:gridCol w:w="661"/>
        <w:gridCol w:w="661"/>
        <w:gridCol w:w="844"/>
        <w:gridCol w:w="868"/>
        <w:gridCol w:w="752"/>
        <w:gridCol w:w="661"/>
        <w:gridCol w:w="1342"/>
        <w:gridCol w:w="661"/>
        <w:gridCol w:w="700"/>
      </w:tblGrid>
      <w:tr w:rsidR="002F0EF2" w:rsidRPr="008E3B9B" w14:paraId="345CAB7A" w14:textId="77777777" w:rsidTr="003B47A7"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192D80B3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bookmarkStart w:id="2" w:name="_Hlk125449743"/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33262E33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5AC729CD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259B950F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5CB23664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3BDD8148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3BB570A9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3AAFE481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08DDEBEE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44B0AC61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48D1D171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2F0EF2" w:rsidRPr="008E3B9B" w14:paraId="353EB17E" w14:textId="77777777" w:rsidTr="003B47A7"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622B2F79" w14:textId="77777777" w:rsidR="002F0EF2" w:rsidRPr="008E3B9B" w:rsidRDefault="002F0EF2" w:rsidP="00031232">
            <w:pPr>
              <w:spacing w:after="0" w:line="260" w:lineRule="atLeast"/>
              <w:rPr>
                <w:b/>
                <w:sz w:val="18"/>
                <w:szCs w:val="20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Cena (u milionima EUR) od čega: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A935CDF" w14:textId="77777777" w:rsidR="002F0EF2" w:rsidRPr="008E3B9B" w:rsidRDefault="002F0EF2" w:rsidP="00031232">
            <w:pPr>
              <w:spacing w:after="0"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225E998D" w14:textId="64B2384C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1,05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2357517" w14:textId="24269BAB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7D9B60A" w14:textId="782EC3B6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91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62990CB" w14:textId="35172018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3A4C2FE" w14:textId="5336FFAD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2D95EDE" w14:textId="7FFB6A35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8194742" w14:textId="6B2675B4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51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CF9C4B" w14:textId="77777777" w:rsidR="002F0EF2" w:rsidRPr="00031232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3ABEA0C" w14:textId="77777777" w:rsidR="002F0EF2" w:rsidRPr="008E3B9B" w:rsidRDefault="002F0EF2" w:rsidP="00031232">
            <w:pPr>
              <w:spacing w:after="0" w:line="26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2F0EF2" w:rsidRPr="008E3B9B" w14:paraId="6468DAAC" w14:textId="77777777" w:rsidTr="003B47A7"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412BEE2A" w14:textId="77777777" w:rsidR="002F0EF2" w:rsidRPr="008E3B9B" w:rsidRDefault="002F0EF2" w:rsidP="00031232">
            <w:pPr>
              <w:spacing w:after="0" w:line="260" w:lineRule="atLeast"/>
              <w:rPr>
                <w:sz w:val="18"/>
                <w:szCs w:val="20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Priprema projekta (TA)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2CE35BD" w14:textId="77777777" w:rsidR="002F0EF2" w:rsidRPr="008E3B9B" w:rsidRDefault="002F0EF2" w:rsidP="00031232">
            <w:pPr>
              <w:spacing w:after="0" w:line="26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6BF07716" w14:textId="415E984D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1,05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31588B2" w14:textId="02554857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C29D852" w14:textId="458FEB17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C5CC2D2" w14:textId="118F4EC4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DAAB49A" w14:textId="023555DE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8DF4846" w14:textId="5371FB18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8E44E1D" w14:textId="5036A3BC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95A093" w14:textId="77777777" w:rsidR="002F0EF2" w:rsidRPr="00031232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C3E12ED" w14:textId="77777777" w:rsidR="002F0EF2" w:rsidRPr="008E3B9B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F0EF2" w:rsidRPr="008E3B9B" w14:paraId="0ACB8370" w14:textId="77777777" w:rsidTr="003B47A7">
        <w:trPr>
          <w:trHeight w:val="269"/>
        </w:trPr>
        <w:tc>
          <w:tcPr>
            <w:tcW w:w="633" w:type="pct"/>
            <w:shd w:val="clear" w:color="auto" w:fill="D9D9D9" w:themeFill="background1" w:themeFillShade="D9"/>
          </w:tcPr>
          <w:p w14:paraId="2599EAC1" w14:textId="17D03551" w:rsidR="002F0EF2" w:rsidRPr="008E3B9B" w:rsidRDefault="002F0EF2" w:rsidP="00031232">
            <w:pPr>
              <w:spacing w:after="0" w:line="260" w:lineRule="atLeast"/>
              <w:jc w:val="center"/>
              <w:rPr>
                <w:sz w:val="18"/>
                <w:szCs w:val="20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Ulaganje</w:t>
            </w:r>
          </w:p>
        </w:tc>
        <w:tc>
          <w:tcPr>
            <w:tcW w:w="370" w:type="pct"/>
            <w:shd w:val="clear" w:color="auto" w:fill="auto"/>
          </w:tcPr>
          <w:p w14:paraId="6479CF65" w14:textId="77777777" w:rsidR="002F0EF2" w:rsidRPr="008E3B9B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14:paraId="30165153" w14:textId="77777777" w:rsidR="002F0EF2" w:rsidRPr="00FD3C85" w:rsidRDefault="002F0EF2" w:rsidP="00FD3C8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0" w:type="pct"/>
            <w:shd w:val="clear" w:color="auto" w:fill="auto"/>
          </w:tcPr>
          <w:p w14:paraId="633AABC0" w14:textId="77777777" w:rsidR="002F0EF2" w:rsidRPr="00FD3C85" w:rsidRDefault="002F0EF2" w:rsidP="00FD3C8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  <w:shd w:val="clear" w:color="auto" w:fill="auto"/>
          </w:tcPr>
          <w:p w14:paraId="5CDBD358" w14:textId="44B0BB4D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30</w:t>
            </w:r>
          </w:p>
        </w:tc>
        <w:tc>
          <w:tcPr>
            <w:tcW w:w="497" w:type="pct"/>
            <w:shd w:val="clear" w:color="auto" w:fill="auto"/>
          </w:tcPr>
          <w:p w14:paraId="7847B4B3" w14:textId="4B0E5330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60</w:t>
            </w:r>
          </w:p>
        </w:tc>
        <w:tc>
          <w:tcPr>
            <w:tcW w:w="432" w:type="pct"/>
            <w:shd w:val="clear" w:color="auto" w:fill="auto"/>
          </w:tcPr>
          <w:p w14:paraId="71EC4025" w14:textId="7F9A2696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60</w:t>
            </w:r>
          </w:p>
        </w:tc>
        <w:tc>
          <w:tcPr>
            <w:tcW w:w="370" w:type="pct"/>
            <w:shd w:val="clear" w:color="auto" w:fill="auto"/>
          </w:tcPr>
          <w:p w14:paraId="0F65B4DE" w14:textId="57C733A3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60</w:t>
            </w:r>
          </w:p>
        </w:tc>
        <w:tc>
          <w:tcPr>
            <w:tcW w:w="762" w:type="pct"/>
            <w:shd w:val="clear" w:color="auto" w:fill="auto"/>
          </w:tcPr>
          <w:p w14:paraId="4BD87201" w14:textId="1014EAD4" w:rsidR="002F0EF2" w:rsidRPr="00FD3C85" w:rsidRDefault="002F0EF2" w:rsidP="00FD3C85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50</w:t>
            </w:r>
          </w:p>
        </w:tc>
        <w:tc>
          <w:tcPr>
            <w:tcW w:w="302" w:type="pct"/>
            <w:shd w:val="clear" w:color="auto" w:fill="auto"/>
          </w:tcPr>
          <w:p w14:paraId="499A6389" w14:textId="77777777" w:rsidR="002F0EF2" w:rsidRPr="00031232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14:paraId="42E94A13" w14:textId="77777777" w:rsidR="002F0EF2" w:rsidRPr="008E3B9B" w:rsidRDefault="002F0EF2" w:rsidP="00031232">
            <w:pPr>
              <w:spacing w:after="0" w:line="26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2"/>
    </w:tbl>
    <w:p w14:paraId="0AD7F893" w14:textId="77777777" w:rsidR="00031232" w:rsidRDefault="00031232" w:rsidP="00031232">
      <w:pPr>
        <w:pStyle w:val="ListParagraph"/>
        <w:spacing w:after="120"/>
        <w:rPr>
          <w:rFonts w:cs="Arial"/>
          <w:b/>
        </w:rPr>
      </w:pPr>
    </w:p>
    <w:p w14:paraId="1FF9A388" w14:textId="120CA9BA" w:rsidR="007128F1" w:rsidRPr="00A747B0" w:rsidRDefault="007128F1" w:rsidP="00736F3D">
      <w:pPr>
        <w:pStyle w:val="ListParagraph"/>
        <w:numPr>
          <w:ilvl w:val="0"/>
          <w:numId w:val="6"/>
        </w:numPr>
        <w:tabs>
          <w:tab w:val="num" w:pos="360"/>
        </w:tabs>
        <w:spacing w:after="120"/>
        <w:rPr>
          <w:b/>
          <w:rFonts w:cs="Arial"/>
        </w:rPr>
      </w:pPr>
      <w:r>
        <w:rPr>
          <w:b/>
        </w:rPr>
        <w:t xml:space="preserve">OSTALI ASPEKTI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36"/>
      </w:tblGrid>
      <w:tr w:rsidR="001C4C77" w:rsidRPr="001C4C77" w14:paraId="7BF80DE3" w14:textId="77777777" w:rsidTr="00937F8B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35A91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556C" w14:textId="09F4B659" w:rsidR="001C4C77" w:rsidRPr="002F0EF2" w:rsidRDefault="002F0EF2" w:rsidP="002F0EF2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1C4C77" w:rsidRPr="001C4C77" w14:paraId="6B0A66F7" w14:textId="77777777" w:rsidTr="00937F8B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9AEC1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488" w14:textId="40030225" w:rsidR="001C4C77" w:rsidRPr="00FD3C85" w:rsidRDefault="002F0EF2" w:rsidP="001C4C77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</w:tr>
      <w:tr w:rsidR="001C4C77" w:rsidRPr="001C4C77" w14:paraId="49282DE0" w14:textId="77777777" w:rsidTr="00937F8B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D0F77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3EA" w14:textId="77DF6845" w:rsidR="001C4C77" w:rsidRPr="00FD3C85" w:rsidRDefault="00F65324" w:rsidP="001C4C77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Da.</w:t>
            </w:r>
          </w:p>
        </w:tc>
      </w:tr>
      <w:tr w:rsidR="001C4C77" w:rsidRPr="001C4C77" w14:paraId="3DF62218" w14:textId="77777777" w:rsidTr="00937F8B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4CA5C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90D" w14:textId="0D7860B0" w:rsidR="001C4C77" w:rsidRPr="00FD3C85" w:rsidRDefault="00F65324" w:rsidP="001C4C77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Možda u budućnosti.</w:t>
            </w:r>
          </w:p>
        </w:tc>
      </w:tr>
      <w:tr w:rsidR="001C4C77" w:rsidRPr="001C4C77" w14:paraId="4FB16E40" w14:textId="77777777" w:rsidTr="00937F8B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6B94E" w14:textId="77777777" w:rsidR="001C4C77" w:rsidRPr="001C4C77" w:rsidRDefault="001C4C77" w:rsidP="001C4C77">
            <w:pPr>
              <w:spacing w:after="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projektnog tima za realizaciju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9CDC" w14:textId="61A84450" w:rsidR="001C4C77" w:rsidRPr="00FD3C85" w:rsidRDefault="00F65324" w:rsidP="001C4C77">
            <w:pPr>
              <w:spacing w:after="0" w:line="240" w:lineRule="auto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JSP postoji za sva projektna ulaganja od grantova i sporazuma o zajmovima.</w:t>
            </w:r>
          </w:p>
        </w:tc>
      </w:tr>
    </w:tbl>
    <w:p w14:paraId="69A8E8F3" w14:textId="77777777" w:rsidR="007128F1" w:rsidRPr="007128F1" w:rsidRDefault="007128F1" w:rsidP="007128F1">
      <w:pPr>
        <w:rPr>
          <w:vanish/>
        </w:rPr>
      </w:pPr>
      <w:bookmarkStart w:id="3" w:name="BM_StartHere"/>
      <w:bookmarkEnd w:id="3"/>
    </w:p>
    <w:sectPr w:rsidR="007128F1" w:rsidRPr="007128F1" w:rsidSect="00A0470C">
      <w:headerReference w:type="default" r:id="rId11"/>
      <w:footerReference w:type="default" r:id="rId12"/>
      <w:headerReference w:type="first" r:id="rId13"/>
      <w:footerReference w:type="first" r:id="rId14"/>
      <w:pgSz w:w="11913" w:h="16834" w:code="9"/>
      <w:pgMar w:top="1080" w:right="1440" w:bottom="1440" w:left="1440" w:header="403" w:footer="0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C1A1C9" w16cid:durableId="3637457A"/>
  <w16cid:commentId w16cid:paraId="252F2CF4" w16cid:durableId="61DDC3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FCC3" w14:textId="77777777" w:rsidR="00FC0B6A" w:rsidRDefault="00FC0B6A" w:rsidP="00CE33CC">
      <w:pPr>
        <w:spacing w:after="0" w:line="240" w:lineRule="auto"/>
      </w:pPr>
      <w:r>
        <w:separator/>
      </w:r>
    </w:p>
  </w:endnote>
  <w:endnote w:type="continuationSeparator" w:id="0">
    <w:p w14:paraId="05771814" w14:textId="77777777" w:rsidR="00FC0B6A" w:rsidRDefault="00FC0B6A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1035933045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0488EE6E" w14:textId="42D67420" w:rsidR="007558DD" w:rsidRPr="00E9184A" w:rsidRDefault="007558DD">
        <w:pPr>
          <w:pStyle w:val="Footer"/>
          <w:jc w:val="right"/>
          <w:rPr>
            <w:noProof/>
            <w:color w:val="003870"/>
            <w:sz w:val="20"/>
            <w:szCs w:val="20"/>
            <w:rFonts w:ascii="Arial" w:hAnsi="Arial" w:cs="Arial"/>
          </w:rPr>
        </w:pPr>
        <w:r w:rsidRPr="00E9184A">
          <w:rPr>
            <w:color w:val="003870"/>
            <w:sz w:val="20"/>
            <w:rFonts w:ascii="Arial" w:hAnsi="Arial" w:cs="Arial"/>
          </w:rPr>
          <w:fldChar w:fldCharType="begin"/>
        </w:r>
        <w:r w:rsidRPr="00E9184A">
          <w:rPr>
            <w:color w:val="003870"/>
            <w:sz w:val="20"/>
            <w:rFonts w:ascii="Arial" w:hAnsi="Arial" w:cs="Arial"/>
          </w:rPr>
          <w:instrText xml:space="preserve"> PAGE   \* MERGEFORMAT </w:instrText>
        </w:r>
        <w:r w:rsidRPr="00E9184A">
          <w:rPr>
            <w:color w:val="003870"/>
            <w:sz w:val="20"/>
            <w:rFonts w:ascii="Arial" w:hAnsi="Arial" w:cs="Arial"/>
          </w:rPr>
          <w:fldChar w:fldCharType="separate"/>
        </w:r>
        <w:r w:rsidR="00B36E17">
          <w:rPr>
            <w:color w:val="003870"/>
            <w:sz w:val="20"/>
            <w:rFonts w:ascii="Arial" w:hAnsi="Arial" w:cs="Arial"/>
          </w:rPr>
          <w:t>2</w:t>
        </w:r>
        <w:r w:rsidRPr="00E9184A">
          <w:rPr>
            <w:color w:val="003870"/>
            <w:sz w:val="20"/>
            <w:rFonts w:ascii="Arial" w:hAnsi="Arial" w:cs="Arial"/>
          </w:rPr>
          <w:fldChar w:fldCharType="end"/>
        </w:r>
      </w:p>
      <w:p w14:paraId="142FA73D" w14:textId="77777777" w:rsidR="007558DD" w:rsidRDefault="00B36E17">
        <w:pPr>
          <w:pStyle w:val="Footer"/>
          <w:jc w:val="right"/>
        </w:pPr>
      </w:p>
    </w:sdtContent>
  </w:sdt>
  <w:p w14:paraId="032F8842" w14:textId="77777777" w:rsidR="007558DD" w:rsidRDefault="00755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1804655087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3A1F1BBF" w14:textId="7A9AEAD7" w:rsidR="007558DD" w:rsidRPr="0083451C" w:rsidRDefault="007558DD" w:rsidP="00FC644F">
        <w:pPr>
          <w:pStyle w:val="Footer"/>
          <w:jc w:val="right"/>
          <w:rPr>
            <w:noProof/>
            <w:color w:val="003870"/>
            <w:sz w:val="17"/>
            <w:szCs w:val="17"/>
            <w:rFonts w:ascii="Arial" w:hAnsi="Arial" w:cs="Arial"/>
          </w:rPr>
        </w:pPr>
        <w:r>
          <w:rPr>
            <w:color w:val="003870"/>
            <w:sz w:val="17"/>
            <w:rFonts w:ascii="Arial" w:hAnsi="Arial"/>
          </w:rPr>
          <w:br/>
        </w:r>
        <w:r w:rsidRPr="0083451C">
          <w:rPr>
            <w:color w:val="003870"/>
            <w:sz w:val="17"/>
            <w:rFonts w:ascii="Arial" w:hAnsi="Arial" w:cs="Arial"/>
          </w:rPr>
          <w:fldChar w:fldCharType="begin"/>
        </w:r>
        <w:r w:rsidRPr="0083451C">
          <w:rPr>
            <w:color w:val="003870"/>
            <w:sz w:val="17"/>
            <w:rFonts w:ascii="Arial" w:hAnsi="Arial" w:cs="Arial"/>
          </w:rPr>
          <w:instrText xml:space="preserve"> PAGE   \* MERGEFORMAT </w:instrText>
        </w:r>
        <w:r w:rsidRPr="0083451C">
          <w:rPr>
            <w:color w:val="003870"/>
            <w:sz w:val="17"/>
            <w:rFonts w:ascii="Arial" w:hAnsi="Arial" w:cs="Arial"/>
          </w:rPr>
          <w:fldChar w:fldCharType="separate"/>
        </w:r>
        <w:r w:rsidR="00B36E17">
          <w:rPr>
            <w:color w:val="003870"/>
            <w:sz w:val="17"/>
            <w:rFonts w:ascii="Arial" w:hAnsi="Arial" w:cs="Arial"/>
          </w:rPr>
          <w:t>1</w:t>
        </w:r>
        <w:r w:rsidRPr="0083451C">
          <w:rPr>
            <w:color w:val="003870"/>
            <w:sz w:val="17"/>
            <w:rFonts w:ascii="Arial" w:hAnsi="Arial" w:cs="Arial"/>
          </w:rPr>
          <w:fldChar w:fldCharType="end"/>
        </w:r>
      </w:p>
      <w:p w14:paraId="56783053" w14:textId="77777777" w:rsidR="007558DD" w:rsidRDefault="00B36E17" w:rsidP="00FC644F">
        <w:pPr>
          <w:pStyle w:val="Footer"/>
          <w:jc w:val="right"/>
          <w:rPr>
            <w:noProof/>
          </w:rPr>
        </w:pPr>
      </w:p>
    </w:sdtContent>
  </w:sdt>
  <w:p w14:paraId="5BE2B3FF" w14:textId="77777777" w:rsidR="007558DD" w:rsidRPr="00CE33CC" w:rsidRDefault="007558DD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0E912" w14:textId="77777777" w:rsidR="00FC0B6A" w:rsidRDefault="00FC0B6A" w:rsidP="00CE33CC">
      <w:pPr>
        <w:spacing w:after="0" w:line="240" w:lineRule="auto"/>
      </w:pPr>
      <w:r>
        <w:separator/>
      </w:r>
    </w:p>
  </w:footnote>
  <w:footnote w:type="continuationSeparator" w:id="0">
    <w:p w14:paraId="0BEBE250" w14:textId="77777777" w:rsidR="00FC0B6A" w:rsidRDefault="00FC0B6A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D991" w14:textId="77777777" w:rsidR="007558DD" w:rsidRDefault="007558DD" w:rsidP="00F87596">
    <w:pPr>
      <w:pStyle w:val="Header"/>
      <w:rPr>
        <w:noProof/>
      </w:rPr>
    </w:pPr>
    <w:r>
      <w:t xml:space="preserve">                                                                                     </w:t>
    </w:r>
  </w:p>
  <w:p w14:paraId="55BA73DB" w14:textId="77777777" w:rsidR="007558DD" w:rsidRDefault="007558DD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7BA8" w14:textId="77777777" w:rsidR="007558DD" w:rsidRDefault="007558DD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2901EC5"/>
    <w:multiLevelType w:val="hybridMultilevel"/>
    <w:tmpl w:val="7240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3315"/>
    <w:multiLevelType w:val="hybridMultilevel"/>
    <w:tmpl w:val="F26A875E"/>
    <w:lvl w:ilvl="0" w:tplc="473061A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967"/>
    <w:multiLevelType w:val="hybridMultilevel"/>
    <w:tmpl w:val="7ECCE60A"/>
    <w:lvl w:ilvl="0" w:tplc="CEB6D608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0540"/>
    <w:multiLevelType w:val="multilevel"/>
    <w:tmpl w:val="3DD8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8E1030"/>
    <w:multiLevelType w:val="hybridMultilevel"/>
    <w:tmpl w:val="6BD4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032A2"/>
    <w:multiLevelType w:val="hybridMultilevel"/>
    <w:tmpl w:val="26C0D990"/>
    <w:lvl w:ilvl="0" w:tplc="8E12C91A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0668E"/>
    <w:rsid w:val="00010032"/>
    <w:rsid w:val="00024F00"/>
    <w:rsid w:val="00031232"/>
    <w:rsid w:val="000525F5"/>
    <w:rsid w:val="000720BC"/>
    <w:rsid w:val="000757F4"/>
    <w:rsid w:val="00077EBE"/>
    <w:rsid w:val="000A4E3E"/>
    <w:rsid w:val="000B021F"/>
    <w:rsid w:val="000C1876"/>
    <w:rsid w:val="000E16B9"/>
    <w:rsid w:val="000E23E9"/>
    <w:rsid w:val="0012661D"/>
    <w:rsid w:val="00127BAC"/>
    <w:rsid w:val="001314A0"/>
    <w:rsid w:val="00136BB9"/>
    <w:rsid w:val="00141AD3"/>
    <w:rsid w:val="00147B81"/>
    <w:rsid w:val="00154FA9"/>
    <w:rsid w:val="00164336"/>
    <w:rsid w:val="00170C0C"/>
    <w:rsid w:val="0018576E"/>
    <w:rsid w:val="00186E7F"/>
    <w:rsid w:val="001913E5"/>
    <w:rsid w:val="00193B6B"/>
    <w:rsid w:val="0019538C"/>
    <w:rsid w:val="00197CB7"/>
    <w:rsid w:val="001A129D"/>
    <w:rsid w:val="001A1984"/>
    <w:rsid w:val="001C2CAF"/>
    <w:rsid w:val="001C4C77"/>
    <w:rsid w:val="001E12DE"/>
    <w:rsid w:val="001E21A8"/>
    <w:rsid w:val="001F405F"/>
    <w:rsid w:val="001F66ED"/>
    <w:rsid w:val="001F7312"/>
    <w:rsid w:val="0021006D"/>
    <w:rsid w:val="002106B4"/>
    <w:rsid w:val="002146EA"/>
    <w:rsid w:val="00216A63"/>
    <w:rsid w:val="00221AC3"/>
    <w:rsid w:val="00230229"/>
    <w:rsid w:val="00252A19"/>
    <w:rsid w:val="00254927"/>
    <w:rsid w:val="0025756E"/>
    <w:rsid w:val="0026664D"/>
    <w:rsid w:val="00267781"/>
    <w:rsid w:val="00286652"/>
    <w:rsid w:val="002B15FF"/>
    <w:rsid w:val="002C2789"/>
    <w:rsid w:val="002C3FAA"/>
    <w:rsid w:val="002C4479"/>
    <w:rsid w:val="002D0C11"/>
    <w:rsid w:val="002F0EF2"/>
    <w:rsid w:val="002F395B"/>
    <w:rsid w:val="0030074C"/>
    <w:rsid w:val="003234A2"/>
    <w:rsid w:val="003269F3"/>
    <w:rsid w:val="003332E9"/>
    <w:rsid w:val="00341EA2"/>
    <w:rsid w:val="003540DB"/>
    <w:rsid w:val="00363E90"/>
    <w:rsid w:val="003763E8"/>
    <w:rsid w:val="00393D13"/>
    <w:rsid w:val="00397383"/>
    <w:rsid w:val="003B0C7E"/>
    <w:rsid w:val="003B2BCA"/>
    <w:rsid w:val="003B47A7"/>
    <w:rsid w:val="003B6507"/>
    <w:rsid w:val="003B7E03"/>
    <w:rsid w:val="003E32B1"/>
    <w:rsid w:val="003F72F1"/>
    <w:rsid w:val="00412F9A"/>
    <w:rsid w:val="00415FC4"/>
    <w:rsid w:val="00422C24"/>
    <w:rsid w:val="0043684E"/>
    <w:rsid w:val="00445DCF"/>
    <w:rsid w:val="0045458E"/>
    <w:rsid w:val="00461529"/>
    <w:rsid w:val="00467CC4"/>
    <w:rsid w:val="004700B2"/>
    <w:rsid w:val="004969CD"/>
    <w:rsid w:val="004974EC"/>
    <w:rsid w:val="004A4EB8"/>
    <w:rsid w:val="004B0568"/>
    <w:rsid w:val="004B21C7"/>
    <w:rsid w:val="005017C1"/>
    <w:rsid w:val="00501A11"/>
    <w:rsid w:val="005061A3"/>
    <w:rsid w:val="00507C64"/>
    <w:rsid w:val="005148BB"/>
    <w:rsid w:val="0052701E"/>
    <w:rsid w:val="005421C3"/>
    <w:rsid w:val="00542768"/>
    <w:rsid w:val="005531AD"/>
    <w:rsid w:val="00576C27"/>
    <w:rsid w:val="005A3F39"/>
    <w:rsid w:val="005A5353"/>
    <w:rsid w:val="005B145C"/>
    <w:rsid w:val="005B7C3B"/>
    <w:rsid w:val="005F471C"/>
    <w:rsid w:val="00602E39"/>
    <w:rsid w:val="00611B8D"/>
    <w:rsid w:val="006149B7"/>
    <w:rsid w:val="00615D15"/>
    <w:rsid w:val="0062444C"/>
    <w:rsid w:val="00631B88"/>
    <w:rsid w:val="006419D2"/>
    <w:rsid w:val="0065147C"/>
    <w:rsid w:val="006567FF"/>
    <w:rsid w:val="00661886"/>
    <w:rsid w:val="00665229"/>
    <w:rsid w:val="00667A77"/>
    <w:rsid w:val="00667E55"/>
    <w:rsid w:val="00675E0A"/>
    <w:rsid w:val="0067618D"/>
    <w:rsid w:val="00685929"/>
    <w:rsid w:val="00691C31"/>
    <w:rsid w:val="006C4CF5"/>
    <w:rsid w:val="006D2384"/>
    <w:rsid w:val="006D5800"/>
    <w:rsid w:val="006D779C"/>
    <w:rsid w:val="006E23C6"/>
    <w:rsid w:val="006E585A"/>
    <w:rsid w:val="006E6F64"/>
    <w:rsid w:val="006F1611"/>
    <w:rsid w:val="006F7F4F"/>
    <w:rsid w:val="0070491D"/>
    <w:rsid w:val="007054F7"/>
    <w:rsid w:val="007112D4"/>
    <w:rsid w:val="007127EF"/>
    <w:rsid w:val="007128F1"/>
    <w:rsid w:val="00712D73"/>
    <w:rsid w:val="00721278"/>
    <w:rsid w:val="00722DB4"/>
    <w:rsid w:val="0072435F"/>
    <w:rsid w:val="00732239"/>
    <w:rsid w:val="00735156"/>
    <w:rsid w:val="00736F3D"/>
    <w:rsid w:val="0074067A"/>
    <w:rsid w:val="00743564"/>
    <w:rsid w:val="007558DD"/>
    <w:rsid w:val="007615F1"/>
    <w:rsid w:val="00775C29"/>
    <w:rsid w:val="00783583"/>
    <w:rsid w:val="0078775D"/>
    <w:rsid w:val="00796486"/>
    <w:rsid w:val="00796CE1"/>
    <w:rsid w:val="007A2B76"/>
    <w:rsid w:val="007A37ED"/>
    <w:rsid w:val="007A5919"/>
    <w:rsid w:val="007A679C"/>
    <w:rsid w:val="007B0787"/>
    <w:rsid w:val="007E0605"/>
    <w:rsid w:val="0080714D"/>
    <w:rsid w:val="00811AB2"/>
    <w:rsid w:val="00824145"/>
    <w:rsid w:val="00832D07"/>
    <w:rsid w:val="0083451C"/>
    <w:rsid w:val="00850148"/>
    <w:rsid w:val="00860D34"/>
    <w:rsid w:val="00886B8D"/>
    <w:rsid w:val="00893112"/>
    <w:rsid w:val="00893640"/>
    <w:rsid w:val="008A09BD"/>
    <w:rsid w:val="008A701B"/>
    <w:rsid w:val="008A7CB5"/>
    <w:rsid w:val="008C193F"/>
    <w:rsid w:val="008C79BD"/>
    <w:rsid w:val="008C7C9A"/>
    <w:rsid w:val="008F59D1"/>
    <w:rsid w:val="00914EE9"/>
    <w:rsid w:val="00922308"/>
    <w:rsid w:val="00931F30"/>
    <w:rsid w:val="00937472"/>
    <w:rsid w:val="00937F8B"/>
    <w:rsid w:val="00947350"/>
    <w:rsid w:val="00952C64"/>
    <w:rsid w:val="00953B92"/>
    <w:rsid w:val="0095455F"/>
    <w:rsid w:val="00995582"/>
    <w:rsid w:val="009A0C14"/>
    <w:rsid w:val="009A3EEF"/>
    <w:rsid w:val="009B40B9"/>
    <w:rsid w:val="009C1813"/>
    <w:rsid w:val="009C541E"/>
    <w:rsid w:val="009D0C01"/>
    <w:rsid w:val="009D5943"/>
    <w:rsid w:val="00A0470C"/>
    <w:rsid w:val="00A17D01"/>
    <w:rsid w:val="00A20826"/>
    <w:rsid w:val="00A215E1"/>
    <w:rsid w:val="00A30658"/>
    <w:rsid w:val="00A4250C"/>
    <w:rsid w:val="00A442DF"/>
    <w:rsid w:val="00A50015"/>
    <w:rsid w:val="00A62A5E"/>
    <w:rsid w:val="00A6635A"/>
    <w:rsid w:val="00A72E88"/>
    <w:rsid w:val="00A747B0"/>
    <w:rsid w:val="00A8031B"/>
    <w:rsid w:val="00A8066B"/>
    <w:rsid w:val="00A8114B"/>
    <w:rsid w:val="00A84C6D"/>
    <w:rsid w:val="00A86B40"/>
    <w:rsid w:val="00A95CF8"/>
    <w:rsid w:val="00AB64A5"/>
    <w:rsid w:val="00AE0D8D"/>
    <w:rsid w:val="00AE0DA2"/>
    <w:rsid w:val="00AE1E85"/>
    <w:rsid w:val="00B32D17"/>
    <w:rsid w:val="00B35515"/>
    <w:rsid w:val="00B36E17"/>
    <w:rsid w:val="00B55BCF"/>
    <w:rsid w:val="00B82EF8"/>
    <w:rsid w:val="00B90398"/>
    <w:rsid w:val="00B9360E"/>
    <w:rsid w:val="00BA1CB5"/>
    <w:rsid w:val="00BA50FA"/>
    <w:rsid w:val="00BA5857"/>
    <w:rsid w:val="00BB6077"/>
    <w:rsid w:val="00BC10D1"/>
    <w:rsid w:val="00BC4F23"/>
    <w:rsid w:val="00BD2A57"/>
    <w:rsid w:val="00BD6023"/>
    <w:rsid w:val="00BD6A68"/>
    <w:rsid w:val="00BE11CE"/>
    <w:rsid w:val="00BE2A05"/>
    <w:rsid w:val="00C264B7"/>
    <w:rsid w:val="00C37FCD"/>
    <w:rsid w:val="00C514AC"/>
    <w:rsid w:val="00C51EFA"/>
    <w:rsid w:val="00C64DD6"/>
    <w:rsid w:val="00C67527"/>
    <w:rsid w:val="00CA77CF"/>
    <w:rsid w:val="00CB0EAE"/>
    <w:rsid w:val="00CC0407"/>
    <w:rsid w:val="00CD07AA"/>
    <w:rsid w:val="00CD3BA4"/>
    <w:rsid w:val="00CD50BB"/>
    <w:rsid w:val="00CD787F"/>
    <w:rsid w:val="00CE33CC"/>
    <w:rsid w:val="00CE6131"/>
    <w:rsid w:val="00CE64A2"/>
    <w:rsid w:val="00CE7BFD"/>
    <w:rsid w:val="00CF1732"/>
    <w:rsid w:val="00D114EC"/>
    <w:rsid w:val="00D22392"/>
    <w:rsid w:val="00D61624"/>
    <w:rsid w:val="00D61F1E"/>
    <w:rsid w:val="00D71115"/>
    <w:rsid w:val="00D81321"/>
    <w:rsid w:val="00DA0925"/>
    <w:rsid w:val="00DA2C1F"/>
    <w:rsid w:val="00DA5F0A"/>
    <w:rsid w:val="00DA6FAA"/>
    <w:rsid w:val="00DB0411"/>
    <w:rsid w:val="00DB2EA1"/>
    <w:rsid w:val="00DB4132"/>
    <w:rsid w:val="00DB5E86"/>
    <w:rsid w:val="00DC17A6"/>
    <w:rsid w:val="00DD3C66"/>
    <w:rsid w:val="00DD7856"/>
    <w:rsid w:val="00DE26B0"/>
    <w:rsid w:val="00DE330A"/>
    <w:rsid w:val="00E0470F"/>
    <w:rsid w:val="00E05F2D"/>
    <w:rsid w:val="00E1318A"/>
    <w:rsid w:val="00E22F37"/>
    <w:rsid w:val="00E242B5"/>
    <w:rsid w:val="00E272A8"/>
    <w:rsid w:val="00E3291B"/>
    <w:rsid w:val="00E417C4"/>
    <w:rsid w:val="00E43678"/>
    <w:rsid w:val="00E54449"/>
    <w:rsid w:val="00E60C1C"/>
    <w:rsid w:val="00E747B6"/>
    <w:rsid w:val="00E755DC"/>
    <w:rsid w:val="00E85547"/>
    <w:rsid w:val="00E9184A"/>
    <w:rsid w:val="00E96673"/>
    <w:rsid w:val="00E96C6C"/>
    <w:rsid w:val="00E97FE3"/>
    <w:rsid w:val="00EA0570"/>
    <w:rsid w:val="00EA3F5D"/>
    <w:rsid w:val="00EB44D6"/>
    <w:rsid w:val="00EC0CD1"/>
    <w:rsid w:val="00EC7FCC"/>
    <w:rsid w:val="00ED226B"/>
    <w:rsid w:val="00ED3823"/>
    <w:rsid w:val="00ED4AEF"/>
    <w:rsid w:val="00EE09C9"/>
    <w:rsid w:val="00EE6582"/>
    <w:rsid w:val="00EF48D7"/>
    <w:rsid w:val="00F00A67"/>
    <w:rsid w:val="00F10CA5"/>
    <w:rsid w:val="00F17A7B"/>
    <w:rsid w:val="00F30536"/>
    <w:rsid w:val="00F31505"/>
    <w:rsid w:val="00F6479A"/>
    <w:rsid w:val="00F65324"/>
    <w:rsid w:val="00F666E9"/>
    <w:rsid w:val="00F87596"/>
    <w:rsid w:val="00F9318C"/>
    <w:rsid w:val="00FB55F3"/>
    <w:rsid w:val="00FC0B6A"/>
    <w:rsid w:val="00FC23B3"/>
    <w:rsid w:val="00FC5BA6"/>
    <w:rsid w:val="00FC644F"/>
    <w:rsid w:val="00FD3C85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00B8B"/>
  <w15:docId w15:val="{FCC222B6-2350-4668-9339-DBF19B40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Latn-R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sr-Latn-R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r-Latn-R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sr-Latn-RS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rsid w:val="00197CB7"/>
    <w:rPr>
      <w:rFonts w:ascii="Arial" w:eastAsia="Calibri" w:hAnsi="Arial"/>
      <w:szCs w:val="22"/>
      <w:lang w:val="sr-Latn-R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"/>
      </w:numPr>
      <w:spacing w:after="0" w:line="260" w:lineRule="exact"/>
    </w:pPr>
    <w:rPr>
      <w:rFonts w:ascii="Arial" w:hAnsi="Arial" w:cs="Arial"/>
      <w:sz w:val="20"/>
      <w:szCs w:val="24"/>
      <w:lang w:val="sr-Latn-R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sr-Latn-R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r-Latn-R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sr-Latn-R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6F1611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6F1611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017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7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470C"/>
    <w:rPr>
      <w:rFonts w:ascii="Arial" w:eastAsiaTheme="minorHAnsi" w:hAnsi="Arial" w:cstheme="minorBidi"/>
      <w:sz w:val="24"/>
      <w:szCs w:val="22"/>
      <w:lang w:val="sr-Latn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A0470C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A0470C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A0470C"/>
    <w:rPr>
      <w:rFonts w:eastAsia="Calibri"/>
      <w:sz w:val="22"/>
      <w:szCs w:val="22"/>
      <w:lang w:val="sr-Latn-R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6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zimkastrat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99B0-2A0D-4B66-9E39-E31A9BAB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3821</Words>
  <Characters>21781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Workshop Summary Report</vt:lpstr>
      <vt:lpstr>Workshop Summary Report</vt:lpstr>
    </vt:vector>
  </TitlesOfParts>
  <Company/>
  <LinksUpToDate>false</LinksUpToDate>
  <CharactersWithSpaces>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14</cp:revision>
  <cp:lastPrinted>2015-01-05T12:29:00Z</cp:lastPrinted>
  <dcterms:created xsi:type="dcterms:W3CDTF">2024-08-08T09:29:00Z</dcterms:created>
  <dcterms:modified xsi:type="dcterms:W3CDTF">2024-08-20T09:04:00Z</dcterms:modified>
</cp:coreProperties>
</file>