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554BB" w14:textId="73DCFBC3" w:rsidR="00934C2A" w:rsidRPr="00697017" w:rsidRDefault="00934C2A" w:rsidP="00A5323C">
      <w:pPr>
        <w:pStyle w:val="Title"/>
        <w:pBdr>
          <w:bottom w:val="single" w:sz="8" w:space="0" w:color="5B9BD5"/>
        </w:pBdr>
        <w:spacing w:before="120" w:after="0" w:line="276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/>
          <w:sz w:val="36"/>
        </w:rPr>
        <w:t>Formulari i identifikimit të projektit (FIP): Sektori i Mjedisit</w:t>
      </w:r>
    </w:p>
    <w:p w14:paraId="2D803D69" w14:textId="2BC0B6D1" w:rsidR="00934C2A" w:rsidRPr="00697017" w:rsidRDefault="00934C2A" w:rsidP="00934C2A">
      <w:pPr>
        <w:pStyle w:val="Heading1"/>
        <w:spacing w:before="240" w:after="12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</w:rPr>
        <w:t>Pjesa e parë</w:t>
      </w:r>
    </w:p>
    <w:p w14:paraId="5D771604" w14:textId="77777777" w:rsidR="00132AEF" w:rsidRPr="002F72DF" w:rsidRDefault="00132AEF" w:rsidP="00132AEF">
      <w:pPr>
        <w:pStyle w:val="ListParagraph"/>
        <w:numPr>
          <w:ilvl w:val="0"/>
          <w:numId w:val="2"/>
        </w:numPr>
        <w:spacing w:before="200" w:after="120"/>
        <w:rPr>
          <w:rFonts w:ascii="Arial" w:hAnsi="Arial" w:cs="Arial"/>
          <w:b/>
          <w:szCs w:val="20"/>
        </w:rPr>
      </w:pPr>
      <w:r>
        <w:rPr>
          <w:rFonts w:ascii="Arial" w:hAnsi="Arial"/>
          <w:b/>
          <w:bCs/>
        </w:rPr>
        <w:t>INFORMACIONE TË PËRGJITHSHME</w:t>
      </w:r>
    </w:p>
    <w:tbl>
      <w:tblPr>
        <w:tblW w:w="4947" w:type="pct"/>
        <w:jc w:val="center"/>
        <w:tblLook w:val="01E0" w:firstRow="1" w:lastRow="1" w:firstColumn="1" w:lastColumn="1" w:noHBand="0" w:noVBand="0"/>
      </w:tblPr>
      <w:tblGrid>
        <w:gridCol w:w="2785"/>
        <w:gridCol w:w="6466"/>
      </w:tblGrid>
      <w:tr w:rsidR="00132AEF" w:rsidRPr="002F72DF" w14:paraId="0BCD91CF" w14:textId="77777777" w:rsidTr="00F14E3A">
        <w:trPr>
          <w:trHeight w:val="346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46E85" w14:textId="2BB48A40" w:rsidR="00132AEF" w:rsidRPr="002F72DF" w:rsidRDefault="00AB2091" w:rsidP="00B33247">
            <w:pPr>
              <w:spacing w:before="60" w:after="60" w:line="26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Titulli i projektit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C0B4" w14:textId="4C745E75" w:rsidR="00132AEF" w:rsidRPr="00187B15" w:rsidRDefault="00132AEF" w:rsidP="00F11D65">
            <w:pPr>
              <w:spacing w:before="60" w:after="6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Ndërtimi i sistemit hidro-teknik Desivojcë-Kremenatë-Gjyrishevc</w:t>
            </w:r>
          </w:p>
        </w:tc>
      </w:tr>
      <w:tr w:rsidR="00132AEF" w:rsidRPr="002F72DF" w14:paraId="0B2E3FE7" w14:textId="77777777" w:rsidTr="00187B15">
        <w:trPr>
          <w:trHeight w:val="674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F728F" w14:textId="77777777" w:rsidR="00132AEF" w:rsidRPr="002F72DF" w:rsidRDefault="00132AEF" w:rsidP="00B3324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Sektori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D947" w14:textId="0297F489" w:rsidR="00132AEF" w:rsidRPr="00187B15" w:rsidRDefault="00132AEF" w:rsidP="00187B1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Mjedisi</w:t>
            </w:r>
          </w:p>
        </w:tc>
      </w:tr>
      <w:tr w:rsidR="00132AEF" w:rsidRPr="002F72DF" w14:paraId="39A31613" w14:textId="77777777" w:rsidTr="00F14E3A">
        <w:trPr>
          <w:trHeight w:val="330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5642DC" w14:textId="482883CE" w:rsidR="00132AEF" w:rsidRPr="002F72DF" w:rsidRDefault="00132AEF" w:rsidP="00AB2091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Nënsektori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9F67" w14:textId="07F9C457" w:rsidR="00132AEF" w:rsidRPr="002F72DF" w:rsidRDefault="00062AD6" w:rsidP="007F5968">
            <w:pPr>
              <w:spacing w:before="60" w:after="6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Furnizimi</w:t>
            </w:r>
            <w:r w:rsidR="00132AEF">
              <w:rPr>
                <w:rFonts w:ascii="Arial" w:hAnsi="Arial"/>
                <w:sz w:val="20"/>
              </w:rPr>
              <w:t xml:space="preserve"> me ujë </w:t>
            </w:r>
          </w:p>
        </w:tc>
      </w:tr>
      <w:tr w:rsidR="00132AEF" w:rsidRPr="002F72DF" w14:paraId="0C86B454" w14:textId="77777777" w:rsidTr="00F14E3A">
        <w:trPr>
          <w:trHeight w:val="330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2A0DB" w14:textId="77777777" w:rsidR="00132AEF" w:rsidRPr="002F72DF" w:rsidRDefault="00132AEF" w:rsidP="00B3324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Përfituesi/propozuesi kryesor i projektit: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13B0" w14:textId="6732B2CE" w:rsidR="008C733A" w:rsidRPr="002F72DF" w:rsidRDefault="008C733A" w:rsidP="00B33247">
            <w:pPr>
              <w:spacing w:before="60" w:after="6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Përfituesit kryesorë: Ministria e Mjedisit, Planifikimit Hapësinor dhe Infrastrukturës (MMPHI), Ministria e Ekonomisë (ME)</w:t>
            </w:r>
          </w:p>
          <w:p w14:paraId="16EFE73C" w14:textId="70A1971A" w:rsidR="008C733A" w:rsidRPr="002F72DF" w:rsidRDefault="00132AEF" w:rsidP="00B33247">
            <w:pPr>
              <w:spacing w:before="60" w:after="6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Përfitues të tjerë: Ministria e Bujqësisë, Pylltarisë dhe Zhvillimit Rural, Komuna e Kamenicës, KRU “Hidromorava”, Kompanitë e Ujitjes  </w:t>
            </w:r>
          </w:p>
        </w:tc>
      </w:tr>
      <w:tr w:rsidR="00132AEF" w:rsidRPr="002F72DF" w14:paraId="11541CAA" w14:textId="77777777" w:rsidTr="00F14E3A">
        <w:trPr>
          <w:trHeight w:val="330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81B4C" w14:textId="77777777" w:rsidR="00132AEF" w:rsidRPr="002F72DF" w:rsidRDefault="00132AEF" w:rsidP="00B3324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Institucioni që është autor i propozimit të projektit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EEC8" w14:textId="5AA554AC" w:rsidR="00132AEF" w:rsidRPr="002F72DF" w:rsidRDefault="008F63FE" w:rsidP="008A15C2">
            <w:pPr>
              <w:spacing w:before="60" w:after="6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Ministria e Mjedisit, Planifikimit Hapësinor dhe Infrastrukturës  </w:t>
            </w:r>
          </w:p>
        </w:tc>
      </w:tr>
      <w:tr w:rsidR="00132AEF" w:rsidRPr="002F72DF" w14:paraId="30BF9777" w14:textId="77777777" w:rsidTr="00F14E3A">
        <w:trPr>
          <w:trHeight w:val="330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C6D76" w14:textId="77777777" w:rsidR="00132AEF" w:rsidRPr="002F72DF" w:rsidRDefault="00132AEF" w:rsidP="00B3324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Vendndodhja/Harta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418D" w14:textId="11F14B6D" w:rsidR="00132AEF" w:rsidRPr="002F72DF" w:rsidRDefault="00132AEF" w:rsidP="00B33247">
            <w:pPr>
              <w:spacing w:before="60" w:after="6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Territori Administrativ i Komunës së Kamenicës, pjesa Lindore e Republikës së Kosovës, rreth 100 km nga Prishtina.  </w:t>
            </w:r>
          </w:p>
        </w:tc>
      </w:tr>
      <w:tr w:rsidR="00132AEF" w:rsidRPr="002F72DF" w14:paraId="0A0C47F1" w14:textId="77777777" w:rsidTr="00F14E3A">
        <w:trPr>
          <w:trHeight w:val="330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227085" w14:textId="77777777" w:rsidR="00132AEF" w:rsidRPr="002F72DF" w:rsidRDefault="00132AEF" w:rsidP="00B3324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Investimi total i parashikuar:</w:t>
            </w:r>
          </w:p>
          <w:p w14:paraId="6143724F" w14:textId="77777777" w:rsidR="00132AEF" w:rsidRPr="002F72DF" w:rsidRDefault="00132AEF" w:rsidP="00132AEF">
            <w:pPr>
              <w:numPr>
                <w:ilvl w:val="0"/>
                <w:numId w:val="1"/>
              </w:numPr>
              <w:spacing w:before="60" w:after="60" w:line="260" w:lineRule="atLeast"/>
              <w:ind w:left="223" w:hanging="2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Aktivitetet përgatitore (dokumentacioni planifikues, dokumentacioni teknik, marrja e tokës etj.) </w:t>
            </w:r>
          </w:p>
          <w:p w14:paraId="7385324A" w14:textId="77777777" w:rsidR="00132AEF" w:rsidRPr="002F72DF" w:rsidRDefault="00132AEF" w:rsidP="00132AEF">
            <w:pPr>
              <w:numPr>
                <w:ilvl w:val="0"/>
                <w:numId w:val="1"/>
              </w:numPr>
              <w:spacing w:before="60" w:after="60" w:line="260" w:lineRule="atLeast"/>
              <w:ind w:left="223" w:hanging="2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Punimet ndërtimore</w:t>
            </w:r>
          </w:p>
          <w:p w14:paraId="57E728CF" w14:textId="77777777" w:rsidR="00132AEF" w:rsidRPr="002F72DF" w:rsidRDefault="00132AEF" w:rsidP="00132AEF">
            <w:pPr>
              <w:numPr>
                <w:ilvl w:val="0"/>
                <w:numId w:val="1"/>
              </w:numPr>
              <w:spacing w:before="60" w:after="60" w:line="260" w:lineRule="atLeast"/>
              <w:ind w:left="223" w:hanging="2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Mbikëqyrja 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993A" w14:textId="4123C96C" w:rsidR="00132AEF" w:rsidRPr="00F16D01" w:rsidRDefault="00132AEF" w:rsidP="00F14E3A">
            <w:pPr>
              <w:spacing w:after="0" w:line="26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Investimi total i parashikuar: 50,900,000 EUR</w:t>
            </w:r>
          </w:p>
          <w:p w14:paraId="4E85C202" w14:textId="08CCE903" w:rsidR="00F11D65" w:rsidRPr="009231E1" w:rsidRDefault="009231E1" w:rsidP="00F14E3A">
            <w:pPr>
              <w:spacing w:after="0" w:line="26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Nga të cilat:</w:t>
            </w:r>
          </w:p>
          <w:p w14:paraId="4CCC084F" w14:textId="2E9427A5" w:rsidR="00132AEF" w:rsidRPr="002F72DF" w:rsidRDefault="00132AEF" w:rsidP="00F14E3A">
            <w:pPr>
              <w:spacing w:after="0" w:line="26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Aktivitetet përgatitore: 5,000,000 EUR</w:t>
            </w:r>
          </w:p>
          <w:p w14:paraId="4A679F0F" w14:textId="109034F0" w:rsidR="00132AEF" w:rsidRPr="002F72DF" w:rsidRDefault="00132AEF" w:rsidP="00F14E3A">
            <w:pPr>
              <w:spacing w:after="0" w:line="26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Punimet ndërtimore: 43,400,000 EUR</w:t>
            </w:r>
          </w:p>
          <w:p w14:paraId="37AD2FB7" w14:textId="700F0E6B" w:rsidR="00132AEF" w:rsidRPr="002F72DF" w:rsidRDefault="00132AEF" w:rsidP="00F14E3A">
            <w:pPr>
              <w:spacing w:after="0" w:line="26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Mbikëqyrja: 2,500,000 EUR</w:t>
            </w:r>
          </w:p>
        </w:tc>
      </w:tr>
      <w:tr w:rsidR="00132AEF" w:rsidRPr="002F72DF" w14:paraId="27A05B29" w14:textId="77777777" w:rsidTr="00F14E3A">
        <w:trPr>
          <w:trHeight w:val="346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308E78" w14:textId="77777777" w:rsidR="00132AEF" w:rsidRPr="002F72DF" w:rsidRDefault="00132AEF" w:rsidP="00B33247">
            <w:pPr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Personi përgjegjës ose i autorizuar për kontakt: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41A0" w14:textId="6DA42885" w:rsidR="00132AEF" w:rsidRPr="002F72DF" w:rsidRDefault="00F16D01" w:rsidP="0001699B">
            <w:pPr>
              <w:spacing w:before="60" w:after="6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Naser Hafizi</w:t>
            </w:r>
          </w:p>
        </w:tc>
      </w:tr>
      <w:tr w:rsidR="00132AEF" w:rsidRPr="002F72DF" w14:paraId="64663D6B" w14:textId="77777777" w:rsidTr="00F14E3A">
        <w:trPr>
          <w:trHeight w:val="692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60B09" w14:textId="77777777" w:rsidR="00132AEF" w:rsidRPr="002F72DF" w:rsidRDefault="00132AEF" w:rsidP="00B3324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Emri – Pozita: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3BA0" w14:textId="4243271D" w:rsidR="00132AEF" w:rsidRPr="002F72DF" w:rsidRDefault="00BD06A0" w:rsidP="0001699B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Naser Hafizi, Drejtor, Autoriteti Rajonal i Pellgjeve Lumore / MESPI </w:t>
            </w:r>
          </w:p>
        </w:tc>
      </w:tr>
      <w:tr w:rsidR="00132AEF" w:rsidRPr="002F72DF" w14:paraId="0203536C" w14:textId="77777777" w:rsidTr="00F14E3A">
        <w:trPr>
          <w:trHeight w:val="346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F18F9" w14:textId="77777777" w:rsidR="00132AEF" w:rsidRPr="002F72DF" w:rsidRDefault="00132AEF" w:rsidP="00B3324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Adresa e emailit - Telefoni: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DFE7" w14:textId="1151AE81" w:rsidR="00132AEF" w:rsidRPr="00696CAF" w:rsidRDefault="003916EF" w:rsidP="00696CAF">
            <w:pPr>
              <w:spacing w:before="60" w:after="60" w:line="260" w:lineRule="atLeast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9231E1">
                <w:rPr>
                  <w:rStyle w:val="Hyperlink"/>
                  <w:rFonts w:ascii="Arial" w:hAnsi="Arial"/>
                  <w:sz w:val="20"/>
                </w:rPr>
                <w:t>naser.afizi@rks-gov.net</w:t>
              </w:r>
            </w:hyperlink>
            <w:r w:rsidR="009231E1">
              <w:rPr>
                <w:rFonts w:ascii="Arial" w:hAnsi="Arial"/>
                <w:sz w:val="20"/>
              </w:rPr>
              <w:t xml:space="preserve">;  +383 (0) 38 200 74 056 </w:t>
            </w:r>
          </w:p>
        </w:tc>
      </w:tr>
    </w:tbl>
    <w:p w14:paraId="4BB97C6E" w14:textId="77777777" w:rsidR="00FE4A4E" w:rsidRPr="00FE4A4E" w:rsidRDefault="00FE4A4E" w:rsidP="00FE4A4E">
      <w:pPr>
        <w:spacing w:before="200" w:after="120"/>
        <w:jc w:val="both"/>
        <w:rPr>
          <w:rFonts w:ascii="Arial" w:hAnsi="Arial" w:cs="Arial"/>
          <w:b/>
          <w:szCs w:val="20"/>
        </w:rPr>
      </w:pPr>
    </w:p>
    <w:p w14:paraId="36880099" w14:textId="77777777" w:rsidR="00132AEF" w:rsidRPr="002F72DF" w:rsidRDefault="00132AEF" w:rsidP="00132AEF">
      <w:pPr>
        <w:pStyle w:val="ListParagraph"/>
        <w:numPr>
          <w:ilvl w:val="0"/>
          <w:numId w:val="2"/>
        </w:numPr>
        <w:spacing w:before="200" w:after="120"/>
        <w:jc w:val="both"/>
        <w:rPr>
          <w:rFonts w:ascii="Arial" w:hAnsi="Arial" w:cs="Arial"/>
          <w:b/>
          <w:szCs w:val="20"/>
        </w:rPr>
      </w:pPr>
      <w:r>
        <w:rPr>
          <w:rFonts w:ascii="Arial" w:hAnsi="Arial"/>
          <w:b/>
        </w:rPr>
        <w:t>PËRSHKRIMI I PROJEKTIT</w:t>
      </w:r>
    </w:p>
    <w:tbl>
      <w:tblPr>
        <w:tblW w:w="4979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767"/>
        <w:gridCol w:w="6544"/>
      </w:tblGrid>
      <w:tr w:rsidR="0085436E" w:rsidRPr="002F72DF" w14:paraId="3F50D929" w14:textId="77777777" w:rsidTr="00F14E3A">
        <w:trPr>
          <w:trHeight w:val="346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BCDF1" w14:textId="77777777" w:rsidR="00132AEF" w:rsidRPr="002F72DF" w:rsidRDefault="00132AEF" w:rsidP="00B3324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Qëllimi i projektit infrastrukturor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0A9" w14:textId="4A3A2F2F" w:rsidR="00132AEF" w:rsidRPr="002F72DF" w:rsidRDefault="00132AEF" w:rsidP="00B33247">
            <w:pPr>
              <w:spacing w:before="60" w:after="60" w:line="26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Ndërtimi i Sistemit Hidroteknik Desivojcë - Kremenatë - Gjyrishevc synon furnizimin me ujë të pijes për rreth 45,000 banorë të këtyre komunave, mundëson ujitjen e rreth 6,000 ha tokë bujqësore, mbrojtjen e qytetarëve nga përmbytjet, sigurimin e rezervave ujore prej rreth 35 milionë m</w:t>
            </w:r>
            <w:r>
              <w:rPr>
                <w:rFonts w:ascii="Arial" w:hAnsi="Arial"/>
                <w:sz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</w:rPr>
              <w:t>, sigurimin e furnizimit me ujë për industrinë prej rreth 5 milionë m</w:t>
            </w:r>
            <w:r>
              <w:rPr>
                <w:rFonts w:ascii="Arial" w:hAnsi="Arial"/>
                <w:sz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</w:rPr>
              <w:t>.</w:t>
            </w:r>
          </w:p>
        </w:tc>
      </w:tr>
      <w:tr w:rsidR="0085436E" w:rsidRPr="002F72DF" w14:paraId="4DCF7FCF" w14:textId="77777777" w:rsidTr="00F14E3A">
        <w:trPr>
          <w:trHeight w:val="330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7C25B" w14:textId="77777777" w:rsidR="00132AEF" w:rsidRPr="002F72DF" w:rsidRDefault="00132AEF" w:rsidP="00B33247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Rezultatet e projektit infrastrukturor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D15D" w14:textId="20F2A528" w:rsidR="00132AEF" w:rsidRPr="00F11D65" w:rsidRDefault="00132AEF" w:rsidP="00F11D65">
            <w:pPr>
              <w:pStyle w:val="ListParagraph"/>
              <w:numPr>
                <w:ilvl w:val="0"/>
                <w:numId w:val="14"/>
              </w:num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Rregullimi i regjimit të ujit dhe mbrojtja nga erozioni dhe përmbytjet;</w:t>
            </w:r>
          </w:p>
          <w:p w14:paraId="2B878805" w14:textId="17B6B7FD" w:rsidR="00132AEF" w:rsidRPr="00F11D65" w:rsidRDefault="00130C8F" w:rsidP="00F11D65">
            <w:pPr>
              <w:pStyle w:val="ListParagraph"/>
              <w:numPr>
                <w:ilvl w:val="0"/>
                <w:numId w:val="14"/>
              </w:num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Uji i rezervuar rreth 35 milion m</w:t>
            </w:r>
            <w:r>
              <w:rPr>
                <w:rFonts w:ascii="Arial" w:hAnsi="Arial"/>
                <w:sz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</w:rPr>
              <w:t>;</w:t>
            </w:r>
          </w:p>
          <w:p w14:paraId="0979FA3E" w14:textId="57BD3130" w:rsidR="00132AEF" w:rsidRPr="00F11D65" w:rsidRDefault="00132AEF" w:rsidP="00F11D65">
            <w:pPr>
              <w:pStyle w:val="ListParagraph"/>
              <w:numPr>
                <w:ilvl w:val="0"/>
                <w:numId w:val="14"/>
              </w:num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Rritja e nivelit të shërbimeve të furnizimit me ujë (deri në 5 milionë m</w:t>
            </w:r>
            <w:r>
              <w:rPr>
                <w:rFonts w:ascii="Arial" w:hAnsi="Arial"/>
                <w:sz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</w:rPr>
              <w:t xml:space="preserve"> të ujit të pijes);</w:t>
            </w:r>
          </w:p>
          <w:p w14:paraId="2781C882" w14:textId="1014D4D5" w:rsidR="00132AEF" w:rsidRPr="00F11D65" w:rsidRDefault="00132AEF" w:rsidP="00F11D65">
            <w:pPr>
              <w:pStyle w:val="ListParagraph"/>
              <w:numPr>
                <w:ilvl w:val="0"/>
                <w:numId w:val="14"/>
              </w:num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Ujitja e 6,000 ha tokë bujqësore;</w:t>
            </w:r>
          </w:p>
          <w:p w14:paraId="38F5EE9B" w14:textId="0A35B36B" w:rsidR="00132AEF" w:rsidRPr="00F11D65" w:rsidRDefault="00575400" w:rsidP="00F11D65">
            <w:pPr>
              <w:pStyle w:val="ListParagraph"/>
              <w:numPr>
                <w:ilvl w:val="0"/>
                <w:numId w:val="14"/>
              </w:num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Deri në 5 milionë m</w:t>
            </w:r>
            <w:r>
              <w:rPr>
                <w:rFonts w:ascii="Arial" w:hAnsi="Arial"/>
                <w:sz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</w:rPr>
              <w:t xml:space="preserve"> ujë të furnizuar për industrinë.</w:t>
            </w:r>
          </w:p>
        </w:tc>
      </w:tr>
      <w:tr w:rsidR="0085436E" w:rsidRPr="002F72DF" w14:paraId="5D57625C" w14:textId="77777777" w:rsidTr="00F14E3A">
        <w:trPr>
          <w:trHeight w:val="2898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6F753" w14:textId="0BA66841" w:rsidR="00132AEF" w:rsidRPr="002F72DF" w:rsidRDefault="00132AEF" w:rsidP="00492EA1">
            <w:pPr>
              <w:spacing w:before="60" w:after="6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Përshkrimi i përgjithshëm 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B45" w14:textId="47D6BEB0" w:rsidR="00132AEF" w:rsidRPr="002F72DF" w:rsidRDefault="00F11D65" w:rsidP="006A64B3">
            <w:pPr>
              <w:spacing w:before="60" w:after="60" w:line="260" w:lineRule="atLeas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</w:rPr>
              <w:t>Zonat ku është planifikuar të ndërtohet hidrosistemi Desivojcë - Kremenatë - Gjyrishevc ndodhen në pjesën lindore të Republikës së Kosovës, konkretisht në rrethin administrativ të komunës së Kamenicës. Kjo pjesë e vendit përkufizohet si pjesa më e thatë e Republikës së Kosovës, me reshje mesatare vjetore prej 570 mm në vit, dhe rrjedhje relativisht të pakta ujore sipërfaqësore, burime ujore me prurje nën 5 l/s dhe horizontet e akuifereve nëntokësore në një shkallë të ulët studimi. Në këtë zonë është planifikuar të ndërtohen tre akumulatorë të ujërave sipërfaqësore me një sipërfaqe të përgjithshme prej 176 km² dhe një vëllim total ujor prej 34 milionë m</w:t>
            </w:r>
            <w:r>
              <w:rPr>
                <w:rFonts w:ascii="Arial" w:hAnsi="Arial"/>
                <w:sz w:val="20"/>
                <w:vertAlign w:val="superscript"/>
              </w:rPr>
              <w:t>3.</w:t>
            </w:r>
            <w:r>
              <w:rPr>
                <w:rFonts w:ascii="Arial" w:hAnsi="Arial"/>
                <w:sz w:val="20"/>
              </w:rPr>
              <w:t>. Akumulimet bazohen në përdorimin e ujit për qëllime të shumëfishta si: furnizimi me ujë i popullsisë me një sasi vjetore uji rreth 5 milionë m</w:t>
            </w:r>
            <w:r>
              <w:rPr>
                <w:rFonts w:ascii="Arial" w:hAnsi="Arial"/>
                <w:sz w:val="20"/>
                <w:vertAlign w:val="superscript"/>
              </w:rPr>
              <w:t>3.</w:t>
            </w:r>
            <w:r>
              <w:rPr>
                <w:rFonts w:ascii="Arial" w:hAnsi="Arial"/>
                <w:sz w:val="20"/>
              </w:rPr>
              <w:t>, ujitja e 6,000 hektarëve tokë bujqësore, plotësimi i nevojave ujore të industrisë me një sasi uji vjetore rreth 5 milion m</w:t>
            </w:r>
            <w:r>
              <w:rPr>
                <w:rFonts w:ascii="Arial" w:hAnsi="Arial"/>
                <w:sz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</w:rPr>
              <w:t>. Lartësia e digave varion ndërmjet 44m në Hogosht, 52m në Kremanatë dhe 55m në Desivojcë.</w:t>
            </w:r>
          </w:p>
          <w:p w14:paraId="2D9EDCD9" w14:textId="21858F35" w:rsidR="006A64B3" w:rsidRPr="002F72DF" w:rsidRDefault="006A64B3" w:rsidP="0085436E">
            <w:pPr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noProof/>
                <w:lang w:val="en-US"/>
              </w:rPr>
              <w:drawing>
                <wp:inline distT="0" distB="0" distL="0" distR="0" wp14:anchorId="1BD3B40E" wp14:editId="106F79A5">
                  <wp:extent cx="4727028" cy="4492487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114" cy="4546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2AFDCD" w14:textId="19CDA266" w:rsidR="0085436E" w:rsidRPr="002F72DF" w:rsidRDefault="006A64B3" w:rsidP="00F14E3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color w:val="000000"/>
              </w:rPr>
              <w:t>Pellgu ujëmbledhës i tri digave të planifikuara</w:t>
            </w:r>
          </w:p>
        </w:tc>
      </w:tr>
    </w:tbl>
    <w:p w14:paraId="33F0AB1C" w14:textId="77777777" w:rsidR="002A22FC" w:rsidRPr="002F72DF" w:rsidRDefault="002A22FC" w:rsidP="00132AEF">
      <w:pPr>
        <w:pStyle w:val="ListParagraph"/>
        <w:spacing w:before="200" w:after="120"/>
        <w:ind w:left="340"/>
        <w:jc w:val="both"/>
        <w:rPr>
          <w:rFonts w:ascii="Arial" w:hAnsi="Arial" w:cs="Arial"/>
          <w:b/>
          <w:szCs w:val="20"/>
          <w:lang w:val="en-GB"/>
        </w:rPr>
      </w:pPr>
    </w:p>
    <w:p w14:paraId="54A6B118" w14:textId="3DE12C7D" w:rsidR="00132AEF" w:rsidRPr="002F72DF" w:rsidRDefault="00062AD6" w:rsidP="00132AE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/>
          <w:b/>
        </w:rPr>
        <w:t>KUALIFIKU</w:t>
      </w:r>
      <w:r w:rsidR="00132AEF">
        <w:rPr>
          <w:rFonts w:ascii="Arial" w:hAnsi="Arial"/>
          <w:b/>
        </w:rPr>
        <w:t>ESHMËRIA</w:t>
      </w:r>
    </w:p>
    <w:p w14:paraId="680F39E3" w14:textId="77777777" w:rsidR="00FF71C7" w:rsidRPr="002F72DF" w:rsidRDefault="00FF71C7" w:rsidP="00FF71C7">
      <w:pPr>
        <w:pStyle w:val="ListParagraph"/>
        <w:spacing w:after="0" w:line="240" w:lineRule="auto"/>
        <w:ind w:left="340"/>
        <w:rPr>
          <w:rFonts w:ascii="Arial" w:hAnsi="Arial" w:cs="Arial"/>
          <w:b/>
          <w:szCs w:val="20"/>
          <w:lang w:val="en-GB"/>
        </w:rPr>
      </w:pPr>
    </w:p>
    <w:tbl>
      <w:tblPr>
        <w:tblW w:w="4947" w:type="pct"/>
        <w:tblInd w:w="108" w:type="dxa"/>
        <w:tblLook w:val="01E0" w:firstRow="1" w:lastRow="1" w:firstColumn="1" w:lastColumn="1" w:noHBand="0" w:noVBand="0"/>
      </w:tblPr>
      <w:tblGrid>
        <w:gridCol w:w="3721"/>
        <w:gridCol w:w="5530"/>
      </w:tblGrid>
      <w:tr w:rsidR="00132AEF" w:rsidRPr="002F72DF" w14:paraId="43124BF8" w14:textId="77777777" w:rsidTr="00B33247">
        <w:trPr>
          <w:trHeight w:val="346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E4D0A5" w14:textId="4B9F7086" w:rsidR="00132AEF" w:rsidRPr="002F72DF" w:rsidRDefault="00062AD6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Koherenca</w:t>
            </w:r>
            <w:r w:rsidR="00132AEF">
              <w:rPr>
                <w:rFonts w:ascii="Arial" w:hAnsi="Arial"/>
                <w:sz w:val="20"/>
              </w:rPr>
              <w:t xml:space="preserve"> me politikat dhe strategjitë e vlefshme të BE-së 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2055" w14:textId="04C752CD" w:rsidR="00F75BDE" w:rsidRPr="00F75BDE" w:rsidRDefault="00F75BDE" w:rsidP="00F14E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Instrumenti për Asistencën e Para-A</w:t>
            </w:r>
            <w:r w:rsidR="003916EF">
              <w:rPr>
                <w:rFonts w:ascii="Arial" w:hAnsi="Arial"/>
                <w:b/>
                <w:sz w:val="20"/>
              </w:rPr>
              <w:t>nëtarësimit</w:t>
            </w:r>
            <w:r>
              <w:rPr>
                <w:rFonts w:ascii="Arial" w:hAnsi="Arial"/>
                <w:b/>
                <w:sz w:val="20"/>
              </w:rPr>
              <w:t xml:space="preserve"> (IPA III) </w:t>
            </w:r>
            <w:r w:rsidR="003916EF">
              <w:rPr>
                <w:rFonts w:ascii="Arial" w:hAnsi="Arial"/>
                <w:b/>
                <w:sz w:val="20"/>
              </w:rPr>
              <w:t>Korniza Programuese</w:t>
            </w:r>
            <w:r>
              <w:rPr>
                <w:rFonts w:ascii="Arial" w:hAnsi="Arial"/>
                <w:b/>
                <w:sz w:val="20"/>
              </w:rPr>
              <w:t xml:space="preserve"> për periudhën 2021-2027</w:t>
            </w:r>
          </w:p>
          <w:p w14:paraId="381C17B3" w14:textId="189DB491" w:rsidR="00F75BDE" w:rsidRDefault="00F75BDE" w:rsidP="00F75B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Dritarja 3: Agjenda e gjelbër dhe lidhshmëria e qëndrueshme </w:t>
            </w:r>
          </w:p>
          <w:p w14:paraId="7F1227CF" w14:textId="77777777" w:rsidR="00F11D65" w:rsidRDefault="001735FC" w:rsidP="00187B1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Prioriteti tematik 1: Mjedisi dhe ndryshimi klimatik</w:t>
            </w:r>
          </w:p>
          <w:p w14:paraId="28C5F80F" w14:textId="1F9A5741" w:rsidR="00F75BDE" w:rsidRPr="00F75BDE" w:rsidRDefault="001735FC" w:rsidP="00187B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 </w:t>
            </w:r>
          </w:p>
          <w:p w14:paraId="4DCA1C9C" w14:textId="06EBE510" w:rsidR="00F75BDE" w:rsidRPr="00F75BDE" w:rsidRDefault="003916EF" w:rsidP="00F14E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Plan ekonomik dhe investiv</w:t>
            </w:r>
            <w:bookmarkStart w:id="0" w:name="_GoBack"/>
            <w:bookmarkEnd w:id="0"/>
            <w:r w:rsidR="00F75BDE">
              <w:rPr>
                <w:rFonts w:ascii="Arial" w:hAnsi="Arial"/>
                <w:b/>
                <w:sz w:val="20"/>
              </w:rPr>
              <w:t xml:space="preserve"> për Ballkanin Perëndimor 2021-2027</w:t>
            </w:r>
          </w:p>
          <w:p w14:paraId="0444B828" w14:textId="768E302C" w:rsidR="00F75BDE" w:rsidRDefault="00D739D2" w:rsidP="00187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Arial" w:hAnsi="Arial"/>
                <w:color w:val="000000"/>
                <w:sz w:val="20"/>
              </w:rPr>
              <w:t xml:space="preserve">Mjedisi dhe Klima;  </w:t>
            </w:r>
            <w:r>
              <w:rPr>
                <w:rFonts w:ascii="Arial" w:hAnsi="Arial"/>
                <w:sz w:val="20"/>
              </w:rPr>
              <w:t>FLAGSHIP 7 – Menaxhimi i mbetjeve dhe ujërave të zeza</w:t>
            </w:r>
            <w:r>
              <w:t xml:space="preserve"> </w:t>
            </w:r>
          </w:p>
          <w:p w14:paraId="47DB117A" w14:textId="77777777" w:rsidR="00F11D65" w:rsidRPr="00F75BDE" w:rsidRDefault="00F11D65" w:rsidP="00187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B598A15" w14:textId="77777777" w:rsidR="00F75BDE" w:rsidRPr="00F75BDE" w:rsidRDefault="00F75BDE" w:rsidP="00F14E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Agjenda e Gjelbër për Ballkanin Perëndimor </w:t>
            </w:r>
          </w:p>
          <w:p w14:paraId="19C9CC56" w14:textId="3A3A5B26" w:rsidR="00F75BDE" w:rsidRDefault="008761E9" w:rsidP="00F75BDE">
            <w:pPr>
              <w:spacing w:after="0" w:line="240" w:lineRule="auto"/>
              <w:rPr>
                <w:rFonts w:ascii="Arial" w:eastAsia="Times New Roman" w:hAnsi="Arial" w:cs="Arial"/>
                <w:bCs/>
                <w:color w:val="252525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Shtylla e katërt: Pastërtia: e ajrit, ujit dhe tokës; Uji Ballkani Perëndimor është shtëpia e disa prej lumenjve të fundit të pacenuar të kontinentit, por mbrojtja e tyre mbetet një sfidë</w:t>
            </w:r>
            <w:r>
              <w:rPr>
                <w:rFonts w:ascii="Arial" w:hAnsi="Arial"/>
                <w:color w:val="252525"/>
                <w:sz w:val="20"/>
              </w:rPr>
              <w:t xml:space="preserve"> </w:t>
            </w:r>
          </w:p>
          <w:p w14:paraId="6BC794DF" w14:textId="77777777" w:rsidR="00F11D65" w:rsidRPr="00F75BDE" w:rsidRDefault="00F11D65" w:rsidP="00F75BD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</w:p>
          <w:p w14:paraId="6DB0CDD7" w14:textId="77777777" w:rsidR="00F75BDE" w:rsidRPr="00F75BDE" w:rsidRDefault="00F75BDE" w:rsidP="00F14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Agjenda e Reformës Evropiane (ARE) II Faza e Dytë e Prioriteteve Politike BE-Kosovë:  </w:t>
            </w:r>
          </w:p>
          <w:p w14:paraId="2B91B65F" w14:textId="77777777" w:rsidR="008761E9" w:rsidRDefault="008761E9" w:rsidP="00F14E3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Shtylla II: Konkurrueshmëria, Investimet dhe Zhvillimi i Qëndrueshëm</w:t>
            </w:r>
          </w:p>
          <w:p w14:paraId="3EDB257B" w14:textId="62A72792" w:rsidR="00F75BDE" w:rsidRDefault="00F75BDE" w:rsidP="00187B1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2.3. Trajtojnë sfidat prioritare mjedisore: Reflektojnë objektivat e Agjendës së Gjelbër të Ballkanit Perëndimor në zbatimin e politikave në fushën e mjedisit duke u fokusuar në: Reduktimi i ndotjes së ajrit dhe ujit dhe përmirësimi i menaxhimit të mbeturina</w:t>
            </w:r>
          </w:p>
          <w:p w14:paraId="41A5EFEB" w14:textId="77777777" w:rsidR="00F11D65" w:rsidRPr="00666979" w:rsidRDefault="00F11D65" w:rsidP="00187B15">
            <w:pPr>
              <w:pStyle w:val="Default"/>
              <w:jc w:val="both"/>
            </w:pPr>
          </w:p>
          <w:p w14:paraId="5F468CE6" w14:textId="550584AC" w:rsidR="00CC6586" w:rsidRPr="002F72DF" w:rsidRDefault="00CC6586" w:rsidP="00F14E3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b/>
              </w:rPr>
              <w:t xml:space="preserve">Direktiva për ujin e pijes </w:t>
            </w:r>
            <w:r>
              <w:rPr>
                <w:b/>
                <w:shd w:val="clear" w:color="auto" w:fill="FFFFFF"/>
              </w:rPr>
              <w:t>2015/1787</w:t>
            </w:r>
            <w:r>
              <w:t xml:space="preserve"> </w:t>
            </w:r>
            <w:r>
              <w:rPr>
                <w:shd w:val="clear" w:color="auto" w:fill="FFFFFF"/>
              </w:rPr>
              <w:t>ka të bëjë me cilësinë e</w:t>
            </w:r>
            <w:r>
              <w:t> </w:t>
            </w:r>
            <w:hyperlink r:id="rId8" w:tooltip="Uji i destinuar për konsum njerëzor" w:history="1">
              <w:r>
                <w:rPr>
                  <w:rStyle w:val="Hyperlink"/>
                  <w:rFonts w:ascii="Arial" w:hAnsi="Arial"/>
                  <w:color w:val="auto"/>
                  <w:sz w:val="20"/>
                  <w:u w:val="none"/>
                  <w:shd w:val="clear" w:color="auto" w:fill="FFFFFF"/>
                </w:rPr>
                <w:t>ujit të destinuar për konsum njerëzor</w:t>
              </w:r>
            </w:hyperlink>
            <w:r>
              <w:t> </w:t>
            </w:r>
            <w:r>
              <w:rPr>
                <w:rFonts w:ascii="Arial" w:hAnsi="Arial"/>
                <w:sz w:val="20"/>
                <w:shd w:val="clear" w:color="auto" w:fill="FFFFFF"/>
              </w:rPr>
              <w:t>dhe është pjesë e rregullimit</w:t>
            </w:r>
            <w:r>
              <w:t xml:space="preserve"> </w:t>
            </w:r>
            <w:hyperlink r:id="rId9" w:tooltip="Furnizimi me ujë dhe kanalizime në Bashkimin Evropian" w:history="1">
              <w:r>
                <w:rPr>
                  <w:rStyle w:val="Hyperlink"/>
                  <w:rFonts w:ascii="Arial" w:hAnsi="Arial"/>
                  <w:color w:val="auto"/>
                  <w:sz w:val="20"/>
                  <w:u w:val="none"/>
                  <w:shd w:val="clear" w:color="auto" w:fill="FFFFFF"/>
                </w:rPr>
                <w:t>të furnizimit me ujë dhe kanalizime në Bashkimin Evropian.</w:t>
              </w:r>
            </w:hyperlink>
          </w:p>
          <w:p w14:paraId="30984958" w14:textId="77777777" w:rsidR="00CC6586" w:rsidRPr="002F72DF" w:rsidRDefault="00CC6586" w:rsidP="00CC658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Direktiva e ujit të pijes zbatohet për:</w:t>
            </w:r>
          </w:p>
          <w:p w14:paraId="152EE4F5" w14:textId="38EAC609" w:rsidR="00132AEF" w:rsidRPr="00187B15" w:rsidRDefault="00CC6586" w:rsidP="00187B1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Të gjitha sistemet e shpërndarjes që shërbejnë më shumë se 50 persona ose furnizojnë më shumë se 10 metër kub në ditë, por edhe sistemet e shpërndarjes që shërbejnë më pak se 50 persona/furnizimi më pak se 10 metër kub në ditë nëse uji furnizohet si pjesë e një aktiviteti ekonomik.</w:t>
            </w:r>
          </w:p>
        </w:tc>
      </w:tr>
      <w:tr w:rsidR="00132AEF" w:rsidRPr="002F72DF" w14:paraId="31E6055B" w14:textId="77777777" w:rsidTr="00B33247">
        <w:trPr>
          <w:trHeight w:val="330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92F14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Kontributi në objektivat e vlefshme të zhvillimit kombëtar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0145" w14:textId="7FE90679" w:rsidR="007B37FA" w:rsidRPr="007B37FA" w:rsidRDefault="00F75BDE" w:rsidP="007B3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Programi i Reformave Ekonomike (PRE) 2024-2026:</w:t>
            </w:r>
            <w:r>
              <w:rPr>
                <w:rFonts w:ascii="Arial" w:hAnsi="Arial"/>
                <w:sz w:val="20"/>
              </w:rPr>
              <w:t xml:space="preserve"> Masa e reformës #9: Reduktimi i ndotjes së mjedisit dhe ruajtja e biodiversitetit. Sasia e vogël e ujërave në rrjedhat ujore lokale, ku sasia vjetore mesatare është më e vogël se 100 m</w:t>
            </w:r>
            <w:r>
              <w:rPr>
                <w:rFonts w:ascii="Arial" w:hAnsi="Arial"/>
                <w:sz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</w:rPr>
              <w:t>/s, nënkupton nevojën për ndërtimin e Impianteve të Trajtimit të Ujërave të Zeza Urbane dhe Industriale</w:t>
            </w:r>
          </w:p>
          <w:p w14:paraId="0110A4AB" w14:textId="0D69BDC7" w:rsidR="00837E06" w:rsidRDefault="007B37FA" w:rsidP="00187B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(ITUZ).</w:t>
            </w:r>
          </w:p>
          <w:p w14:paraId="691CC66E" w14:textId="2CA2464C" w:rsidR="007B37FA" w:rsidRPr="00837E06" w:rsidRDefault="007B37FA" w:rsidP="00187B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BBB062" w14:textId="2CBD76C8" w:rsidR="00D739D2" w:rsidRDefault="007B37FA" w:rsidP="00187B15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Raporti i BE-së për Kosovën (2023): </w:t>
            </w:r>
            <w:r>
              <w:rPr>
                <w:rFonts w:ascii="Arial" w:hAnsi="Arial"/>
                <w:sz w:val="20"/>
              </w:rPr>
              <w:t>Kosova ka arritur progres të kufizuar në përafrimin e legjislacionit për ujerat me acquis të BE-së. Mekanizmi monitorues i Strategjisë së Ujërave 2017-2036 dhe zbatimi i Ligjit për Ujërat kanë nevojë për përmirësime të mëtejshme.</w:t>
            </w:r>
          </w:p>
          <w:p w14:paraId="780742D3" w14:textId="77777777" w:rsidR="00837E06" w:rsidRDefault="00837E06" w:rsidP="00837E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230AC7C6" w14:textId="77777777" w:rsidR="00666979" w:rsidRPr="00666979" w:rsidRDefault="00666979" w:rsidP="0066697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Strategjia Kombëtare për Zhvillim (SKZh) 2030</w:t>
            </w:r>
            <w:r>
              <w:rPr>
                <w:rFonts w:ascii="Arial" w:hAnsi="Arial"/>
                <w:b/>
                <w:color w:val="70AD47" w:themeColor="accent6"/>
                <w:sz w:val="20"/>
              </w:rPr>
              <w:t xml:space="preserve"> </w:t>
            </w:r>
          </w:p>
          <w:p w14:paraId="6F9EC048" w14:textId="283C1042" w:rsidR="00666979" w:rsidRPr="002A22FC" w:rsidRDefault="00FE4A4E" w:rsidP="0066697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Shtylla 1: Zhvillimi i Qëndrueshëm Ekonomik</w:t>
            </w:r>
          </w:p>
          <w:p w14:paraId="384383B1" w14:textId="77777777" w:rsidR="00666979" w:rsidRPr="002A22FC" w:rsidRDefault="00666979" w:rsidP="00666979">
            <w:pPr>
              <w:keepNext/>
              <w:keepLines/>
              <w:numPr>
                <w:ilvl w:val="1"/>
                <w:numId w:val="8"/>
              </w:numPr>
              <w:spacing w:before="40" w:after="0" w:line="240" w:lineRule="auto"/>
              <w:contextualSpacing/>
              <w:jc w:val="both"/>
              <w:outlineLvl w:val="1"/>
              <w:rPr>
                <w:rFonts w:ascii="Arial" w:eastAsiaTheme="majorEastAsia" w:hAnsi="Arial" w:cs="Arial"/>
                <w:sz w:val="20"/>
                <w:szCs w:val="20"/>
              </w:rPr>
            </w:pPr>
            <w:bookmarkStart w:id="1" w:name="_Toc104504632"/>
            <w:bookmarkStart w:id="2" w:name="_Toc104816800"/>
            <w:r>
              <w:rPr>
                <w:rFonts w:ascii="Arial" w:hAnsi="Arial"/>
                <w:sz w:val="20"/>
              </w:rPr>
              <w:t>Ekonomi inovative, qarkore dhe konkurruese</w:t>
            </w:r>
            <w:bookmarkStart w:id="3" w:name="_Toc104816801"/>
            <w:bookmarkEnd w:id="1"/>
            <w:bookmarkEnd w:id="2"/>
          </w:p>
          <w:p w14:paraId="111FE8C2" w14:textId="77777777" w:rsidR="00666979" w:rsidRPr="002A22FC" w:rsidRDefault="00666979" w:rsidP="00666979">
            <w:pPr>
              <w:keepNext/>
              <w:keepLines/>
              <w:numPr>
                <w:ilvl w:val="1"/>
                <w:numId w:val="8"/>
              </w:numPr>
              <w:spacing w:before="40" w:after="0" w:line="240" w:lineRule="auto"/>
              <w:contextualSpacing/>
              <w:jc w:val="both"/>
              <w:outlineLvl w:val="1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Infrastrukturë me cilësi të lartë, të qëndrueshme dhe të integruar</w:t>
            </w:r>
            <w:bookmarkStart w:id="4" w:name="_Toc104504634"/>
            <w:bookmarkStart w:id="5" w:name="_Toc104816802"/>
            <w:bookmarkEnd w:id="3"/>
          </w:p>
          <w:p w14:paraId="10310A95" w14:textId="77777777" w:rsidR="00666979" w:rsidRPr="002A22FC" w:rsidRDefault="00666979" w:rsidP="00666979">
            <w:pPr>
              <w:keepNext/>
              <w:keepLines/>
              <w:numPr>
                <w:ilvl w:val="1"/>
                <w:numId w:val="8"/>
              </w:numPr>
              <w:spacing w:before="40" w:after="0" w:line="240" w:lineRule="auto"/>
              <w:contextualSpacing/>
              <w:jc w:val="both"/>
              <w:outlineLvl w:val="1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Mjedis i pastër dhe shfrytëzim i qëndrueshëm i burimeve natyrore</w:t>
            </w:r>
            <w:bookmarkEnd w:id="4"/>
            <w:bookmarkEnd w:id="5"/>
          </w:p>
          <w:p w14:paraId="64E4FAEB" w14:textId="6DD483C1" w:rsidR="00F75BDE" w:rsidRDefault="00666979" w:rsidP="00666979">
            <w:pPr>
              <w:spacing w:after="12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Ky synim zhvillimor do të arrihet përmes këtyre objektivave strategjikë: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Menaxhimi i integruar i mbeturinave dhe rritja e qarkullimit të burimeve, qasja e përmirësuar në ujë dhe kanalizime dhe reduktimi i ndotjes së ujit, rritja e pjesës së burimeve të rinovueshme në përzierjen e energjisë, përmirësimi i efiçiencës së energjisë, disponueshmëria dhe efikasiteti i përmirësuar i ujit, promovimi i lëvizshmërisë së </w:t>
            </w:r>
            <w:r>
              <w:rPr>
                <w:rFonts w:ascii="Arial" w:hAnsi="Arial"/>
                <w:sz w:val="20"/>
              </w:rPr>
              <w:lastRenderedPageBreak/>
              <w:t>qëndrueshme digjitale, menaxhimi dhe përdorimi i qëndrueshëm i burimeve pyjore dhe i mbrojtjes së biodiversitetit, planifikimi përgjegjës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dhe zhvillimi i integruar territorial.</w:t>
            </w:r>
          </w:p>
          <w:p w14:paraId="11FDC286" w14:textId="5AEB8129" w:rsidR="008761E9" w:rsidRPr="002A22FC" w:rsidRDefault="00AA1C4F" w:rsidP="00666979">
            <w:pPr>
              <w:spacing w:after="12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hd w:val="clear" w:color="auto" w:fill="FFFFFF"/>
              </w:rPr>
              <w:t>Programi Kombëtar për Integrimin në BE (PKIE 2023-2027), </w:t>
            </w:r>
            <w:r>
              <w:rPr>
                <w:rFonts w:ascii="Arial" w:hAnsi="Arial"/>
                <w:sz w:val="20"/>
                <w:shd w:val="clear" w:color="auto" w:fill="FFFFFF"/>
              </w:rPr>
              <w:t xml:space="preserve">si dokumenti kryesor kombëtar i politikave për anëtarësimin në BE, vendos </w:t>
            </w:r>
            <w:r>
              <w:rPr>
                <w:rFonts w:ascii="Arial" w:hAnsi="Arial"/>
                <w:color w:val="222222"/>
                <w:sz w:val="20"/>
                <w:shd w:val="clear" w:color="auto" w:fill="FFFFFF"/>
              </w:rPr>
              <w:t>një kuadër gjithëpërfshirës afatmesëm të të gjitha reformave të nevojshme për të përmbushur detyrimet që rrjedhin nga Marrëveshja e Stabilizim-Asociimit.  Ai përfshin gjithashtu veprime në lidhje me zbatimin e masave afatmesme që adresojnë kërkesat bazuar në kapitullin 27 (Mjedisi) të acquis të BE-së.  </w:t>
            </w:r>
            <w:r>
              <w:rPr>
                <w:rFonts w:ascii="Arial" w:hAnsi="Arial"/>
                <w:b/>
                <w:color w:val="222222"/>
                <w:sz w:val="20"/>
                <w:shd w:val="clear" w:color="auto" w:fill="FFFFFF"/>
              </w:rPr>
              <w:t>Kapitulli 27 </w:t>
            </w:r>
            <w:r>
              <w:rPr>
                <w:rFonts w:ascii="Arial" w:hAnsi="Arial"/>
                <w:color w:val="222222"/>
                <w:sz w:val="20"/>
                <w:shd w:val="clear" w:color="auto" w:fill="FFFFFF"/>
              </w:rPr>
              <w:t>i acquis të BE-së mbulon politikën mjedisore të BE-së që synon të promovojë zhvillimin e qëndrueshëm dhe të mbrojë mjedisin për brezat e tanishëm dhe të ardhshëm. Ai bazohet në veprimet parandaluese, përkatësisht parimin “ndotësi paguan”, luftimi i dëmit mjedisor në burim, përgjegjësia e përbashkët dhe integrimi i mbrojtjes së mjedisit në politika të tjera të BE-së.</w:t>
            </w:r>
          </w:p>
          <w:p w14:paraId="3BD4A998" w14:textId="42BA8F0A" w:rsidR="00F75BDE" w:rsidRPr="00A3135F" w:rsidRDefault="00F75BDE" w:rsidP="00F75BDE">
            <w:pPr>
              <w:spacing w:after="0" w:line="240" w:lineRule="auto"/>
              <w:jc w:val="both"/>
              <w:rPr>
                <w:rFonts w:ascii="Arial" w:eastAsiaTheme="minorEastAsia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Programi i Qeverisë së Republikës së Kosovës 2021-2025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687B05E8" w14:textId="77777777" w:rsidR="00F75BDE" w:rsidRPr="00A3135F" w:rsidRDefault="00F75BDE" w:rsidP="00F75B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2.12.3 Menaxhimi i ujërave dhe zhvillimi i infrastrukturës</w:t>
            </w:r>
          </w:p>
          <w:p w14:paraId="2186227E" w14:textId="6DA03D6F" w:rsidR="00132AEF" w:rsidRPr="002A22FC" w:rsidRDefault="00F75BDE" w:rsidP="00F14E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Menaxhimi efektiv i burimeve ujore është parakusht për sigurimin e ujit në sasi të mjaftueshme, në cilësinë e duhur dhe në kohën dhe vendin e duhur, për nevojat e popullatës dhe zhvillimin ekonomik. Për rrjedhojë, menaxhimi efektiv i burimeve ujore është i një rëndësie themelore për mirëqenien sociale dhe zhvillimin e qëndrueshëm të çdo vendi. Për të arritur objektivat bazë lidhur me menaxhimin e burimeve ujore, që janë mbrojtja e ujit, 36 mbrojtje nga veprimet e dëmshme ujore dhe përdorimi efikas i ujit, ne do të përmirësojmë kornizën ligjore të ujit, i cili përfshin rishikimin e ligjit për ujërat ose hartimin e një ligji të ri, plotësimin e akteve nënligjore që kërkohen për zbatimin e ligjit, veçanërisht për koncesionet dhe hartimin e ligjit për financimin e menaxhimit të burimeve ujore.</w:t>
            </w:r>
          </w:p>
        </w:tc>
      </w:tr>
      <w:tr w:rsidR="00132AEF" w:rsidRPr="002F72DF" w14:paraId="0F4AAC9B" w14:textId="77777777" w:rsidTr="00B33247">
        <w:trPr>
          <w:trHeight w:val="330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835C5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A mbulohet projekti nga strategjia sektoriale përkatëse, nga një plan veprimi sektorial apo nga një masterplan sektori?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309" w14:textId="77777777" w:rsidR="002C25C9" w:rsidRDefault="002C25C9" w:rsidP="002C2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Shqyrtimi i Strategjisë Shtetërore për Ujëra 2023 – 2027 dhe Planit të Veprimit 2023 - 2025</w:t>
            </w:r>
          </w:p>
          <w:p w14:paraId="388F1E91" w14:textId="77777777" w:rsidR="002C25C9" w:rsidRDefault="002C25C9" w:rsidP="002C2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946289" w14:textId="77777777" w:rsidR="002C25C9" w:rsidRDefault="002C25C9" w:rsidP="002C2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Rishikimi i Strategjisë Shtetërore për Ujëra 2023-2027 synon menaxhimin sa më efektiv të burimeve ujore për të siguruar sasinë e ujit dhe cilësinë e duhur të tij, për nevojat e popullsisë dhe zhvillimin ekonomik. Ai përcakton objektivat specifike të burimeve ujore, duke filluar nga gjendja ekzistuese e sektorit të ujit, duke detajuar kërkesat, strukturat menaxhuese, kërkesat për mbrojtjen dhe përmirësimin e gjendjes së cilësisë së ujit dhe mbrojtjen nga uji.</w:t>
            </w:r>
          </w:p>
          <w:p w14:paraId="08951503" w14:textId="77777777" w:rsidR="002C25C9" w:rsidRDefault="002C25C9" w:rsidP="002C2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53D580" w14:textId="77777777" w:rsidR="002C25C9" w:rsidRDefault="002C25C9" w:rsidP="002C2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Objektivat strategjikë janë riformuluar në kuadër të periudhës 5-vjeçare: </w:t>
            </w:r>
          </w:p>
          <w:p w14:paraId="5D327F4B" w14:textId="77777777" w:rsidR="002C25C9" w:rsidRDefault="002C25C9" w:rsidP="002C2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Objektivi 1 - Përmirësimi i menaxhimit të ujit dhe konsolidimi i kornizës institucionale; </w:t>
            </w:r>
          </w:p>
          <w:p w14:paraId="754A3A62" w14:textId="77777777" w:rsidR="002C25C9" w:rsidRDefault="002C25C9" w:rsidP="002C2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Objektivi 2 - Siguria afatgjatë e ujit për përdoruesit dhe siguria e digave ekzistuese; Objektivi 3 - Mbrojtja e burimeve ujore dhe mbrojtja nga uji, sigurimi i mbrojtjes së ekosistemit dhe popullsisë; </w:t>
            </w:r>
          </w:p>
          <w:p w14:paraId="3BAEAF26" w14:textId="77777777" w:rsidR="002C25C9" w:rsidRDefault="002C25C9" w:rsidP="002C2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Objektivi 4 - Përmirësimi i besueshmërisë dhe cilësisë së shërbimeve të ujit.</w:t>
            </w:r>
          </w:p>
          <w:p w14:paraId="52332DCE" w14:textId="77777777" w:rsidR="002C25C9" w:rsidRDefault="002C25C9" w:rsidP="00F75B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2E7E342" w14:textId="4FFA58F2" w:rsidR="00F75BDE" w:rsidRPr="00F75BDE" w:rsidRDefault="00F75BDE" w:rsidP="00F75B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Strategjia e Ndryshimeve Klimatike 2019-2028 dhe Plani i Veprimit 2019-2021</w:t>
            </w:r>
          </w:p>
          <w:p w14:paraId="650603BC" w14:textId="5AD15775" w:rsidR="00F75BDE" w:rsidRPr="00F75BDE" w:rsidRDefault="00A3135F" w:rsidP="00F14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Burimet ujore</w:t>
            </w:r>
            <w:r>
              <w:rPr>
                <w:rFonts w:ascii="Arial" w:hAnsi="Arial"/>
                <w:sz w:val="20"/>
              </w:rPr>
              <w:t>; Cilësia e ujit të lumenjve në Kosovë është e dobët për shkak të mungesës së impianteve për trajtimin e ujërave të zeza, depozitimit të mbeturinave përgjatë/ose afër brigjeve të lumenjve, mirëmbajtjes së dobët ose mungesës së shtretërve të lumenjve.</w:t>
            </w:r>
          </w:p>
          <w:p w14:paraId="68BF55C7" w14:textId="2E016EF8" w:rsidR="00666979" w:rsidRPr="002A22FC" w:rsidRDefault="00F75BDE" w:rsidP="00F14E3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Zakonisht cilësia e lumenjve në rrjedhën e sipërme përbën një habitat ujor të shëndetshëm dhe plotëson standardet mjedisore. Disa nga lumenjtë kryesorë në rrjedhën e poshtme të komunave dhe industrive më të mëdha janë shumë të ndotur dhe uji nuk mund të përdoret për furnizim me ujë ose për qëllime ujitjeje. Lumenjtë kryesorë në Kosovë i përkasin kategorisë së ndotjes 2 dhe 3, ndërsa Lumi Sitnica është kategorizuar si "lum i vdekur".</w:t>
            </w:r>
          </w:p>
        </w:tc>
      </w:tr>
    </w:tbl>
    <w:p w14:paraId="213476DD" w14:textId="77777777" w:rsidR="00FF71C7" w:rsidRPr="002F72DF" w:rsidRDefault="00FF71C7" w:rsidP="00FF71C7">
      <w:pPr>
        <w:pStyle w:val="ListParagraph"/>
        <w:ind w:left="340"/>
        <w:rPr>
          <w:rFonts w:ascii="Arial" w:hAnsi="Arial" w:cs="Arial"/>
          <w:b/>
          <w:szCs w:val="20"/>
          <w:lang w:val="en-GB"/>
        </w:rPr>
      </w:pPr>
    </w:p>
    <w:p w14:paraId="351E226D" w14:textId="768AA621" w:rsidR="00132AEF" w:rsidRPr="002F72DF" w:rsidRDefault="00132AEF" w:rsidP="00FF71C7">
      <w:pPr>
        <w:pStyle w:val="ListParagraph"/>
        <w:numPr>
          <w:ilvl w:val="0"/>
          <w:numId w:val="2"/>
        </w:numPr>
        <w:ind w:hanging="160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RELEVANCA STRATEGJIKE</w:t>
      </w:r>
    </w:p>
    <w:tbl>
      <w:tblPr>
        <w:tblW w:w="4947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5530"/>
      </w:tblGrid>
      <w:tr w:rsidR="00132AEF" w:rsidRPr="002F72DF" w14:paraId="1BE75A30" w14:textId="77777777" w:rsidTr="00B33247">
        <w:trPr>
          <w:trHeight w:val="4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B8C6F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Shpjegoni veçoritë e projektit në lidhje me:</w:t>
            </w:r>
          </w:p>
        </w:tc>
      </w:tr>
      <w:tr w:rsidR="00132AEF" w:rsidRPr="002F72DF" w14:paraId="1A3D39E6" w14:textId="77777777" w:rsidTr="00B33247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BB171" w14:textId="78F885CE" w:rsidR="00132AEF" w:rsidRPr="002F72DF" w:rsidRDefault="00062AD6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Përfitimet e</w:t>
            </w:r>
            <w:r w:rsidR="00132AEF">
              <w:rPr>
                <w:rFonts w:ascii="Arial" w:hAnsi="Arial"/>
                <w:sz w:val="20"/>
              </w:rPr>
              <w:t xml:space="preserve"> drejtpërdrejta për mjedisin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F2E6" w14:textId="77777777" w:rsidR="00132AEF" w:rsidRPr="002F72DF" w:rsidRDefault="00132AEF" w:rsidP="00B33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Rregullimi i regjimit të ujit, mbrojtja nga erozioni, përmbytjet e shpejta dhe përmbytjet. Krijimi i kushteve më të mira për zhvillimin e jetës ujore dhe ndikimi pozitiv në mikroklimë.</w:t>
            </w:r>
          </w:p>
        </w:tc>
      </w:tr>
      <w:tr w:rsidR="00132AEF" w:rsidRPr="002F72DF" w14:paraId="1E0F0885" w14:textId="77777777" w:rsidTr="00B33247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2E5F3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Kontributin e tij në reduktimin e CO</w:t>
            </w:r>
            <w:r>
              <w:rPr>
                <w:rFonts w:ascii="Arial" w:hAnsi="Arial"/>
                <w:sz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</w:rPr>
              <w:t xml:space="preserve"> dhe/ose zhurmave dhe/ose emetimeve të tjera të dëmshme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A5C" w14:textId="77777777" w:rsidR="00132AEF" w:rsidRPr="002F72DF" w:rsidRDefault="00132AEF" w:rsidP="00B33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Nuk aplikohet</w:t>
            </w:r>
          </w:p>
        </w:tc>
      </w:tr>
      <w:tr w:rsidR="00132AEF" w:rsidRPr="002F72DF" w14:paraId="35E9E205" w14:textId="77777777" w:rsidTr="00B33247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C69BC6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Numrin e personave që do të përfitojnë nga projekti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360" w14:textId="20E79469" w:rsidR="00132AEF" w:rsidRPr="002F72DF" w:rsidRDefault="00132AEF" w:rsidP="00B33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Rreth 45,000 banorë (furnizimi me ujë të pijes), komuniteti i fermerëve (për ujitjen e 6,000 ha tokë bujqësore), komuniteti i biznesit (për proceset teknologjike, etj.). Shoqatat për mbrojtjen e mjedisit dhe peshkimit, sportit dhe rekreacionit, etj.</w:t>
            </w:r>
          </w:p>
        </w:tc>
      </w:tr>
      <w:tr w:rsidR="00132AEF" w:rsidRPr="002F72DF" w14:paraId="1079BD61" w14:textId="77777777" w:rsidTr="00B33247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0B54D" w14:textId="36CA9C39" w:rsidR="00132AEF" w:rsidRPr="002F72DF" w:rsidRDefault="00062AD6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Shkallën në të cilën</w:t>
            </w:r>
            <w:r w:rsidR="00132AEF">
              <w:rPr>
                <w:rFonts w:ascii="Arial" w:hAnsi="Arial"/>
                <w:sz w:val="20"/>
              </w:rPr>
              <w:t xml:space="preserve"> kontribuon në uljen e ndotjes në një rajon më të gjerë rreth vendndodhjes së tij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2DC" w14:textId="77777777" w:rsidR="00132AEF" w:rsidRPr="002F72DF" w:rsidRDefault="00132AEF" w:rsidP="00B33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Nuk aplikohet</w:t>
            </w:r>
          </w:p>
        </w:tc>
      </w:tr>
      <w:tr w:rsidR="00132AEF" w:rsidRPr="002F72DF" w14:paraId="3DFD970D" w14:textId="77777777" w:rsidTr="00B33247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2E258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Përballueshmërinë e shërbimeve për përdoruesit fundorë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AB8" w14:textId="77777777" w:rsidR="008761E9" w:rsidRDefault="00132AEF" w:rsidP="00F14E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Projekti do të zbatohet duke respektuar Parimet e Përmirësimit të Performancës Financiare dhe Operative (PPPFO).</w:t>
            </w:r>
            <w:r>
              <w:rPr>
                <w:rFonts w:ascii="Arial" w:hAnsi="Arial"/>
                <w:sz w:val="20"/>
              </w:rPr>
              <w:br/>
              <w:t>Disa nga çështjet kryesore që do të trajtohen gjatë zhvillimit të projektit janë:</w:t>
            </w:r>
          </w:p>
          <w:p w14:paraId="00A7646F" w14:textId="6B28558F" w:rsidR="008761E9" w:rsidRDefault="00132AEF" w:rsidP="00F14E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Kontabiliteti i kostos për njësi organizative;</w:t>
            </w:r>
          </w:p>
          <w:p w14:paraId="01CD2502" w14:textId="05674CC2" w:rsidR="008761E9" w:rsidRDefault="00132AEF" w:rsidP="00F14E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Asistencë në përgatitjen dhe zbatimin e kontratës së furnizimit me ujë; </w:t>
            </w:r>
          </w:p>
          <w:p w14:paraId="52FBFE7D" w14:textId="66F8610D" w:rsidR="008761E9" w:rsidRDefault="00132AEF" w:rsidP="00F14E3A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Asistencë në krijimin e një metodologjie për tarifat e ujit; </w:t>
            </w:r>
          </w:p>
          <w:p w14:paraId="58A6A816" w14:textId="3CE9A2C4" w:rsidR="008761E9" w:rsidRDefault="00132AEF" w:rsidP="00F14E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Kostoja O&amp;M dhe rrjeti kryesor i transmetimit; </w:t>
            </w:r>
          </w:p>
          <w:p w14:paraId="519214F9" w14:textId="6A1602EE" w:rsidR="00132AEF" w:rsidRPr="00F14E3A" w:rsidRDefault="00132AEF" w:rsidP="00F14E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Rregullimi i politikës së burimeve njerëzore dhe konfigurimit organizativ; </w:t>
            </w:r>
          </w:p>
          <w:p w14:paraId="6C3B677A" w14:textId="77777777" w:rsidR="00132AEF" w:rsidRPr="002F72DF" w:rsidRDefault="00132AEF" w:rsidP="00F14E3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Kjo do të thotë se një plan afatgjatë në lidhje me qëndrueshmërinë e investimit do të përgatitet, miratohet dhe ndiqet nga autoritetet përgjegjëse.</w:t>
            </w:r>
          </w:p>
        </w:tc>
      </w:tr>
      <w:tr w:rsidR="00132AEF" w:rsidRPr="002F72DF" w14:paraId="08D3CA0F" w14:textId="77777777" w:rsidTr="00B33247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89E92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Rreziqet që lidhen me projektin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081" w14:textId="77777777" w:rsidR="00132AEF" w:rsidRPr="002F72DF" w:rsidRDefault="00132AEF" w:rsidP="00B33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Projekti mund të përbëjë një rrezik të vogël për sa i përket rritjes së shkallës sizmike për shkak të presionit të ujit brenda digës. Për më tepër, shkatërrimi i digës (pas ndërtimit) mund </w:t>
            </w:r>
            <w:r>
              <w:rPr>
                <w:rFonts w:ascii="Arial" w:hAnsi="Arial"/>
                <w:sz w:val="20"/>
              </w:rPr>
              <w:lastRenderedPageBreak/>
              <w:t>të krijojë një valë përmbytjesh në pjesën e poshtme të rrjedhave të lumit.</w:t>
            </w:r>
          </w:p>
        </w:tc>
      </w:tr>
      <w:tr w:rsidR="00132AEF" w:rsidRPr="002F72DF" w14:paraId="7DAD788A" w14:textId="77777777" w:rsidTr="00B33247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B6915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Partneritetin e organizatave dhe institucioneve të përfshira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6FC" w14:textId="364C2785" w:rsidR="00132AEF" w:rsidRPr="002F72DF" w:rsidRDefault="00347261" w:rsidP="00A829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Ministria e Mjedisit, Planifikimit Hapësinor dhe Infrastrukturës; Ministria e Ekonomisë; Ministria e Bujqësisë, Pylltarisë dhe Zhvillimit Rural; Shërbimet Gjeologjike të Kosovës; Universiteti i Prishtinës dhe i Mitrovicës; Komuna e Kamenicës </w:t>
            </w:r>
          </w:p>
        </w:tc>
      </w:tr>
    </w:tbl>
    <w:p w14:paraId="24F4CE1F" w14:textId="7800FBF9" w:rsidR="00132AEF" w:rsidRPr="002F72DF" w:rsidRDefault="00132AEF" w:rsidP="002033D7">
      <w:pPr>
        <w:pStyle w:val="Heading1"/>
        <w:spacing w:before="240" w:after="120"/>
        <w:jc w:val="center"/>
        <w:rPr>
          <w:rFonts w:ascii="Arial" w:hAnsi="Arial" w:cs="Arial"/>
          <w:color w:val="auto"/>
          <w:sz w:val="20"/>
          <w:szCs w:val="20"/>
        </w:rPr>
      </w:pPr>
      <w:bookmarkStart w:id="6" w:name="_Toc436501967"/>
      <w:r>
        <w:rPr>
          <w:rFonts w:ascii="Arial" w:hAnsi="Arial"/>
          <w:color w:val="auto"/>
          <w:sz w:val="20"/>
        </w:rPr>
        <w:t>Pjesa e dytë</w:t>
      </w:r>
      <w:bookmarkEnd w:id="6"/>
    </w:p>
    <w:p w14:paraId="5E944DD5" w14:textId="77777777" w:rsidR="00132AEF" w:rsidRPr="002F72DF" w:rsidRDefault="00132AEF" w:rsidP="00132AEF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szCs w:val="20"/>
        </w:rPr>
      </w:pPr>
      <w:r>
        <w:rPr>
          <w:rFonts w:ascii="Arial" w:hAnsi="Arial"/>
          <w:b/>
        </w:rPr>
        <w:t>MATURITETI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3"/>
        <w:gridCol w:w="1480"/>
        <w:gridCol w:w="1317"/>
        <w:gridCol w:w="1201"/>
      </w:tblGrid>
      <w:tr w:rsidR="00132AEF" w:rsidRPr="002F72DF" w14:paraId="5E1A7C26" w14:textId="77777777" w:rsidTr="00B33247">
        <w:trPr>
          <w:trHeight w:val="417"/>
          <w:jc w:val="center"/>
        </w:trPr>
        <w:tc>
          <w:tcPr>
            <w:tcW w:w="2839" w:type="pct"/>
            <w:shd w:val="clear" w:color="auto" w:fill="D9D9D9" w:themeFill="background1" w:themeFillShade="D9"/>
            <w:vAlign w:val="center"/>
          </w:tcPr>
          <w:p w14:paraId="7A7AC4A9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Studimet dhe dokumentet në dispozicion</w:t>
            </w:r>
          </w:p>
        </w:tc>
        <w:tc>
          <w:tcPr>
            <w:tcW w:w="800" w:type="pct"/>
            <w:shd w:val="clear" w:color="auto" w:fill="D9D9D9" w:themeFill="background1" w:themeFillShade="D9"/>
            <w:vAlign w:val="center"/>
          </w:tcPr>
          <w:p w14:paraId="52D770E5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Gati dhe të miratuara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2E12D171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Duke u punuar</w:t>
            </w: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14:paraId="22F9A422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Nuk ka filluar ende</w:t>
            </w:r>
          </w:p>
        </w:tc>
      </w:tr>
      <w:tr w:rsidR="00132AEF" w:rsidRPr="002F72DF" w14:paraId="373D26E8" w14:textId="77777777" w:rsidTr="00B33247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3919A8CE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Idea konceptuale</w:t>
            </w:r>
          </w:p>
        </w:tc>
        <w:tc>
          <w:tcPr>
            <w:tcW w:w="800" w:type="pct"/>
            <w:vAlign w:val="center"/>
          </w:tcPr>
          <w:p w14:paraId="286DA900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11F92764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649" w:type="pct"/>
            <w:vAlign w:val="center"/>
          </w:tcPr>
          <w:p w14:paraId="1E68D842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2AEF" w:rsidRPr="002F72DF" w14:paraId="521C411C" w14:textId="77777777" w:rsidTr="00B33247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400A5E55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Studimi paraprak i fizibilitetit</w:t>
            </w:r>
          </w:p>
        </w:tc>
        <w:tc>
          <w:tcPr>
            <w:tcW w:w="800" w:type="pct"/>
            <w:vAlign w:val="center"/>
          </w:tcPr>
          <w:p w14:paraId="68D1CABA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535B3855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49" w:type="pct"/>
            <w:vAlign w:val="center"/>
          </w:tcPr>
          <w:p w14:paraId="6D8CEAE5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132AEF" w:rsidRPr="002F72DF" w14:paraId="07A267B6" w14:textId="77777777" w:rsidTr="00B33247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20FABAFF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Projektimi konceptual</w:t>
            </w:r>
          </w:p>
        </w:tc>
        <w:tc>
          <w:tcPr>
            <w:tcW w:w="800" w:type="pct"/>
            <w:vAlign w:val="center"/>
          </w:tcPr>
          <w:p w14:paraId="4DE48AB9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53AABCFD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49" w:type="pct"/>
            <w:vAlign w:val="center"/>
          </w:tcPr>
          <w:p w14:paraId="58211152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132AEF" w:rsidRPr="002F72DF" w14:paraId="5993BF21" w14:textId="77777777" w:rsidTr="00B33247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7C715A53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Studimi i fizibilitetit + AKP</w:t>
            </w:r>
          </w:p>
        </w:tc>
        <w:tc>
          <w:tcPr>
            <w:tcW w:w="800" w:type="pct"/>
            <w:vAlign w:val="center"/>
          </w:tcPr>
          <w:p w14:paraId="23A31E9C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43DA1546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49" w:type="pct"/>
            <w:vAlign w:val="center"/>
          </w:tcPr>
          <w:p w14:paraId="206EE6AA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132AEF" w:rsidRPr="002F72DF" w14:paraId="7C2E0112" w14:textId="77777777" w:rsidTr="00B33247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141837BF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Studimi i VNM (nëse nevojitet)</w:t>
            </w:r>
          </w:p>
        </w:tc>
        <w:tc>
          <w:tcPr>
            <w:tcW w:w="800" w:type="pct"/>
            <w:vAlign w:val="center"/>
          </w:tcPr>
          <w:p w14:paraId="001F5D4D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4E4B0E51" w14:textId="2D5DD59F" w:rsidR="00132AEF" w:rsidRPr="002F72DF" w:rsidRDefault="00B67036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649" w:type="pct"/>
            <w:vAlign w:val="center"/>
          </w:tcPr>
          <w:p w14:paraId="30710DDF" w14:textId="426F4DAB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2AEF" w:rsidRPr="002F72DF" w14:paraId="2B019D02" w14:textId="77777777" w:rsidTr="00B33247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0BEC004F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Dokumentet e vlefshme të planifikimit hapësinor</w:t>
            </w:r>
          </w:p>
        </w:tc>
        <w:tc>
          <w:tcPr>
            <w:tcW w:w="800" w:type="pct"/>
            <w:vAlign w:val="center"/>
          </w:tcPr>
          <w:p w14:paraId="77D49869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712" w:type="pct"/>
            <w:vAlign w:val="center"/>
          </w:tcPr>
          <w:p w14:paraId="31E7D973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49" w:type="pct"/>
            <w:vAlign w:val="center"/>
          </w:tcPr>
          <w:p w14:paraId="268DDA6F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2AEF" w:rsidRPr="002F72DF" w14:paraId="30E6102F" w14:textId="77777777" w:rsidTr="00B33247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77F1108B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Prona tokë e zgjidhur</w:t>
            </w:r>
          </w:p>
        </w:tc>
        <w:tc>
          <w:tcPr>
            <w:tcW w:w="800" w:type="pct"/>
            <w:vAlign w:val="center"/>
          </w:tcPr>
          <w:p w14:paraId="761494E3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0EA0B3FE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49" w:type="pct"/>
            <w:vAlign w:val="center"/>
          </w:tcPr>
          <w:p w14:paraId="4625BD90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132AEF" w:rsidRPr="002F72DF" w14:paraId="71BBB9CF" w14:textId="77777777" w:rsidTr="00B33247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0507B0DF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Projektimi paraprak</w:t>
            </w:r>
          </w:p>
        </w:tc>
        <w:tc>
          <w:tcPr>
            <w:tcW w:w="800" w:type="pct"/>
            <w:vAlign w:val="center"/>
          </w:tcPr>
          <w:p w14:paraId="13190DAB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432E0481" w14:textId="77706E74" w:rsidR="00132AEF" w:rsidRPr="002F72DF" w:rsidRDefault="00132AEF" w:rsidP="006A0D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49" w:type="pct"/>
            <w:vAlign w:val="center"/>
          </w:tcPr>
          <w:p w14:paraId="576FA938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132AEF" w:rsidRPr="002F72DF" w14:paraId="35833901" w14:textId="77777777" w:rsidTr="00B33247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49D42CB0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Projektimi kryesor/projektimi i detajuar</w:t>
            </w:r>
          </w:p>
        </w:tc>
        <w:tc>
          <w:tcPr>
            <w:tcW w:w="800" w:type="pct"/>
            <w:vAlign w:val="center"/>
          </w:tcPr>
          <w:p w14:paraId="6BC34AC1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3E17C0C1" w14:textId="212B9AB5" w:rsidR="00132AEF" w:rsidRPr="002F72DF" w:rsidRDefault="006A0D75" w:rsidP="006A0D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Projektimi paraprak për Kremenatën ekziston që në vitet '80, por duhet përditësuar</w:t>
            </w:r>
          </w:p>
        </w:tc>
        <w:tc>
          <w:tcPr>
            <w:tcW w:w="649" w:type="pct"/>
            <w:vAlign w:val="center"/>
          </w:tcPr>
          <w:p w14:paraId="304A82A8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132AEF" w:rsidRPr="002F72DF" w14:paraId="5023566D" w14:textId="77777777" w:rsidTr="00B33247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062EAA44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Dokumentacioni i tenderit</w:t>
            </w:r>
          </w:p>
        </w:tc>
        <w:tc>
          <w:tcPr>
            <w:tcW w:w="800" w:type="pct"/>
            <w:vAlign w:val="center"/>
          </w:tcPr>
          <w:p w14:paraId="4746B072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7DEBD2A9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49" w:type="pct"/>
            <w:vAlign w:val="center"/>
          </w:tcPr>
          <w:p w14:paraId="5AFDA803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132AEF" w:rsidRPr="002F72DF" w14:paraId="3E7AE14E" w14:textId="77777777" w:rsidTr="00B33247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76B77D8B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Lejet e ndërtimit dhe të tjera</w:t>
            </w:r>
          </w:p>
        </w:tc>
        <w:tc>
          <w:tcPr>
            <w:tcW w:w="800" w:type="pct"/>
            <w:vAlign w:val="center"/>
          </w:tcPr>
          <w:p w14:paraId="7858378D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6B581860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49" w:type="pct"/>
            <w:vAlign w:val="center"/>
          </w:tcPr>
          <w:p w14:paraId="2DAC1A54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132AEF" w:rsidRPr="002F72DF" w14:paraId="729CAE8F" w14:textId="77777777" w:rsidTr="00B33247">
        <w:trPr>
          <w:trHeight w:val="417"/>
          <w:jc w:val="center"/>
        </w:trPr>
        <w:tc>
          <w:tcPr>
            <w:tcW w:w="2839" w:type="pct"/>
            <w:shd w:val="clear" w:color="auto" w:fill="D9D9D9"/>
            <w:vAlign w:val="center"/>
          </w:tcPr>
          <w:p w14:paraId="0B22508B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Kontrata e ndërtimit është nënshkruar</w:t>
            </w:r>
          </w:p>
        </w:tc>
        <w:tc>
          <w:tcPr>
            <w:tcW w:w="800" w:type="pct"/>
            <w:vAlign w:val="center"/>
          </w:tcPr>
          <w:p w14:paraId="3E78AADB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2" w:type="pct"/>
            <w:vAlign w:val="center"/>
          </w:tcPr>
          <w:p w14:paraId="363F5C8A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49" w:type="pct"/>
            <w:vAlign w:val="center"/>
          </w:tcPr>
          <w:p w14:paraId="37CDF0D3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</w:tbl>
    <w:p w14:paraId="7FE190F7" w14:textId="3F4EE6C3" w:rsidR="00132AEF" w:rsidRPr="002F72DF" w:rsidRDefault="00132AEF" w:rsidP="00132AEF">
      <w:pPr>
        <w:spacing w:after="120"/>
        <w:rPr>
          <w:rFonts w:ascii="Arial" w:hAnsi="Arial" w:cs="Arial"/>
          <w:b/>
          <w:sz w:val="6"/>
          <w:szCs w:val="20"/>
          <w:lang w:val="en-GB"/>
        </w:rPr>
      </w:pPr>
    </w:p>
    <w:p w14:paraId="50F78DDF" w14:textId="77777777" w:rsidR="006A1686" w:rsidRPr="002F72DF" w:rsidRDefault="006A1686" w:rsidP="00132AEF">
      <w:pPr>
        <w:spacing w:after="120"/>
        <w:rPr>
          <w:rFonts w:ascii="Arial" w:hAnsi="Arial" w:cs="Arial"/>
          <w:b/>
          <w:sz w:val="6"/>
          <w:szCs w:val="20"/>
          <w:lang w:val="en-GB"/>
        </w:rPr>
      </w:pPr>
    </w:p>
    <w:p w14:paraId="0B835F07" w14:textId="77777777" w:rsidR="00132AEF" w:rsidRPr="002F72DF" w:rsidRDefault="00132AEF" w:rsidP="00132AEF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szCs w:val="20"/>
        </w:rPr>
      </w:pPr>
      <w:r>
        <w:rPr>
          <w:rFonts w:ascii="Arial" w:hAnsi="Arial"/>
          <w:b/>
        </w:rPr>
        <w:t>PËRCAKTIMI I BURIMIT TË FINANCIMIT</w:t>
      </w:r>
    </w:p>
    <w:tbl>
      <w:tblPr>
        <w:tblW w:w="4947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636"/>
        <w:gridCol w:w="3926"/>
        <w:gridCol w:w="529"/>
      </w:tblGrid>
      <w:tr w:rsidR="00132AEF" w:rsidRPr="002F72DF" w14:paraId="14C5B2CB" w14:textId="77777777" w:rsidTr="00B33247">
        <w:trPr>
          <w:trHeight w:val="41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1366E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1FE37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Po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25F2B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Arsyetimi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9D0A3" w14:textId="77777777" w:rsidR="00132AEF" w:rsidRPr="002F72DF" w:rsidRDefault="00132AEF" w:rsidP="00B332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Jo</w:t>
            </w:r>
          </w:p>
        </w:tc>
      </w:tr>
      <w:tr w:rsidR="00132AEF" w:rsidRPr="002F72DF" w14:paraId="28E92016" w14:textId="77777777" w:rsidTr="00B33247">
        <w:trPr>
          <w:trHeight w:val="26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68C459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e përmirëson projekti lidhjen?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89C8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BCCE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347A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132AEF" w:rsidRPr="002F72DF" w14:paraId="50B6F255" w14:textId="77777777" w:rsidTr="00B33247">
        <w:trPr>
          <w:trHeight w:val="41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0B7D3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ka projekti ndikim ndërkufitar apo në vendet e tjera të rajonit?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C63B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88F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EAFE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  <w:tr w:rsidR="00132AEF" w:rsidRPr="002F72DF" w14:paraId="4B3937D3" w14:textId="77777777" w:rsidTr="00B33247">
        <w:trPr>
          <w:trHeight w:val="41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B7BA0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mundet projekti në ndonjë mënyrë tjetër të caktohet si projekt rajonal?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6D4F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54C7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3169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</w:tr>
    </w:tbl>
    <w:p w14:paraId="6D1F79B5" w14:textId="77777777" w:rsidR="00132AEF" w:rsidRPr="002F72DF" w:rsidRDefault="00132AEF" w:rsidP="00132AEF">
      <w:pPr>
        <w:rPr>
          <w:rFonts w:ascii="Arial" w:hAnsi="Arial" w:cs="Arial"/>
          <w:b/>
          <w:sz w:val="2"/>
          <w:szCs w:val="20"/>
          <w:lang w:val="en-GB"/>
        </w:rPr>
      </w:pPr>
    </w:p>
    <w:p w14:paraId="72ED99CB" w14:textId="77777777" w:rsidR="002033D7" w:rsidRDefault="002033D7" w:rsidP="0004786E">
      <w:pPr>
        <w:spacing w:before="60" w:after="60" w:line="260" w:lineRule="atLeast"/>
        <w:jc w:val="both"/>
        <w:rPr>
          <w:rFonts w:ascii="Arial" w:hAnsi="Arial" w:cs="Arial"/>
          <w:b/>
          <w:szCs w:val="20"/>
          <w:lang w:val="en-GB"/>
        </w:rPr>
      </w:pPr>
    </w:p>
    <w:p w14:paraId="3E90A1C6" w14:textId="0DC251D9" w:rsidR="002514C8" w:rsidRPr="00BA6F3A" w:rsidRDefault="00062AD6" w:rsidP="008435DD">
      <w:pPr>
        <w:pStyle w:val="ListParagraph"/>
        <w:numPr>
          <w:ilvl w:val="0"/>
          <w:numId w:val="2"/>
        </w:numPr>
        <w:spacing w:before="60" w:after="60" w:line="260" w:lineRule="atLeast"/>
        <w:jc w:val="both"/>
        <w:rPr>
          <w:rFonts w:ascii="Arial" w:hAnsi="Arial" w:cs="Arial"/>
          <w:bCs/>
        </w:rPr>
      </w:pPr>
      <w:r>
        <w:rPr>
          <w:rFonts w:ascii="Arial" w:hAnsi="Arial"/>
          <w:b/>
        </w:rPr>
        <w:t>PLANIFIKIMI I SHPENZIMEVE</w:t>
      </w:r>
    </w:p>
    <w:p w14:paraId="522F0598" w14:textId="70F67FB1" w:rsidR="009223DC" w:rsidRDefault="009223DC" w:rsidP="00132AEF">
      <w:pPr>
        <w:spacing w:after="120"/>
        <w:rPr>
          <w:rFonts w:ascii="Arial" w:hAnsi="Arial" w:cs="Arial"/>
          <w:b/>
          <w:sz w:val="8"/>
          <w:szCs w:val="20"/>
          <w:lang w:val="en-GB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081"/>
        <w:gridCol w:w="1171"/>
        <w:gridCol w:w="1081"/>
        <w:gridCol w:w="1081"/>
        <w:gridCol w:w="1169"/>
        <w:gridCol w:w="1171"/>
        <w:gridCol w:w="1221"/>
      </w:tblGrid>
      <w:tr w:rsidR="00F75BDE" w:rsidRPr="005E5003" w14:paraId="4EEADADB" w14:textId="77777777" w:rsidTr="002A22FC">
        <w:tc>
          <w:tcPr>
            <w:tcW w:w="735" w:type="pct"/>
            <w:shd w:val="clear" w:color="auto" w:fill="D9D9D9" w:themeFill="background1" w:themeFillShade="D9"/>
          </w:tcPr>
          <w:p w14:paraId="699C1443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578" w:type="pct"/>
            <w:shd w:val="clear" w:color="auto" w:fill="D9D9D9" w:themeFill="background1" w:themeFillShade="D9"/>
          </w:tcPr>
          <w:p w14:paraId="68094A52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2021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7751104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2022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14:paraId="711AAF80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2023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14:paraId="27CBB4AB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2024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CDEBEA4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18446E1A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w="653" w:type="pct"/>
            <w:shd w:val="clear" w:color="auto" w:fill="D9D9D9" w:themeFill="background1" w:themeFillShade="D9"/>
          </w:tcPr>
          <w:p w14:paraId="14408ABA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</w:tr>
      <w:tr w:rsidR="00F75BDE" w:rsidRPr="005E5003" w14:paraId="3A260DBE" w14:textId="77777777" w:rsidTr="002A22FC">
        <w:tc>
          <w:tcPr>
            <w:tcW w:w="735" w:type="pct"/>
            <w:shd w:val="clear" w:color="auto" w:fill="D9D9D9"/>
          </w:tcPr>
          <w:p w14:paraId="22DAD4B5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Kostot (në euro) të: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E8E712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12F5822C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6F8F8349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6FAC7549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61C75C5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4CDED0F8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B03A219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F75BDE" w:rsidRPr="005E5003" w14:paraId="476891C4" w14:textId="77777777" w:rsidTr="002A22FC">
        <w:tc>
          <w:tcPr>
            <w:tcW w:w="735" w:type="pct"/>
            <w:shd w:val="clear" w:color="auto" w:fill="D9D9D9"/>
          </w:tcPr>
          <w:p w14:paraId="60E9FE4C" w14:textId="77777777" w:rsidR="00F75BDE" w:rsidRPr="005E5003" w:rsidRDefault="00F75BDE" w:rsidP="00B3324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Përgatitja e projektit (TA)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366A37" w14:textId="5C149FDE" w:rsidR="00F75BDE" w:rsidRPr="005E5003" w:rsidRDefault="00F75BDE" w:rsidP="00F14E3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5C95A369" w14:textId="223DC882" w:rsidR="00F75BDE" w:rsidRPr="005E5003" w:rsidRDefault="00F75BDE" w:rsidP="00EB52E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73AACE68" w14:textId="697B5A79" w:rsidR="00F75BDE" w:rsidRPr="005E5003" w:rsidRDefault="00F75BDE" w:rsidP="00F14E3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5 M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ABD4EC2" w14:textId="3082D80B" w:rsidR="00F75BDE" w:rsidRPr="005E5003" w:rsidRDefault="00F75BDE" w:rsidP="00F14E3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B8366BB" w14:textId="764E2F8B" w:rsidR="00F75BDE" w:rsidRPr="005E5003" w:rsidRDefault="00F75BDE" w:rsidP="00F14E3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0B08F053" w14:textId="0FEC9C5C" w:rsidR="00F75BDE" w:rsidRPr="005E5003" w:rsidRDefault="00F75BDE" w:rsidP="00F14E3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70F85234" w14:textId="54778ABA" w:rsidR="00F75BDE" w:rsidRPr="005E5003" w:rsidRDefault="00F75BDE" w:rsidP="00F14E3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5BDE" w:rsidRPr="005E5003" w14:paraId="712FB852" w14:textId="77777777" w:rsidTr="002A22FC">
        <w:tc>
          <w:tcPr>
            <w:tcW w:w="735" w:type="pct"/>
            <w:shd w:val="clear" w:color="auto" w:fill="D9D9D9"/>
          </w:tcPr>
          <w:p w14:paraId="11ACD57C" w14:textId="77777777" w:rsidR="00F75BDE" w:rsidRPr="005E5003" w:rsidRDefault="00F75BDE" w:rsidP="00A541A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Investimi 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761502" w14:textId="09154D8F" w:rsidR="00F75BDE" w:rsidRPr="005E5003" w:rsidRDefault="00F75BDE" w:rsidP="00EB52E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35109E22" w14:textId="7249CB32" w:rsidR="00F75BDE" w:rsidRPr="005E5003" w:rsidRDefault="00F75BDE" w:rsidP="00EB52E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98F55DB" w14:textId="2A26548E" w:rsidR="00F75BDE" w:rsidRPr="005E5003" w:rsidRDefault="00F75BDE" w:rsidP="00F14E3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578" w:type="pct"/>
            <w:shd w:val="clear" w:color="auto" w:fill="auto"/>
          </w:tcPr>
          <w:p w14:paraId="54BCB472" w14:textId="3C4AB105" w:rsidR="00F75BDE" w:rsidRPr="005E5003" w:rsidRDefault="00F75BDE" w:rsidP="00F14E3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7.65 M</w:t>
            </w:r>
          </w:p>
        </w:tc>
        <w:tc>
          <w:tcPr>
            <w:tcW w:w="625" w:type="pct"/>
            <w:shd w:val="clear" w:color="auto" w:fill="auto"/>
          </w:tcPr>
          <w:p w14:paraId="6663598C" w14:textId="1875D739" w:rsidR="00F75BDE" w:rsidRPr="005E5003" w:rsidRDefault="00F75BDE" w:rsidP="00F14E3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7.65 M</w:t>
            </w:r>
          </w:p>
        </w:tc>
        <w:tc>
          <w:tcPr>
            <w:tcW w:w="626" w:type="pct"/>
            <w:shd w:val="clear" w:color="auto" w:fill="auto"/>
          </w:tcPr>
          <w:p w14:paraId="0C6F2B6D" w14:textId="41BD7330" w:rsidR="00F75BDE" w:rsidRPr="005E5003" w:rsidRDefault="00F75BDE" w:rsidP="00F14E3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15.3 M</w:t>
            </w:r>
          </w:p>
        </w:tc>
        <w:tc>
          <w:tcPr>
            <w:tcW w:w="653" w:type="pct"/>
            <w:shd w:val="clear" w:color="auto" w:fill="auto"/>
          </w:tcPr>
          <w:p w14:paraId="1FE1A6BA" w14:textId="321271B3" w:rsidR="00F75BDE" w:rsidRPr="005E5003" w:rsidRDefault="00F75BDE" w:rsidP="00F14E3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15.3 M</w:t>
            </w:r>
          </w:p>
        </w:tc>
      </w:tr>
    </w:tbl>
    <w:p w14:paraId="76FF19A3" w14:textId="450FDB14" w:rsidR="009223DC" w:rsidRDefault="009223DC" w:rsidP="00132AEF">
      <w:pPr>
        <w:spacing w:after="120"/>
        <w:rPr>
          <w:rFonts w:ascii="Arial" w:hAnsi="Arial" w:cs="Arial"/>
          <w:b/>
          <w:sz w:val="8"/>
          <w:szCs w:val="20"/>
          <w:lang w:val="en-GB"/>
        </w:rPr>
      </w:pPr>
    </w:p>
    <w:p w14:paraId="71554C99" w14:textId="2C91FA6F" w:rsidR="009223DC" w:rsidRDefault="009223DC" w:rsidP="00132AEF">
      <w:pPr>
        <w:spacing w:after="120"/>
        <w:rPr>
          <w:rFonts w:ascii="Arial" w:hAnsi="Arial" w:cs="Arial"/>
          <w:b/>
          <w:sz w:val="8"/>
          <w:szCs w:val="20"/>
          <w:lang w:val="en-GB"/>
        </w:rPr>
      </w:pPr>
    </w:p>
    <w:p w14:paraId="774145D8" w14:textId="1E21614A" w:rsidR="002B75EE" w:rsidRDefault="002B75EE" w:rsidP="00132AEF">
      <w:pPr>
        <w:spacing w:after="120"/>
        <w:rPr>
          <w:rFonts w:ascii="Arial" w:hAnsi="Arial" w:cs="Arial"/>
          <w:b/>
          <w:sz w:val="8"/>
          <w:szCs w:val="20"/>
          <w:lang w:val="en-GB"/>
        </w:rPr>
      </w:pPr>
    </w:p>
    <w:p w14:paraId="019E0411" w14:textId="260EABC9" w:rsidR="002B75EE" w:rsidRDefault="002B75EE" w:rsidP="00132AEF">
      <w:pPr>
        <w:spacing w:after="120"/>
        <w:rPr>
          <w:rFonts w:ascii="Arial" w:hAnsi="Arial" w:cs="Arial"/>
          <w:b/>
          <w:sz w:val="8"/>
          <w:szCs w:val="20"/>
          <w:lang w:val="en-GB"/>
        </w:rPr>
      </w:pPr>
    </w:p>
    <w:p w14:paraId="1BE10CEC" w14:textId="77777777" w:rsidR="002B75EE" w:rsidRPr="002F72DF" w:rsidRDefault="002B75EE" w:rsidP="00132AEF">
      <w:pPr>
        <w:spacing w:after="120"/>
        <w:rPr>
          <w:rFonts w:ascii="Arial" w:hAnsi="Arial" w:cs="Arial"/>
          <w:b/>
          <w:sz w:val="8"/>
          <w:szCs w:val="20"/>
          <w:lang w:val="en-GB"/>
        </w:rPr>
      </w:pPr>
    </w:p>
    <w:p w14:paraId="3F608418" w14:textId="77777777" w:rsidR="00132AEF" w:rsidRPr="002F72DF" w:rsidRDefault="00132AEF" w:rsidP="00132AEF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szCs w:val="20"/>
        </w:rPr>
      </w:pPr>
      <w:r>
        <w:rPr>
          <w:rFonts w:ascii="Arial" w:hAnsi="Arial"/>
          <w:b/>
        </w:rPr>
        <w:t>ASPEKTE TË TJERA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5530"/>
      </w:tblGrid>
      <w:tr w:rsidR="00132AEF" w:rsidRPr="002F72DF" w14:paraId="30DFFC40" w14:textId="77777777" w:rsidTr="00B33247">
        <w:trPr>
          <w:trHeight w:val="46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86A9A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janë konsultuar IFN-të ose donatorë të tjerë për projektin? Kur? Cili ishte gjykimi i tyre?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86A3" w14:textId="63C871DF" w:rsidR="00132AEF" w:rsidRPr="00B234FE" w:rsidRDefault="00B234FE" w:rsidP="00B234FE">
            <w:r>
              <w:rPr>
                <w:rFonts w:ascii="Arial" w:hAnsi="Arial"/>
                <w:sz w:val="20"/>
              </w:rPr>
              <w:t>Një takim konsultimi me donatorët u zhvillua më 23 janar 2024, ku IFN-të dhe donatorët e tjerë u ftuan të merrnin pjesë në një diskutim të përgjithshëm mbi projektet në sektorin e Mjedisit SPP përpara validimit dhe miratimit të tij.</w:t>
            </w:r>
          </w:p>
        </w:tc>
      </w:tr>
      <w:tr w:rsidR="00132AEF" w:rsidRPr="002F72DF" w14:paraId="21280857" w14:textId="77777777" w:rsidTr="00B33247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DCDF58" w14:textId="5DC89682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Mbështetja ekzistuese </w:t>
            </w:r>
            <w:r w:rsidR="006A0ADA">
              <w:rPr>
                <w:rFonts w:ascii="Arial" w:hAnsi="Arial"/>
                <w:sz w:val="20"/>
              </w:rPr>
              <w:t>e BE-së ose WBIF</w:t>
            </w:r>
            <w:r>
              <w:rPr>
                <w:rFonts w:ascii="Arial" w:hAnsi="Arial"/>
                <w:sz w:val="20"/>
              </w:rPr>
              <w:t xml:space="preserve"> (TA): shuma, qëllimi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0060" w14:textId="7D37EC61" w:rsidR="00132AEF" w:rsidRPr="002F72DF" w:rsidRDefault="00A5323C" w:rsidP="00A532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Kosova ka dorëzuar kërkesë në KIBP për “Ndërtimin e Digës së Kremenatës: Përditësim i Projektimit të Detajuar, Dosja e Tenderit” me Bankën Botërore si IFN kryesor, dhe është miratuar nga KIBP në vitin 2019 në vlerën 1,000,000.00 EUR.</w:t>
            </w:r>
          </w:p>
        </w:tc>
      </w:tr>
      <w:tr w:rsidR="00132AEF" w:rsidRPr="002F72DF" w14:paraId="08DB6572" w14:textId="77777777" w:rsidTr="00B33247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4C48E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është konsultuar Ministria e Financave për projektin? Përshkruani reagimet.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1FC" w14:textId="532459B9" w:rsidR="00132AEF" w:rsidRPr="002F72DF" w:rsidRDefault="009546CC" w:rsidP="00EE1A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Aplikimi është përgatitur bashkërisht.</w:t>
            </w:r>
          </w:p>
        </w:tc>
      </w:tr>
      <w:tr w:rsidR="00132AEF" w:rsidRPr="002F72DF" w14:paraId="677FFA26" w14:textId="77777777" w:rsidTr="00B33247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F722C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gjeneron projekti të ardhura nga përdoruesit fundorë?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DED3" w14:textId="38837B7C" w:rsidR="00132AEF" w:rsidRPr="002F72DF" w:rsidRDefault="00BB69E3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Jo</w:t>
            </w:r>
          </w:p>
        </w:tc>
      </w:tr>
      <w:tr w:rsidR="00132AEF" w:rsidRPr="002F72DF" w14:paraId="3DC651B8" w14:textId="77777777" w:rsidTr="00B33247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C782B" w14:textId="77777777" w:rsidR="00132AEF" w:rsidRPr="002F72DF" w:rsidRDefault="00132AEF" w:rsidP="00B332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Përshkrimi i ekipit të projektit për zbatim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E6D4" w14:textId="5283FD6A" w:rsidR="00132AEF" w:rsidRPr="002F72DF" w:rsidRDefault="00635FDF" w:rsidP="00F14E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OKB, MMPHI dhe KRU Hidromorava kanë krijuar një NjZP për këtë projekt.</w:t>
            </w:r>
          </w:p>
        </w:tc>
      </w:tr>
    </w:tbl>
    <w:p w14:paraId="7CE555CF" w14:textId="0C6691F4" w:rsidR="00202F05" w:rsidRDefault="00202F05" w:rsidP="00202F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F9F0D1" w14:textId="77777777" w:rsidR="00583F9C" w:rsidRPr="002F72DF" w:rsidRDefault="00583F9C" w:rsidP="00202F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D861E4B" w14:textId="37560D00" w:rsidR="00E050E7" w:rsidRPr="008761E9" w:rsidRDefault="00E050E7" w:rsidP="00837E06">
      <w:pPr>
        <w:spacing w:after="0" w:line="240" w:lineRule="auto"/>
      </w:pPr>
    </w:p>
    <w:sectPr w:rsidR="00E050E7" w:rsidRPr="008761E9" w:rsidSect="00AF566E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DEA"/>
    <w:multiLevelType w:val="hybridMultilevel"/>
    <w:tmpl w:val="F2E04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3DEC"/>
    <w:multiLevelType w:val="hybridMultilevel"/>
    <w:tmpl w:val="EABE018A"/>
    <w:lvl w:ilvl="0" w:tplc="1B16835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F6312"/>
    <w:multiLevelType w:val="hybridMultilevel"/>
    <w:tmpl w:val="DE2A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2E72"/>
    <w:multiLevelType w:val="hybridMultilevel"/>
    <w:tmpl w:val="11DEB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B1528"/>
    <w:multiLevelType w:val="hybridMultilevel"/>
    <w:tmpl w:val="C39A61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025A"/>
    <w:multiLevelType w:val="hybridMultilevel"/>
    <w:tmpl w:val="A89E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97EBC"/>
    <w:multiLevelType w:val="hybridMultilevel"/>
    <w:tmpl w:val="9D3E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63DD6"/>
    <w:multiLevelType w:val="hybridMultilevel"/>
    <w:tmpl w:val="E8E6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FE3FCC"/>
    <w:multiLevelType w:val="multilevel"/>
    <w:tmpl w:val="4C06E0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E8363F"/>
    <w:multiLevelType w:val="hybridMultilevel"/>
    <w:tmpl w:val="6ECA9F20"/>
    <w:lvl w:ilvl="0" w:tplc="2104D9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927C31"/>
    <w:multiLevelType w:val="hybridMultilevel"/>
    <w:tmpl w:val="2E90B4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D796B"/>
    <w:multiLevelType w:val="hybridMultilevel"/>
    <w:tmpl w:val="AE2E9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776E30"/>
    <w:multiLevelType w:val="hybridMultilevel"/>
    <w:tmpl w:val="95C4EB02"/>
    <w:lvl w:ilvl="0" w:tplc="2C3E8FC2">
      <w:start w:val="1"/>
      <w:numFmt w:val="decimal"/>
      <w:lvlText w:val="%1."/>
      <w:lvlJc w:val="center"/>
      <w:pPr>
        <w:ind w:left="430" w:hanging="3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510CB"/>
    <w:multiLevelType w:val="hybridMultilevel"/>
    <w:tmpl w:val="413E3D1A"/>
    <w:lvl w:ilvl="0" w:tplc="91F869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7"/>
  </w:num>
  <w:num w:numId="5">
    <w:abstractNumId w:val="1"/>
  </w:num>
  <w:num w:numId="6">
    <w:abstractNumId w:val="13"/>
  </w:num>
  <w:num w:numId="7">
    <w:abstractNumId w:val="10"/>
  </w:num>
  <w:num w:numId="8">
    <w:abstractNumId w:val="8"/>
  </w:num>
  <w:num w:numId="9">
    <w:abstractNumId w:val="2"/>
  </w:num>
  <w:num w:numId="10">
    <w:abstractNumId w:val="11"/>
  </w:num>
  <w:num w:numId="11">
    <w:abstractNumId w:val="3"/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EF"/>
    <w:rsid w:val="0001699B"/>
    <w:rsid w:val="0003453D"/>
    <w:rsid w:val="00036DF1"/>
    <w:rsid w:val="00045D69"/>
    <w:rsid w:val="0004786E"/>
    <w:rsid w:val="00062AD6"/>
    <w:rsid w:val="000750D0"/>
    <w:rsid w:val="00095E16"/>
    <w:rsid w:val="000A35E9"/>
    <w:rsid w:val="000B4F1A"/>
    <w:rsid w:val="000D2314"/>
    <w:rsid w:val="00130C8F"/>
    <w:rsid w:val="00132AEF"/>
    <w:rsid w:val="001735FC"/>
    <w:rsid w:val="00187B15"/>
    <w:rsid w:val="001A390A"/>
    <w:rsid w:val="00202F05"/>
    <w:rsid w:val="002033D7"/>
    <w:rsid w:val="002514C8"/>
    <w:rsid w:val="00260751"/>
    <w:rsid w:val="00285C04"/>
    <w:rsid w:val="002A22FC"/>
    <w:rsid w:val="002A5210"/>
    <w:rsid w:val="002B75EE"/>
    <w:rsid w:val="002C25C9"/>
    <w:rsid w:val="002D250E"/>
    <w:rsid w:val="002F72DF"/>
    <w:rsid w:val="003120E7"/>
    <w:rsid w:val="003349E4"/>
    <w:rsid w:val="0034337D"/>
    <w:rsid w:val="00347261"/>
    <w:rsid w:val="00373822"/>
    <w:rsid w:val="00373988"/>
    <w:rsid w:val="003916EF"/>
    <w:rsid w:val="0041770F"/>
    <w:rsid w:val="00442B4A"/>
    <w:rsid w:val="0046671D"/>
    <w:rsid w:val="0047495D"/>
    <w:rsid w:val="00476631"/>
    <w:rsid w:val="00492EA1"/>
    <w:rsid w:val="004A5241"/>
    <w:rsid w:val="004B2EC9"/>
    <w:rsid w:val="004C156D"/>
    <w:rsid w:val="004F127F"/>
    <w:rsid w:val="00516884"/>
    <w:rsid w:val="0055046D"/>
    <w:rsid w:val="00565683"/>
    <w:rsid w:val="00575400"/>
    <w:rsid w:val="00583F9C"/>
    <w:rsid w:val="005C3856"/>
    <w:rsid w:val="006213A1"/>
    <w:rsid w:val="00625416"/>
    <w:rsid w:val="00635FDF"/>
    <w:rsid w:val="00663DB6"/>
    <w:rsid w:val="00666979"/>
    <w:rsid w:val="00696CAF"/>
    <w:rsid w:val="00697F9A"/>
    <w:rsid w:val="006A0ADA"/>
    <w:rsid w:val="006A0D75"/>
    <w:rsid w:val="006A1446"/>
    <w:rsid w:val="006A1686"/>
    <w:rsid w:val="006A3CBE"/>
    <w:rsid w:val="006A64B3"/>
    <w:rsid w:val="00736DBB"/>
    <w:rsid w:val="00760DC1"/>
    <w:rsid w:val="007661CB"/>
    <w:rsid w:val="00796C33"/>
    <w:rsid w:val="007B37FA"/>
    <w:rsid w:val="007C2951"/>
    <w:rsid w:val="007F5968"/>
    <w:rsid w:val="00813A02"/>
    <w:rsid w:val="00837E06"/>
    <w:rsid w:val="008435DD"/>
    <w:rsid w:val="0085436E"/>
    <w:rsid w:val="00864064"/>
    <w:rsid w:val="0086414D"/>
    <w:rsid w:val="008748FF"/>
    <w:rsid w:val="008761E9"/>
    <w:rsid w:val="008A15C2"/>
    <w:rsid w:val="008A721E"/>
    <w:rsid w:val="008C733A"/>
    <w:rsid w:val="008E0D00"/>
    <w:rsid w:val="008F63FE"/>
    <w:rsid w:val="0091174C"/>
    <w:rsid w:val="009223DC"/>
    <w:rsid w:val="009231E1"/>
    <w:rsid w:val="00930452"/>
    <w:rsid w:val="00934C2A"/>
    <w:rsid w:val="00942F53"/>
    <w:rsid w:val="009546CC"/>
    <w:rsid w:val="0096345C"/>
    <w:rsid w:val="00972124"/>
    <w:rsid w:val="009852C1"/>
    <w:rsid w:val="009B38B1"/>
    <w:rsid w:val="009B5FCB"/>
    <w:rsid w:val="009B6488"/>
    <w:rsid w:val="00A3135F"/>
    <w:rsid w:val="00A36903"/>
    <w:rsid w:val="00A47A2E"/>
    <w:rsid w:val="00A5323C"/>
    <w:rsid w:val="00A541A9"/>
    <w:rsid w:val="00A57B9F"/>
    <w:rsid w:val="00A8294D"/>
    <w:rsid w:val="00A857C1"/>
    <w:rsid w:val="00AA1C4F"/>
    <w:rsid w:val="00AA448C"/>
    <w:rsid w:val="00AB2091"/>
    <w:rsid w:val="00AE4AF1"/>
    <w:rsid w:val="00AF566E"/>
    <w:rsid w:val="00B10CCD"/>
    <w:rsid w:val="00B234FE"/>
    <w:rsid w:val="00B33247"/>
    <w:rsid w:val="00B40E73"/>
    <w:rsid w:val="00B64866"/>
    <w:rsid w:val="00B65313"/>
    <w:rsid w:val="00B67036"/>
    <w:rsid w:val="00B7386D"/>
    <w:rsid w:val="00BA6F3A"/>
    <w:rsid w:val="00BB34A4"/>
    <w:rsid w:val="00BB69E3"/>
    <w:rsid w:val="00BC5BFD"/>
    <w:rsid w:val="00BC7EDD"/>
    <w:rsid w:val="00BD06A0"/>
    <w:rsid w:val="00BE00E2"/>
    <w:rsid w:val="00C00995"/>
    <w:rsid w:val="00C06B25"/>
    <w:rsid w:val="00C10FA5"/>
    <w:rsid w:val="00C11AB9"/>
    <w:rsid w:val="00C16DC3"/>
    <w:rsid w:val="00C20853"/>
    <w:rsid w:val="00C4132D"/>
    <w:rsid w:val="00C44E4F"/>
    <w:rsid w:val="00C575D0"/>
    <w:rsid w:val="00C6245B"/>
    <w:rsid w:val="00CA1027"/>
    <w:rsid w:val="00CC2B55"/>
    <w:rsid w:val="00CC3B6E"/>
    <w:rsid w:val="00CC6586"/>
    <w:rsid w:val="00D0694C"/>
    <w:rsid w:val="00D50373"/>
    <w:rsid w:val="00D5445D"/>
    <w:rsid w:val="00D60187"/>
    <w:rsid w:val="00D739D2"/>
    <w:rsid w:val="00DB3532"/>
    <w:rsid w:val="00DC0214"/>
    <w:rsid w:val="00E050E7"/>
    <w:rsid w:val="00E17D9A"/>
    <w:rsid w:val="00E5301C"/>
    <w:rsid w:val="00E7213A"/>
    <w:rsid w:val="00EB52E0"/>
    <w:rsid w:val="00EC5F43"/>
    <w:rsid w:val="00ED0DB4"/>
    <w:rsid w:val="00EE1A02"/>
    <w:rsid w:val="00F11D65"/>
    <w:rsid w:val="00F14E3A"/>
    <w:rsid w:val="00F16D01"/>
    <w:rsid w:val="00F4452C"/>
    <w:rsid w:val="00F75BDE"/>
    <w:rsid w:val="00FC6F0B"/>
    <w:rsid w:val="00FE4A4E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88EF"/>
  <w15:chartTrackingRefBased/>
  <w15:docId w15:val="{C37A0A62-B558-4953-9C06-4326F99A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AEF"/>
    <w:pPr>
      <w:spacing w:after="200" w:line="276" w:lineRule="auto"/>
    </w:p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132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2A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F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uiPriority w:val="9"/>
    <w:rsid w:val="00132A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132AEF"/>
    <w:rPr>
      <w:rFonts w:asciiTheme="majorHAnsi" w:eastAsiaTheme="majorEastAsia" w:hAnsiTheme="majorHAnsi" w:cstheme="majorBidi"/>
      <w:b/>
      <w:bCs/>
      <w:color w:val="5B9BD5" w:themeColor="accent1"/>
      <w:lang w:val="sq-AL"/>
    </w:rPr>
  </w:style>
  <w:style w:type="paragraph" w:styleId="NoSpacing">
    <w:name w:val="No Spacing"/>
    <w:link w:val="NoSpacingChar"/>
    <w:uiPriority w:val="1"/>
    <w:qFormat/>
    <w:rsid w:val="00132AE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32AEF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132AEF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32A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32AEF"/>
    <w:rPr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132AEF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2AEF"/>
    <w:rPr>
      <w:rFonts w:ascii="Calibri Light" w:eastAsia="Times New Roman" w:hAnsi="Calibri Light" w:cs="Times New Roman"/>
      <w:color w:val="323E4F"/>
      <w:spacing w:val="5"/>
      <w:sz w:val="52"/>
      <w:szCs w:val="52"/>
      <w:lang w:val="sq-AL"/>
    </w:rPr>
  </w:style>
  <w:style w:type="paragraph" w:customStyle="1" w:styleId="Default">
    <w:name w:val="Default"/>
    <w:rsid w:val="00132A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">
    <w:name w:val="st"/>
    <w:rsid w:val="00132AEF"/>
  </w:style>
  <w:style w:type="character" w:customStyle="1" w:styleId="apple-converted-space">
    <w:name w:val="apple-converted-space"/>
    <w:basedOn w:val="DefaultParagraphFont"/>
    <w:rsid w:val="00132AEF"/>
  </w:style>
  <w:style w:type="table" w:customStyle="1" w:styleId="GridTable1Light-Accent512">
    <w:name w:val="Grid Table 1 Light - Accent 512"/>
    <w:basedOn w:val="TableNormal"/>
    <w:uiPriority w:val="46"/>
    <w:rsid w:val="00132AE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132AE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132AE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F5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68"/>
    <w:rPr>
      <w:rFonts w:ascii="Segoe UI" w:hAnsi="Segoe UI" w:cs="Segoe UI"/>
      <w:sz w:val="18"/>
      <w:szCs w:val="18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A4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A2E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A2E"/>
    <w:rPr>
      <w:b/>
      <w:bCs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F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q-AL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85436E"/>
    <w:pPr>
      <w:spacing w:line="240" w:lineRule="auto"/>
    </w:pPr>
    <w:rPr>
      <w:i/>
      <w:iCs/>
      <w:color w:val="44546A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9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Water_intended_for_human_consumptio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er.afizi@rks-gov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Water_supply_and_sanitation_in_the_European_Un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CFE8-A027-4BB6-BB45-FBBFB332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bdula@louisberger.com</dc:creator>
  <cp:keywords/>
  <dc:description/>
  <cp:lastModifiedBy>Tringe Sokoli</cp:lastModifiedBy>
  <cp:revision>28</cp:revision>
  <dcterms:created xsi:type="dcterms:W3CDTF">2024-07-24T13:21:00Z</dcterms:created>
  <dcterms:modified xsi:type="dcterms:W3CDTF">2024-10-28T13:22:00Z</dcterms:modified>
</cp:coreProperties>
</file>