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5D" w:rsidRDefault="005E24F8" w:rsidP="005E24F8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:rsidR="005E24F8" w:rsidRPr="005E24F8" w:rsidRDefault="005E24F8" w:rsidP="005E24F8">
      <w:pPr>
        <w:rPr>
          <w:lang w:val="en-GB"/>
        </w:rPr>
      </w:pPr>
    </w:p>
    <w:p w:rsidR="00215D5D" w:rsidRDefault="001969B6">
      <w:pPr>
        <w:pStyle w:val="Corps"/>
        <w:jc w:val="center"/>
        <w:rPr>
          <w:rStyle w:val="Aucun"/>
          <w:b/>
          <w:bCs/>
          <w:sz w:val="28"/>
          <w:szCs w:val="28"/>
          <w:rFonts w:ascii="Arial" w:eastAsia="Arial" w:hAnsi="Arial" w:cs="Arial"/>
        </w:rPr>
      </w:pPr>
      <w:r>
        <w:rPr>
          <w:rStyle w:val="Aucun"/>
          <w:b/>
          <w:sz w:val="28"/>
          <w:rFonts w:ascii="Arial" w:hAnsi="Arial"/>
        </w:rPr>
        <w:t xml:space="preserve">Prvi deo</w:t>
      </w:r>
    </w:p>
    <w:p w:rsidR="00215D5D" w:rsidRDefault="00215D5D">
      <w:pPr>
        <w:pStyle w:val="Corps"/>
        <w:tabs>
          <w:tab w:val="left" w:pos="1176"/>
        </w:tabs>
        <w:jc w:val="center"/>
        <w:rPr>
          <w:rStyle w:val="Aucun"/>
          <w:rFonts w:ascii="Arial" w:eastAsia="Arial" w:hAnsi="Arial" w:cs="Arial"/>
        </w:rPr>
      </w:pPr>
    </w:p>
    <w:p w:rsidR="00215D5D" w:rsidRDefault="001969B6">
      <w:pPr>
        <w:pStyle w:val="Corps"/>
        <w:numPr>
          <w:ilvl w:val="0"/>
          <w:numId w:val="2"/>
        </w:numPr>
        <w:spacing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OPŠTE INFORMACIJE</w:t>
      </w:r>
    </w:p>
    <w:p w:rsidR="00215D5D" w:rsidRDefault="00215D5D">
      <w:pPr>
        <w:pStyle w:val="Corps"/>
        <w:spacing w:line="276" w:lineRule="auto"/>
        <w:ind w:left="36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tbl>
      <w:tblPr>
        <w:tblW w:w="92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6"/>
        <w:gridCol w:w="5955"/>
      </w:tblGrid>
      <w:tr w:rsidR="005E24F8" w:rsidRPr="005E24F8">
        <w:trPr>
          <w:trHeight w:val="48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 w:rsidP="00F037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Generalna rehabilitacija i modernizacija zapadne železničke pruge (Kosovo Polje – Klina – Peć), 81,94 km</w:t>
            </w:r>
          </w:p>
        </w:tc>
      </w:tr>
      <w:tr w:rsidR="005E24F8" w:rsidRPr="005E24F8">
        <w:trPr>
          <w:trHeight w:val="22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Default="001969B6">
            <w:pPr>
              <w:pStyle w:val="Corps"/>
              <w:spacing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Transport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 </w:t>
            </w:r>
          </w:p>
        </w:tc>
      </w:tr>
      <w:tr w:rsidR="005E24F8" w:rsidRPr="005E24F8">
        <w:trPr>
          <w:trHeight w:val="48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Železnica</w:t>
            </w:r>
          </w:p>
        </w:tc>
      </w:tr>
      <w:tr w:rsidR="005E24F8" w:rsidRPr="005E24F8">
        <w:trPr>
          <w:trHeight w:val="132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Ministarstvo životne sredine, prostornog planiranja i infrastrukture (MŽSPPI) i Ministarstvo ekonomije (ME)</w:t>
            </w:r>
          </w:p>
          <w:p w:rsidR="00215D5D" w:rsidRPr="005E24F8" w:rsidRDefault="005E24F8">
            <w:pPr>
              <w:pStyle w:val="Corps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Železnička infrastuktura Kosova A.D.– INFRAKOS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  <w:tr w:rsidR="005E24F8" w:rsidRPr="005E24F8">
        <w:trPr>
          <w:trHeight w:val="54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8" w:type="dxa"/>
              <w:bottom w:w="80" w:type="dxa"/>
              <w:right w:w="80" w:type="dxa"/>
            </w:tcMar>
            <w:vAlign w:val="center"/>
          </w:tcPr>
          <w:p w:rsidR="00215D5D" w:rsidRPr="005E24F8" w:rsidRDefault="005E24F8" w:rsidP="005E24F8">
            <w:pPr>
              <w:pStyle w:val="Corps"/>
              <w:spacing w:before="60" w:after="60" w:line="260" w:lineRule="atLeast"/>
              <w:ind w:left="18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Železnička infrastuktura Kosova A.D.– INFRAKOS, MŽSPPI</w:t>
            </w:r>
          </w:p>
        </w:tc>
      </w:tr>
      <w:tr w:rsidR="00215D5D">
        <w:trPr>
          <w:trHeight w:val="623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jc w:val="center"/>
            </w:pPr>
            <w:r>
              <w:rPr>
                <w:rStyle w:val="Aucun"/>
                <w:i/>
                <w:color w:val="2F5496"/>
                <w:sz w:val="20"/>
                <w:u w:color="2F5496"/>
                <w:rFonts w:ascii="Arial" w:hAnsi="Arial"/>
              </w:rPr>
              <w:drawing>
                <wp:inline distT="0" distB="0" distL="0" distR="0">
                  <wp:extent cx="3644265" cy="3924795"/>
                  <wp:effectExtent l="0" t="0" r="0" b="9525"/>
                  <wp:docPr id="1073741825" name="officeArt object" descr="F:\2022\Baza_e_te_dhenave_Infrakos\HARTAT DHE ORGANOGRAMET 040422\Hartat  040422\Harta-Ang-FKos-Peje.-0404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:\2022\Baza_e_te_dhenave_Infrakos\HARTAT DHE ORGANOGRAMET 040422\Hartat  040422\Harta-Ang-FKos-Peje.-040422.jpg" descr="F:\2022\Baza_e_te_dhenave_Infrakos\HARTAT DHE ORGANOGRAMET 040422\Hartat  040422\Harta-Ang-FKos-Peje.-0404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6161" t="6317" r="22777" b="33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265" cy="39247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D5D" w:rsidTr="002D2157">
        <w:trPr>
          <w:trHeight w:val="2511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  <w:rPr>
                <w:rStyle w:val="Aucun"/>
                <w:sz w:val="20"/>
                <w:szCs w:val="20"/>
                <w:rFonts w:ascii="Arial" w:eastAsia="Arial" w:hAnsi="Arial" w:cs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Ukupna procenjana investicija:</w:t>
            </w:r>
          </w:p>
          <w:p w:rsidR="00215D5D" w:rsidRDefault="001969B6">
            <w:pPr>
              <w:pStyle w:val="Corps"/>
              <w:numPr>
                <w:ilvl w:val="0"/>
                <w:numId w:val="3"/>
              </w:numPr>
              <w:spacing w:before="240" w:after="20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  <w:p w:rsidR="00215D5D" w:rsidRDefault="001969B6">
            <w:pPr>
              <w:pStyle w:val="Corps"/>
              <w:numPr>
                <w:ilvl w:val="0"/>
                <w:numId w:val="3"/>
              </w:numPr>
              <w:spacing w:before="240" w:after="20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Građevinski radovi</w:t>
            </w:r>
          </w:p>
          <w:p w:rsidR="00215D5D" w:rsidRDefault="001969B6">
            <w:pPr>
              <w:pStyle w:val="Corps"/>
              <w:numPr>
                <w:ilvl w:val="0"/>
                <w:numId w:val="3"/>
              </w:numPr>
              <w:spacing w:before="60" w:after="6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Nadzor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8E2610" w:rsidRDefault="00F03737">
            <w:pPr>
              <w:pStyle w:val="Corps"/>
              <w:spacing w:before="60" w:after="60" w:line="260" w:lineRule="atLeast"/>
              <w:rPr>
                <w:rStyle w:val="Aucun"/>
                <w:bCs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Ukupna investicija: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261.395.000 EUR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Od čega: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F5496"/>
              </w:rPr>
            </w:pPr>
            <w:r>
              <w:rPr>
                <w:rStyle w:val="Aucun"/>
                <w:color w:val="auto"/>
                <w:sz w:val="20"/>
                <w:u w:color="2F5496"/>
              </w:rPr>
              <w:t xml:space="preserve">Pripremne aktivnosti: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  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4.198.000 EUR</w:t>
            </w:r>
          </w:p>
          <w:p w:rsidR="00215D5D" w:rsidRPr="005E24F8" w:rsidRDefault="001969B6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F5496"/>
              </w:rPr>
            </w:pPr>
            <w:r>
              <w:rPr>
                <w:rStyle w:val="Aucun"/>
                <w:color w:val="auto"/>
                <w:sz w:val="20"/>
                <w:u w:color="2F5496"/>
              </w:rPr>
              <w:t xml:space="preserve">Građevinski radovi: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  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250.697.000 EUR</w:t>
            </w:r>
          </w:p>
          <w:p w:rsidR="00215D5D" w:rsidRPr="005E24F8" w:rsidRDefault="00F03737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F5496"/>
              </w:rPr>
            </w:pPr>
            <w:r>
              <w:rPr>
                <w:rStyle w:val="Aucun"/>
                <w:color w:val="auto"/>
                <w:sz w:val="20"/>
                <w:u w:color="2F5496"/>
              </w:rPr>
              <w:t xml:space="preserve">Nadzor: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</w:rPr>
              <w:t xml:space="preserve">6.500.000 EUR</w:t>
            </w:r>
          </w:p>
        </w:tc>
      </w:tr>
      <w:tr w:rsidR="00215D5D">
        <w:trPr>
          <w:trHeight w:val="48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Naser Krasnići</w:t>
            </w:r>
          </w:p>
        </w:tc>
      </w:tr>
      <w:tr w:rsidR="00215D5D">
        <w:trPr>
          <w:trHeight w:val="22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D215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Izvršni direktor Železničke infrastukture Kosova A.D. - INFRAKOS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  <w:tr w:rsidR="00215D5D">
        <w:trPr>
          <w:trHeight w:val="543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3102D6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hyperlink r:id="rId8" w:history="1">
              <w:r>
                <w:rPr>
                  <w:rStyle w:val="Hyperlink"/>
                  <w:sz w:val="20"/>
                  <w:u w:color="2F5496"/>
                  <w:rFonts w:ascii="Arial" w:hAnsi="Arial"/>
                </w:rPr>
                <w:t xml:space="preserve">naser.krasniqi@kosovorailway.com</w:t>
              </w:r>
            </w:hyperlink>
            <w:r>
              <w:rPr>
                <w:rStyle w:val="Hyperlink0"/>
                <w:color w:val="auto"/>
                <w:sz w:val="20"/>
                <w:u w:color="2F5496"/>
                <w:rFonts w:ascii="Arial" w:hAnsi="Arial"/>
              </w:rPr>
              <w:t xml:space="preserve">;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Tel: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+383 38 550 550 lok.505</w:t>
            </w:r>
          </w:p>
        </w:tc>
      </w:tr>
    </w:tbl>
    <w:p w:rsidR="00215D5D" w:rsidRDefault="00215D5D">
      <w:pPr>
        <w:pStyle w:val="Corps"/>
        <w:widowControl w:val="0"/>
        <w:jc w:val="center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215D5D" w:rsidRDefault="00215D5D">
      <w:pPr>
        <w:pStyle w:val="Corps"/>
        <w:spacing w:before="200" w:line="276" w:lineRule="auto"/>
        <w:ind w:left="792"/>
        <w:rPr>
          <w:rStyle w:val="Aucun"/>
          <w:rFonts w:ascii="Arial" w:eastAsia="Arial" w:hAnsi="Arial" w:cs="Arial"/>
          <w:b/>
          <w:bCs/>
        </w:rPr>
      </w:pPr>
    </w:p>
    <w:p w:rsidR="00215D5D" w:rsidRDefault="001969B6">
      <w:pPr>
        <w:pStyle w:val="Corps"/>
        <w:numPr>
          <w:ilvl w:val="0"/>
          <w:numId w:val="5"/>
        </w:numPr>
        <w:spacing w:before="200" w:after="200"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OPIS PROJEKTA</w:t>
      </w:r>
    </w:p>
    <w:p w:rsidR="00215D5D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58"/>
        <w:gridCol w:w="5692"/>
      </w:tblGrid>
      <w:tr w:rsidR="00215D5D">
        <w:trPr>
          <w:trHeight w:val="904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Postojeće železničke linije na Kosovu su u lošem stanju.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Strategija Vlade predviđa razvoj železničkog saobraćaja.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Studija izvodljivosti koju finansira WBIF i sprovodi "IPF Technical Assistance" je sprovedena tokom 2012/2013.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Najkorisnija opcija za nadogradnju zapadne železničke linije na Kosovu pokazala se kao opšta rehabilitacija i elektrifikacija pruge.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Sledeći korak ka realizaciji ovog projekta je izrada glavnog projekta u prvoj fazi, a generalna rehabilitacija i modernizacija u drugoj fazi.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Stoga, specifični cilj ovog projekta je rehabilitacija i modernizacija železničke pruge Kosovo Polje – Klina – Peć u cilju povećanja bezbednosti, brzine, kapaciteta i interoperabilne železničke infrastrukture zasnovane na standardima EU, preko koje će se razviti železničko tržište na Kosovu i šire.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 železnička linija je od velikog interesa za Kosovo i ima socijalne i ekološke koristi.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Kroz realizaciju ovog projekta, preduzeća i industrija Kosova će imati potencijalni rast i bolje veze sa susednim zemljama i širim regionalnim preduzećima preko železničke trase 10.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Ovaj projekat je od velikog društvenog i ekonomskog interesa s obzirom na to da povezanost, posebno saobraćajne veze, doprinosi rastu omogućavajući kretanje roba, usluga, kapitala, ljudi i informacija unutar Kosova i regionalno.</w:t>
            </w:r>
          </w:p>
          <w:p w:rsidR="00215D5D" w:rsidRDefault="005E24F8" w:rsidP="00312111">
            <w:pPr>
              <w:pStyle w:val="Corps"/>
              <w:spacing w:before="60" w:after="60" w:line="260" w:lineRule="atLeast"/>
              <w:jc w:val="both"/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Kroz ovaj projekat, Kosovo će razviti intermodalni i multimodalni transport, povećati broj ljudi sa poboljšanim pristupom uslugama, i povećati broj zaposlenih lica tokom faze izgradnje i broj zaposlenih lica na radu i održavanju i dobru vezu sa regionalnim železnicama i obezbediti železničku vezu sa crnogorskom železničkom mrežom (i pristup trasi 4) u budućnosti.</w:t>
            </w:r>
          </w:p>
        </w:tc>
      </w:tr>
      <w:tr w:rsidR="00215D5D">
        <w:trPr>
          <w:trHeight w:val="75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5E24F8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Realizacijom ovog projekta INFRAKOS će realizovati generalnu rehabilitaciju i modernizaciju ove pruge kako bi se dobila interoperabilna železnička infrastruktura kroz koju će se podržati bezbedan železnički transport i otvaranje železničkog tržišta za domaće, regionalne i međunarodne železničke operatere.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Glavni akteri na koje utiče ovaj projekat su državni železnički operater Kosova (TRAINKOS) i svi ostali železnički operateri (lokalni, regionalni i EU), kao potencijalni korisnici ove infrastrukture u budućnosti.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Generalna rehabilitacija železničke pruge Kosovo Polje – Klina – Peć će rezultirati: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bolje uslove bezbednosti i brzine ove linije;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interoperabilna železnička infrastruktura kao veza između susednih zemalja i šireg regiona;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bolji uslovi za razvoj putničkog i teretnog saobraćaja;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povećan ekonomski rast i društveni razvoj;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olakšane trgovinske i ekonomske veze sa susednim zemljama i državama članicama EU;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poboljšanje transportnih kapaciteta;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razvoj multimodalnog i intermodalnog transporta na Kosovu i šire;</w:t>
            </w:r>
          </w:p>
          <w:p w:rsidR="00215D5D" w:rsidRPr="005E24F8" w:rsidRDefault="00312111">
            <w:pPr>
              <w:pStyle w:val="Corps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biti deo regionalne i EU integrisane železničke mreže.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5E24F8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Takođe, ovaj projekat će obeležiti uspostavljanje železničkog saobraćaja između centralnog železničkog čvora u Kosovu Polju i zapadnog dela Kosova.</w:t>
            </w:r>
          </w:p>
        </w:tc>
      </w:tr>
      <w:tr w:rsidR="00215D5D">
        <w:trPr>
          <w:trHeight w:val="85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 w:rsidP="00742048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Opšti opis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Zapadna železnička linija je pretrpela značajna oštećenja u periodu 1990-1999, onda je došlo do značajnih popravki i sada je maksimalna brzina 70 km/h, ali je generalno linija u lošem stanju i potrebna je generalna sanacija i modernizacija kako bi ispunila EU standarde.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Linija obuhvata 82 km dugačku, jednokolosečnu, neelektrifikovanu železničku liniju standardnog koloseka (1,435 mm) u zapadnom delu Kosova.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Zapadna železnička linija (Kosovo Polje – Klina – Peć) je veoma važna za buduće povezivanje Koridora X – železničke trase 10 i Koridora VIII.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 linija će u budućnosti povezivati Železnički put 10 i Železnicu Crne Gore.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Ima očiglednu stratešku dimenziju iz regionalne perspektive u vezi sa železničkim saobraćajem.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312111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Ovo projekat koji povezuje Kosovo i susednu zemlju (Crnu Goru) doprinosi regionalnoj koheziji i pomoći će razvoju besprekornih veza za putnike i teret na zapadnom Balkanu.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Ovo će biti najkraća direktna železnička veza Morske luke Bar u Crnoj Gori sa osnovnom železničkom mrežom zapadnog Balkana.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widowControl w:val="0"/>
              <w:tabs>
                <w:tab w:val="center" w:pos="4536"/>
                <w:tab w:val="right" w:pos="9072"/>
              </w:tabs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</w:tbl>
    <w:p w:rsidR="00215D5D" w:rsidRDefault="00215D5D">
      <w:pPr>
        <w:pStyle w:val="Corps"/>
        <w:widowControl w:val="0"/>
        <w:spacing w:before="200" w:after="20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215D5D" w:rsidRDefault="00215D5D">
      <w:pPr>
        <w:pStyle w:val="Corps"/>
        <w:spacing w:line="276" w:lineRule="auto"/>
        <w:ind w:left="360"/>
        <w:rPr>
          <w:rStyle w:val="Aucun"/>
          <w:rFonts w:ascii="Arial" w:eastAsia="Arial" w:hAnsi="Arial" w:cs="Arial"/>
          <w:b/>
          <w:bCs/>
        </w:rPr>
      </w:pPr>
    </w:p>
    <w:p w:rsidR="00215D5D" w:rsidRDefault="001969B6">
      <w:pPr>
        <w:pStyle w:val="Corps"/>
        <w:numPr>
          <w:ilvl w:val="0"/>
          <w:numId w:val="7"/>
        </w:numPr>
        <w:spacing w:after="200"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PODOBNOST</w:t>
      </w:r>
    </w:p>
    <w:p w:rsidR="00215D5D" w:rsidRDefault="00215D5D">
      <w:pPr>
        <w:pStyle w:val="Corps"/>
        <w:spacing w:after="200" w:line="276" w:lineRule="auto"/>
        <w:ind w:left="36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58"/>
        <w:gridCol w:w="5692"/>
      </w:tblGrid>
      <w:tr w:rsidR="00215D5D">
        <w:trPr>
          <w:trHeight w:val="1280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Zapadna železnička linija Kosova je ogranak železničke trase 10 koja je deo SEETO sveobuhvatne mreže, koja na osnovu strateških dokumenata EU treba da bude integrisana u Transevropsku transportnu mrežu (TEN-T).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Ima očiglednu stratešku dimenziju sa regionalnog aspekta za razvoj železničkog saobraćaja.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Modernizacija železničke infrastrukture povezivanjem na panevropske koridore smatra se jednim od ciljeva Strategije za evropske integracije.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Ekonomskom i investicionom planu za zapadni Balkan, Brisel, 6.10.2020, navodi se da će „EU dati prioritet projektima i programima indikativnog proširenja transevropske transportne mreže (TEN-T) koji su od strateškog interesa za regionu i EU“.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Plan promoviše „multimodalna transportna rešenja i modalnu promenu i smanjenje zagađenja u vezi sa transportom“.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Dakle, Plan predviđa da će se „preduzeti radnje na ubrzanju izgradnje nove saobraćajne infrastrukture i nadogradnje postojeće infrastrukture, u cilju dovođenja osnovne saobraćajne mreže do standarda EU“.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skladu sa Evropskim zelenim dogovorom, Brisel 11.12.2019, navodi da „znatan deo od 75 odsto unutrašnjeg tereta koji se danas prevozi drumom, treba da bude prebačen na železnicu i unutrašnje plovne puteve.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Smernice za sprovođenje Zelene agende, Brisel 6.10.2020 za Zapadni Balkan smatraju revitalizaciju železničke mreže kao glavni prioritet i promociju multimodalnih transportnih rešenja i modalne promene, kroz ciljane politike, uključujući i ulaganja u unutrašnje plovne puteve.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Takođe, navodi se da treba obezbediti „implementaciju tehničkih standarda EU u svim vidovima transporta, a posebno u Evropskom sistemu upravljanja železničkim saobraćajem“.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Verodostojna perspektiva proširenja i pojačan angažman EU na Zapadnom Balkanu, Strazbur, 6.2.2018, navodi da je „politički prioritet povezati infrastrukturu i između EU i Zapadnog Balkana i ubrzati razvoj međusobno povezanih transevropskih mreža u oblastima transporta, energetike i digitalnih usluga.”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Strategija održive i pametne mobilnosti, Brisel, 9.12.2020, glasi „Mobilnost u Evropi treba da se zasniva na efikasnom i međusobno povezanom multimodalnom transportnom sistemu, kako za putnike tako i za teret, poboljšanom pristupačnom brzom železničkom mrežom, obilnim infrastrukturamaza punjenje i dopunu goriva za vozila sa nultom emisijom i snabdevanje obnovljivim i niskougljeničnim gorivima, čistijom i aktivnijom mobilnošću u zelenijim gradovima koji doprinose dobrom zdravlju i blagostanju svojih građana.”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Ista strategija predviđa da će se do 2030. godine brzi železnički saobraćaj udvostručiti, a da se do 2050. godine udvostruči teretni, a utrostruči brzi železnički saobraćaj.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Strategija za održivu i pametnu mobilnost na Zapadnom Balkanu, jul 2021. navodi da su „potrebne intervencije da bi se povećao kapacitet železnice i omogućile konkurentnije železničke usluge“.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Takođe, u Strategiji se navodi: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numPr>
                <w:ilvl w:val="0"/>
                <w:numId w:val="8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Do 2030. godine, železnički teretni saobraćaj će porasti za 20 odsto.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Ovo treba da se udvostruči do 2050. godine;</w:t>
            </w:r>
          </w:p>
          <w:p w:rsidR="00215D5D" w:rsidRPr="005E24F8" w:rsidRDefault="001969B6">
            <w:pPr>
              <w:pStyle w:val="Corps"/>
              <w:numPr>
                <w:ilvl w:val="0"/>
                <w:numId w:val="8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Do 2035. železnički i vodeni intermodalni transport će se ravnopravno takmičiti sa drumskim transportom na zapadnom Balkanu.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Četvrti železnički paket EU (2013) predviđa poboljšanje interoperabilnosti i bezbednosti nacionalnih mreža i razvoj infrastrukture železničkog saobraćaja.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Jedan od ciljeva EBRD-a navedenih u Strategiji transportnog sektora (2019-2024), oktobar 2019, jeste „ulaganje u rehabilitaciju i proširenje nacionalne, regionalne i prigradske železničke infrastrukture i signalizacije, kako bi se poboljšao pristup tržištima i uslugama, i stvorile veze sa ključnim transportnim mrežama i koridorima, uključujući TEN-T, VBCN, CAREC, TRACECA i BRI u ekonomijama u koje Banka investira.”</w:t>
            </w:r>
          </w:p>
          <w:p w:rsidR="005E24F8" w:rsidRPr="00B90718" w:rsidRDefault="005E24F8" w:rsidP="005E24F8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 2024-2026 predviđa da bi dalje povezivanje sa susednim zemljama ojačalo integraciju zemlje u regionalno tržište.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Instrument za pretpristupnu pomoć (IPA III) 2021-2027, navodi da „Sektor saobraćaja ima snažan potencijal da doprinese konkurentnosti i trgovini.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Konkurentna, održiva i ekološki prihvatljiva transportna rešenja zahtevaće efikasno kombinovanje vidova transporta drumskim, železničkim, pomorskim i unutrašnjim plovnim putevima.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Stoga postoji posebna potreba za većom multimodalnošću, dekarbonizacijom i elektrifikacijom.”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Takođe promoviše modernu mrežu infrastrukture koja će služiti maloj svrsi ako institucionalni i regulatorni okviri ne budu ojačani i usklađeni sa uslovima EU.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556965" w:rsidRDefault="001969B6" w:rsidP="00556965">
            <w:pPr>
              <w:pStyle w:val="Corps"/>
              <w:spacing w:before="60" w:after="60" w:line="260" w:lineRule="atLeast"/>
              <w:jc w:val="both"/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Uopšteno, ekonomski izvodljivi i isplativi projekti treba da se finansiraju kreditima MFI ili drugih donatora.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Fiskalni prostor za uzimanje kredita je ograničen usled uticaja ekonomske krize poslednjih godina.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Finansiranje grantova za investicije je stoga važno, ali u isto vreme inherentno ograničeno.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Shodno tome, postoji potreba za mehanizmom za usaglašavanje opštih nacionalnih i regionalnih prioriteta ulaganja između vlade, Evropske unije, drugih donatora, relevantnih regionalnih organizacija i MFI, kao i za kombinovanje grantova i zajmova.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 koordinaciona platforma biće Investicioni okvir za zapadni Balkan (WBIF).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Integracija Kosova u regionalne (železničke) transportne mreže biće olakšana preko Investicionog okvira za zapadni Balkan (WBIF) i relevantnih regionalnih programa.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Takođe, razmatra se za ulaganje Evropske banke za obnovu i razvoj (EBRD).</w:t>
            </w:r>
          </w:p>
        </w:tc>
      </w:tr>
      <w:tr w:rsidR="00215D5D">
        <w:trPr>
          <w:trHeight w:val="1280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Doprinos važećim nacionalnim razvojnim ciljevima?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Poboljšanje povezanosti unutar našeg regiona kao i sa EU je ključni faktor za rast i zapošljavanje na ZB.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međuvremenu, razvijajući ovaj projekat, INFRAKOS i MŽSPPI će ispuniti deo svojih razvojnih strategija.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Vlada namerava da preko razvojnih banaka finansira rehabilitaciju železničke linije Istok-Zapad Kosova, koja omogućava železničku vezu sa Albanijom i Crnom Gorom; odnosno biće napravljena veza sa morskim lukama na Jadranu.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Projekat je u skladu sa Sporazumom o stabilizaciji i pridruživanju (SSP), između Kosova i Evropske unije, kao što je navedeno u članu 113 ovog Sporazuma:</w:t>
            </w:r>
          </w:p>
          <w:p w:rsidR="00215D5D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Saradnja bi mogla posebno da ima za cilj restrukturiranje i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povezanog sa sistemom EU, i poboljšanje zaštite životne sredine u oblasti transporta.”</w:t>
            </w:r>
          </w:p>
          <w:p w:rsidR="005E24F8" w:rsidRPr="005E24F8" w:rsidRDefault="005E24F8" w:rsidP="005E24F8">
            <w:pPr>
              <w:spacing w:before="60" w:after="60" w:line="260" w:lineRule="atLeast"/>
              <w:jc w:val="both"/>
              <w:rPr>
                <w:rStyle w:val="Aucun"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2023-2027 promoviše modernu i bolju regionalnu železničku infrastrukturu, u cilju povezivanja na panevropske koridore.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Programu Vlade Republike Kosovo 2021 – 2025, Vlada naglašava svoju posvećenost stvaranju integrisanog sistema drumskog, železničkog i vazdušnog saobraćaja, u cilju ekonomskog razvoja, i modernizacije i razvoja železničke infrastrukture, kako bi se pružile održivije usluge.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  <w:p w:rsidR="00215D5D" w:rsidRPr="00154EC7" w:rsidRDefault="005E24F8" w:rsidP="00154EC7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(2023)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„Kosovo treba da sprovede tekuće projekte povezivanja i da ojača institucionalne i administrativne kapacitete za sprovođenje strateških infrastrukturnih projekata.</w:t>
            </w:r>
          </w:p>
        </w:tc>
      </w:tr>
      <w:tr w:rsidR="00215D5D">
        <w:trPr>
          <w:trHeight w:val="516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spacing w:before="240" w:after="200"/>
            </w:pPr>
            <w:r>
              <w:rPr>
                <w:rStyle w:val="Aucun"/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 w:rsidP="00556965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Strategija multimodalnog transporta 2030 ima za cilj da donese održiv i integrisan transportni sistem jačanjem različitih vidova (drumski, železnički i vazdušni), kao što su pogodnost, brzina, cena, pouzdanost, predvidljivost, itd., i u kombinaciji, može ponuditi efikasnija transportna rešenja za ljude i robu što će pomoći da se smanji pritisak na našim zakrčenim putevima i da ceo sektor učini ekološki prihvatljivijim, bezbednijim i isplativijim.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Takođe, navodi se da je „transportna politika EU prirodno usklađena sa gore navedenim globalnim trendovima.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Međutim, može se naglasiti da se posebna pažnja poklanja uvođenju vozila sa nultom emisijom, razvoju železničkog saobraćaja i jačanju jedinstvenog tržišta koje se zasniva na principu korisnik plaća.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</w:p>
        </w:tc>
      </w:tr>
    </w:tbl>
    <w:p w:rsidR="00215D5D" w:rsidRDefault="00215D5D">
      <w:pPr>
        <w:pStyle w:val="Corps"/>
        <w:widowControl w:val="0"/>
        <w:spacing w:after="20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215D5D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</w:rPr>
      </w:pPr>
    </w:p>
    <w:p w:rsidR="00215D5D" w:rsidRDefault="001969B6">
      <w:pPr>
        <w:pStyle w:val="Corps"/>
        <w:numPr>
          <w:ilvl w:val="0"/>
          <w:numId w:val="9"/>
        </w:numPr>
        <w:spacing w:before="200" w:after="200"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STRATEŠKA RELEVANTNOST</w:t>
      </w:r>
    </w:p>
    <w:p w:rsidR="00215D5D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58"/>
        <w:gridCol w:w="5692"/>
      </w:tblGrid>
      <w:tr w:rsidR="00215D5D">
        <w:trPr>
          <w:trHeight w:val="31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215D5D">
        <w:trPr>
          <w:trHeight w:val="17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Sprovođenjem opšte sanacije ove linije, Kosovo će poboljšati i razviti intermodalni transport na najvišem nivou na lokalnom, regionalnom i međunarodnom nivou.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Ovo će olakšati transport „od vrata do vrata“ korišćenjem železničkih i drumskih vozila kroz postojeći teretni terminal u čvorištu Kosovo Polje.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Dotični program će imati značajan uticaj na intermodalnost.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  <w:tr w:rsidR="00215D5D">
        <w:trPr>
          <w:trHeight w:val="17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 w:rsidP="00556965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Prema Studiji izvodljivosti, nakon rehabilitacije železničke mreže, očekuje se bitna poboljšanja u obimu saobraćaja duž linija i za putnike i za teret.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2040. godini obim putničkog saobraćaja bi dostigao 1 miliona na pruzi Kosovo Polje- Peć.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Istovremeno, obim teretnog saobraćaja bi dostigao 206,8 miliona tona na pruzi Kosovo Polje- Peć.</w:t>
            </w:r>
          </w:p>
        </w:tc>
      </w:tr>
      <w:tr w:rsidR="00215D5D">
        <w:trPr>
          <w:trHeight w:val="484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Ne, ovaj projekat nije uključen u SEETO MAP 2018.</w:t>
            </w:r>
          </w:p>
          <w:p w:rsidR="00215D5D" w:rsidRDefault="001969B6">
            <w:pPr>
              <w:pStyle w:val="Corps"/>
              <w:spacing w:before="60" w:after="60" w:line="260" w:lineRule="atLeast"/>
              <w:jc w:val="both"/>
            </w:pPr>
            <w:r>
              <w:rPr>
                <w:rStyle w:val="Aucun"/>
                <w:i/>
                <w:color w:val="2F5496"/>
                <w:sz w:val="20"/>
                <w:u w:color="2F5496"/>
                <w:rFonts w:ascii="Arial" w:hAnsi="Arial"/>
              </w:rPr>
              <w:drawing>
                <wp:inline distT="0" distB="0" distL="0" distR="0">
                  <wp:extent cx="3352800" cy="2840990"/>
                  <wp:effectExtent l="0" t="0" r="0" b="0"/>
                  <wp:docPr id="1073741826" name="officeArt object" descr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51" descr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8409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D5D">
        <w:trPr>
          <w:trHeight w:val="74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Linija je povezana sa TEN-T koridorom preko železničke trase 10, čime je uspostavljena železnička veza sa Nišem i Beogradom u Srbiji i Skopljem u Severnoj Makedoniji.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  <w:tr w:rsidR="00215D5D">
        <w:trPr>
          <w:trHeight w:val="100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Rehabilitacija ove pruge biće urađena u skladu sa savremenim standardima bezbednosti na železnici.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Imajući u vidu trenutno stanje dotične železničke linije, ovaj projekat će imati značajan uticaj na poboljšanje uslova bezbednosti.</w:t>
            </w:r>
          </w:p>
        </w:tc>
      </w:tr>
      <w:tr w:rsidR="00215D5D">
        <w:trPr>
          <w:trHeight w:val="4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Generalna rehabilitacija i modernizacija zapadne železničke linije Kosova.</w:t>
            </w:r>
          </w:p>
        </w:tc>
      </w:tr>
      <w:tr w:rsidR="00215D5D">
        <w:trPr>
          <w:trHeight w:val="31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Projekat ispunjava tražene kriterijume za rast saobraćaja.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 </w:t>
            </w:r>
          </w:p>
        </w:tc>
      </w:tr>
      <w:tr w:rsidR="00215D5D">
        <w:trPr>
          <w:trHeight w:val="126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Infrakosovim Planom razvoja mreže (2018) sa rehabilitacijom i modernizacijom ove pruge, predviđeno je da smanjenje vremena za putovanja na ovoj liniji bude oko 40 min a trenutno vreme putovanja između Kosova Polja i Peći je 109 minuta..</w:t>
            </w:r>
          </w:p>
        </w:tc>
      </w:tr>
      <w:tr w:rsidR="00215D5D">
        <w:trPr>
          <w:trHeight w:val="288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rStyle w:val="Aucun"/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rStyle w:val="Aucun"/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Sprovođenje ovog projekta će dovesti do toga da se veći deo drumskog teretnog saobraćaja prebaci na železnicu, što bi značajno uticalo na smanjenje emisije CO</w:t>
            </w:r>
            <w:r>
              <w:rPr>
                <w:rStyle w:val="Aucun"/>
                <w:color w:val="auto"/>
                <w:sz w:val="20"/>
                <w:u w:color="2F5496"/>
                <w:vertAlign w:val="subscript"/>
                <w:rFonts w:ascii="Arial" w:hAnsi="Arial"/>
              </w:rPr>
              <w:t xml:space="preserve">2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i buke.</w:t>
            </w:r>
          </w:p>
          <w:p w:rsidR="00215D5D" w:rsidRPr="005E24F8" w:rsidRDefault="001969B6" w:rsidP="00556965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Ovaj projekat ima održivost u odnosu na ekološke aspekte, jer je poznato da vozovi imaju veoma nisku emisiju C02 u poređenju sa drumskim vozilima.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Ovaj projekat će uzeti u obzir implikacije na životnu sredinu, tako da će svaki negativni uticaj na životnu sredinu biti ili izbegnut ili ublažen tokom trajanja projekta.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  <w:tr w:rsidR="00215D5D" w:rsidTr="00556965">
        <w:trPr>
          <w:trHeight w:val="504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E24F8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Nema direktne veze sa međunarodnim saobraćajem, ali se smatra napojnom prugom železničke trase 10.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budućnosti će projekat omogućiti značajan međuregionalni ekonomski rast jer povezuje Kosovo i susednu zemlju (Crnu Goru) i doprinosi regionalnoj koheziji i pomaže razvoj neometenih veza za putnike i teret na zapadnom Balkanu.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Jačanje povezanosti unutar zapadnog Balkana predstavlja strateški interes za obe strane.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Povećanje saobraćajnih veza omogućiće veću konkurentnost, ekonomski rast i sigurnost snabdevanja, a istovremeno je važan preduslov za ekonomsku integraciju u okviru zapadnog Balkana.</w:t>
            </w:r>
          </w:p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Zapadni Balkan je geografski okružen državama članicama EU i politički je prioritet povezati infrastrukturu između EU i zapadnog Balkana i ubrzati razvoj međusobno povezanih transevropskih mreža u transportu.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 </w:t>
            </w:r>
          </w:p>
        </w:tc>
      </w:tr>
      <w:tr w:rsidR="00215D5D">
        <w:trPr>
          <w:trHeight w:val="74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Ovaj projekat je u vezi sa investicijama u železničku trasu 10 na Kosovu, kao i sa investicijama u železničku infrastrukturu u Srbiji.</w:t>
            </w:r>
          </w:p>
        </w:tc>
      </w:tr>
      <w:tr w:rsidR="00215D5D">
        <w:trPr>
          <w:trHeight w:val="126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 pogledu usklađivanja, nije bilo potrebe za alternativnim analizama s obzirom na to da se projekat odnosi na sanaciju postojećeg voda.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Međutim, alternativne opcije su istražene kada su u pitanju opcije telekomunikacija, signalizacije i elektrifikacije.</w:t>
            </w:r>
          </w:p>
        </w:tc>
      </w:tr>
    </w:tbl>
    <w:p w:rsidR="00215D5D" w:rsidRDefault="00215D5D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154EC7" w:rsidRDefault="00154EC7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215D5D" w:rsidRDefault="001969B6">
      <w:pPr>
        <w:pStyle w:val="Corps"/>
        <w:spacing w:line="260" w:lineRule="atLeast"/>
        <w:jc w:val="center"/>
        <w:rPr>
          <w:rStyle w:val="Aucun"/>
          <w:b/>
          <w:bCs/>
          <w:sz w:val="28"/>
          <w:szCs w:val="28"/>
          <w:rFonts w:ascii="Arial" w:eastAsia="Arial" w:hAnsi="Arial" w:cs="Arial"/>
        </w:rPr>
      </w:pPr>
      <w:r>
        <w:rPr>
          <w:rStyle w:val="Aucun"/>
          <w:b/>
          <w:sz w:val="28"/>
          <w:rFonts w:ascii="Arial" w:hAnsi="Arial"/>
        </w:rPr>
        <w:t xml:space="preserve">Drugi deo</w:t>
      </w:r>
    </w:p>
    <w:p w:rsidR="00215D5D" w:rsidRDefault="00215D5D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</w:rPr>
      </w:pPr>
    </w:p>
    <w:p w:rsidR="00215D5D" w:rsidRDefault="001969B6">
      <w:pPr>
        <w:pStyle w:val="Corps"/>
        <w:numPr>
          <w:ilvl w:val="0"/>
          <w:numId w:val="10"/>
        </w:numPr>
        <w:spacing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ZRELOST</w:t>
      </w:r>
    </w:p>
    <w:p w:rsidR="00215D5D" w:rsidRDefault="00215D5D">
      <w:pPr>
        <w:pStyle w:val="Corps"/>
        <w:spacing w:line="276" w:lineRule="auto"/>
        <w:ind w:left="36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tbl>
      <w:tblPr>
        <w:tblW w:w="9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48"/>
        <w:gridCol w:w="1480"/>
        <w:gridCol w:w="1318"/>
        <w:gridCol w:w="1200"/>
      </w:tblGrid>
      <w:tr w:rsidR="00215D5D">
        <w:trPr>
          <w:trHeight w:val="443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jc w:val="center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jc w:val="center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Default="001969B6">
            <w:pPr>
              <w:pStyle w:val="Corps"/>
              <w:jc w:val="center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sz w:val="20"/>
                <w:u w:color="2F5496"/>
                <w:rFonts w:ascii="Arial" w:hAnsi="Arial"/>
              </w:rPr>
              <w:t xml:space="preserve">N/A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N/A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N/A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556965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N/A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</w:tr>
      <w:tr w:rsidR="005E24F8" w:rsidRPr="005E24F8">
        <w:trPr>
          <w:trHeight w:val="267"/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54EC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</w:tr>
    </w:tbl>
    <w:p w:rsidR="00215D5D" w:rsidRPr="005E24F8" w:rsidRDefault="00215D5D">
      <w:pPr>
        <w:pStyle w:val="Corps"/>
        <w:widowControl w:val="0"/>
        <w:jc w:val="center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p w:rsidR="00215D5D" w:rsidRPr="005E24F8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color w:val="auto"/>
        </w:rPr>
      </w:pPr>
    </w:p>
    <w:p w:rsidR="00215D5D" w:rsidRPr="005E24F8" w:rsidRDefault="001969B6">
      <w:pPr>
        <w:pStyle w:val="Corps"/>
        <w:numPr>
          <w:ilvl w:val="0"/>
          <w:numId w:val="11"/>
        </w:numPr>
        <w:spacing w:before="200" w:after="200" w:line="276" w:lineRule="auto"/>
        <w:rPr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ODREĐIVANJE IZVORA FINANSIRANJA</w:t>
      </w:r>
    </w:p>
    <w:p w:rsidR="00215D5D" w:rsidRPr="005E24F8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67"/>
        <w:gridCol w:w="766"/>
        <w:gridCol w:w="4488"/>
        <w:gridCol w:w="529"/>
      </w:tblGrid>
      <w:tr w:rsidR="005E24F8" w:rsidRPr="005E24F8">
        <w:trPr>
          <w:trHeight w:val="267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215D5D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Ne</w:t>
            </w:r>
          </w:p>
        </w:tc>
      </w:tr>
      <w:tr w:rsidR="005E24F8" w:rsidRPr="005E24F8">
        <w:trPr>
          <w:trHeight w:val="1003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54EC7">
            <w:pPr>
              <w:pStyle w:val="Corps"/>
              <w:spacing w:before="60" w:after="60"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Realizacija projekta će imati direktan uticaj na poboljšanje železničke veze unutar Kosova, sa zemljama regiona i Integrisanom mrežom EU.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215D5D"/>
        </w:tc>
      </w:tr>
      <w:tr w:rsidR="005E24F8" w:rsidRPr="005E24F8">
        <w:trPr>
          <w:trHeight w:val="743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215D5D">
            <w:pPr>
              <w:pStyle w:val="Corps"/>
              <w:spacing w:before="60" w:after="60" w:line="260" w:lineRule="atLeast"/>
              <w:rPr>
                <w:rStyle w:val="Aucun"/>
                <w:rFonts w:ascii="Arial" w:eastAsia="Arial" w:hAnsi="Arial" w:cs="Arial"/>
                <w:iCs/>
                <w:color w:val="auto"/>
                <w:sz w:val="20"/>
                <w:szCs w:val="20"/>
                <w:u w:color="2F5496"/>
              </w:rPr>
            </w:pPr>
          </w:p>
          <w:p w:rsidR="00215D5D" w:rsidRPr="005E24F8" w:rsidRDefault="00154EC7">
            <w:pPr>
              <w:pStyle w:val="Corps"/>
              <w:spacing w:before="60" w:after="60"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 železnička linija će imati prekogranični uticaj sa Crnom Gorom, a imaće uticaj i na druge susedne zemlje.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1263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54EC7">
            <w:pPr>
              <w:pStyle w:val="Corps"/>
              <w:spacing w:before="60" w:after="60"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X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Uzimajući u obzir SEETO sveobuhvatnu železničku mrežu, povezivanje sa TEN-T i buduće povezivanje sa Crnom Gorom, ovaj projekat se takođe može smatrati regionalnim projektom.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D5D" w:rsidRPr="005E24F8" w:rsidRDefault="00215D5D"/>
        </w:tc>
      </w:tr>
    </w:tbl>
    <w:p w:rsidR="00215D5D" w:rsidRPr="005E24F8" w:rsidRDefault="00215D5D">
      <w:pPr>
        <w:pStyle w:val="Corps"/>
        <w:widowControl w:val="0"/>
        <w:spacing w:before="200" w:after="200"/>
        <w:jc w:val="center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p w:rsidR="00215D5D" w:rsidRPr="005E24F8" w:rsidRDefault="00215D5D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215D5D" w:rsidRPr="005E24F8" w:rsidRDefault="001969B6">
      <w:pPr>
        <w:pStyle w:val="Corps"/>
        <w:numPr>
          <w:ilvl w:val="0"/>
          <w:numId w:val="12"/>
        </w:numPr>
        <w:spacing w:before="200" w:after="200" w:line="276" w:lineRule="auto"/>
        <w:rPr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RASPORED POTROŠNJE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0"/>
        <w:gridCol w:w="739"/>
        <w:gridCol w:w="662"/>
        <w:gridCol w:w="662"/>
        <w:gridCol w:w="662"/>
        <w:gridCol w:w="777"/>
        <w:gridCol w:w="662"/>
        <w:gridCol w:w="941"/>
        <w:gridCol w:w="941"/>
        <w:gridCol w:w="718"/>
        <w:gridCol w:w="663"/>
        <w:gridCol w:w="663"/>
      </w:tblGrid>
      <w:tr w:rsidR="005E24F8" w:rsidRPr="005E24F8">
        <w:trPr>
          <w:trHeight w:val="48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2030</w:t>
            </w:r>
          </w:p>
        </w:tc>
      </w:tr>
      <w:tr w:rsidR="005E24F8" w:rsidRPr="005E24F8">
        <w:trPr>
          <w:trHeight w:val="100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Cena (u milionima EUR) od čega: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F5496"/>
                <w:rFonts w:ascii="Arial" w:hAnsi="Arial"/>
              </w:rPr>
              <w:t xml:space="preserve">2,20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F5496"/>
                <w:rFonts w:ascii="Arial" w:hAnsi="Arial"/>
              </w:rPr>
              <w:t xml:space="preserve">2,00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F5496"/>
                <w:rFonts w:ascii="Arial" w:hAnsi="Arial"/>
              </w:rPr>
              <w:t xml:space="preserve">102,497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F5496"/>
                <w:rFonts w:ascii="Arial" w:hAnsi="Arial"/>
              </w:rPr>
              <w:t xml:space="preserve">102,498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F5496"/>
                <w:rFonts w:ascii="Arial" w:hAnsi="Arial"/>
              </w:rPr>
              <w:t xml:space="preserve">52,2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74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2,20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2,00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2,50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2,498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1,50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  <w:tr w:rsidR="005E24F8" w:rsidRPr="005E24F8">
        <w:trPr>
          <w:trHeight w:val="22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Ulaganje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99,997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100,00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50,70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215D5D"/>
        </w:tc>
      </w:tr>
    </w:tbl>
    <w:p w:rsidR="00215D5D" w:rsidRPr="005E24F8" w:rsidRDefault="00215D5D">
      <w:pPr>
        <w:pStyle w:val="Corps"/>
        <w:spacing w:line="276" w:lineRule="auto"/>
        <w:rPr>
          <w:rStyle w:val="Aucun"/>
          <w:rFonts w:ascii="Arial" w:eastAsia="Arial" w:hAnsi="Arial" w:cs="Arial"/>
          <w:b/>
          <w:bCs/>
          <w:color w:val="auto"/>
        </w:rPr>
      </w:pPr>
    </w:p>
    <w:p w:rsidR="00215D5D" w:rsidRPr="00154EC7" w:rsidRDefault="001969B6" w:rsidP="00154EC7">
      <w:pPr>
        <w:pStyle w:val="Corps"/>
        <w:numPr>
          <w:ilvl w:val="0"/>
          <w:numId w:val="13"/>
        </w:numPr>
        <w:spacing w:after="200" w:line="276" w:lineRule="auto"/>
        <w:rPr>
          <w:rStyle w:val="Aucun"/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OSTALI ASPEKTI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66"/>
        <w:gridCol w:w="5784"/>
      </w:tblGrid>
      <w:tr w:rsidR="005E24F8" w:rsidRPr="005E24F8">
        <w:trPr>
          <w:trHeight w:val="663"/>
          <w:jc w:val="center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Kada?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154EC7" w:rsidRDefault="00154EC7" w:rsidP="00154EC7">
            <w:pPr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5E24F8" w:rsidRPr="005E24F8">
        <w:trPr>
          <w:trHeight w:val="443"/>
          <w:jc w:val="center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Br.</w:t>
            </w:r>
          </w:p>
        </w:tc>
      </w:tr>
      <w:tr w:rsidR="005E24F8" w:rsidRPr="005E24F8">
        <w:trPr>
          <w:trHeight w:val="663"/>
          <w:jc w:val="center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 w:rsidP="00556965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Ministarstvo finansija, rada i transfera je obavešteno o ovom projektu i podržava ovaj projekat.</w:t>
            </w:r>
          </w:p>
        </w:tc>
      </w:tr>
      <w:tr w:rsidR="005E24F8" w:rsidRPr="005E24F8">
        <w:trPr>
          <w:trHeight w:val="483"/>
          <w:jc w:val="center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Ovaj projekat je preduslov za budući razvoj i ostvariće prihode od železničkih operatera.</w:t>
            </w:r>
          </w:p>
        </w:tc>
      </w:tr>
      <w:tr w:rsidR="005E24F8" w:rsidRPr="005E24F8">
        <w:trPr>
          <w:trHeight w:val="443"/>
          <w:jc w:val="center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Opis projektnog tima za realizaciju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D5D" w:rsidRPr="005E24F8" w:rsidRDefault="001969B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INFRAKOS će uspostaviti JRP za ovaj projekat.</w:t>
            </w: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 </w:t>
            </w:r>
          </w:p>
        </w:tc>
      </w:tr>
    </w:tbl>
    <w:p w:rsidR="00215D5D" w:rsidRPr="005E24F8" w:rsidRDefault="00215D5D">
      <w:pPr>
        <w:pStyle w:val="Corps"/>
        <w:widowControl w:val="0"/>
        <w:spacing w:after="200"/>
        <w:jc w:val="center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p w:rsidR="00215D5D" w:rsidRDefault="00215D5D">
      <w:pPr>
        <w:pStyle w:val="Corps"/>
        <w:tabs>
          <w:tab w:val="left" w:pos="1176"/>
        </w:tabs>
        <w:jc w:val="center"/>
        <w:rPr>
          <w:rStyle w:val="Aucun"/>
          <w:rFonts w:ascii="Arial" w:eastAsia="Arial" w:hAnsi="Arial" w:cs="Arial"/>
          <w:sz w:val="28"/>
          <w:szCs w:val="28"/>
        </w:rPr>
      </w:pPr>
    </w:p>
    <w:p w:rsidR="00215D5D" w:rsidRDefault="00215D5D">
      <w:pPr>
        <w:pStyle w:val="Titre2"/>
        <w:jc w:val="both"/>
      </w:pPr>
    </w:p>
    <w:sectPr w:rsidR="00215D5D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9C" w:rsidRDefault="00F1789C">
      <w:r>
        <w:separator/>
      </w:r>
    </w:p>
  </w:endnote>
  <w:endnote w:type="continuationSeparator" w:id="0">
    <w:p w:rsidR="00F1789C" w:rsidRDefault="00F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V Bol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D" w:rsidRDefault="00215D5D" w:rsidP="00154EC7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9C" w:rsidRDefault="00F1789C">
      <w:r>
        <w:separator/>
      </w:r>
    </w:p>
  </w:footnote>
  <w:footnote w:type="continuationSeparator" w:id="0">
    <w:p w:rsidR="00F1789C" w:rsidRDefault="00F1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6AC"/>
    <w:multiLevelType w:val="hybridMultilevel"/>
    <w:tmpl w:val="EACC59FC"/>
    <w:numStyleLink w:val="Style1import"/>
  </w:abstractNum>
  <w:abstractNum w:abstractNumId="1" w15:restartNumberingAfterBreak="0">
    <w:nsid w:val="0C4F6B02"/>
    <w:multiLevelType w:val="hybridMultilevel"/>
    <w:tmpl w:val="0EE8236A"/>
    <w:lvl w:ilvl="0" w:tplc="098CB22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4820F6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23AC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0BC0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C3978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CE65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E966A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EE75EE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49DD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C562E3"/>
    <w:multiLevelType w:val="hybridMultilevel"/>
    <w:tmpl w:val="EACC59FC"/>
    <w:styleLink w:val="Style1import"/>
    <w:lvl w:ilvl="0" w:tplc="74A6886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405D2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05834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72E2F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6A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908DD2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4A97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4254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CF988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0C3154"/>
    <w:multiLevelType w:val="hybridMultilevel"/>
    <w:tmpl w:val="5E16F85A"/>
    <w:lvl w:ilvl="0" w:tplc="3A74E9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63D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0459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2BC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894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040E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869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852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1820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963D1A"/>
    <w:multiLevelType w:val="hybridMultilevel"/>
    <w:tmpl w:val="B7361136"/>
    <w:lvl w:ilvl="0" w:tplc="CA6E8B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8CD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38FE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FA9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825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4EA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3439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F446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56CF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3C1EE3"/>
    <w:multiLevelType w:val="hybridMultilevel"/>
    <w:tmpl w:val="2310A9BA"/>
    <w:lvl w:ilvl="0" w:tplc="B414E13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1C091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217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41AF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47E6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0F8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16A39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8252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0BB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0"/>
    <w:lvlOverride w:ilvl="0">
      <w:startOverride w:val="2"/>
      <w:lvl w:ilvl="0" w:tplc="C4BA99A6">
        <w:start w:val="2"/>
        <w:numFmt w:val="decimal"/>
        <w:lvlText w:val="%1."/>
        <w:lvlJc w:val="left"/>
        <w:pPr>
          <w:ind w:left="36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120600">
        <w:start w:val="1"/>
        <w:numFmt w:val="lowerLetter"/>
        <w:lvlText w:val="%2."/>
        <w:lvlJc w:val="left"/>
        <w:pPr>
          <w:ind w:left="14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DA3E58">
        <w:start w:val="1"/>
        <w:numFmt w:val="lowerRoman"/>
        <w:lvlText w:val="%3."/>
        <w:lvlJc w:val="left"/>
        <w:pPr>
          <w:ind w:left="216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E4BEFC">
        <w:start w:val="1"/>
        <w:numFmt w:val="decimal"/>
        <w:lvlText w:val="%4."/>
        <w:lvlJc w:val="left"/>
        <w:pPr>
          <w:ind w:left="28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620AE8">
        <w:start w:val="1"/>
        <w:numFmt w:val="lowerLetter"/>
        <w:lvlText w:val="%5."/>
        <w:lvlJc w:val="left"/>
        <w:pPr>
          <w:ind w:left="360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DA6ECDC">
        <w:start w:val="1"/>
        <w:numFmt w:val="lowerRoman"/>
        <w:lvlText w:val="%6."/>
        <w:lvlJc w:val="left"/>
        <w:pPr>
          <w:ind w:left="432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A9CCBF0">
        <w:start w:val="1"/>
        <w:numFmt w:val="decimal"/>
        <w:lvlText w:val="%7."/>
        <w:lvlJc w:val="left"/>
        <w:pPr>
          <w:ind w:left="50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6024AC">
        <w:start w:val="1"/>
        <w:numFmt w:val="lowerLetter"/>
        <w:lvlText w:val="%8."/>
        <w:lvlJc w:val="left"/>
        <w:pPr>
          <w:ind w:left="576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54CFC2">
        <w:start w:val="1"/>
        <w:numFmt w:val="lowerRoman"/>
        <w:lvlText w:val="%9."/>
        <w:lvlJc w:val="left"/>
        <w:pPr>
          <w:ind w:left="648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0"/>
    <w:lvlOverride w:ilvl="0">
      <w:startOverride w:val="3"/>
    </w:lvlOverride>
  </w:num>
  <w:num w:numId="8">
    <w:abstractNumId w:val="1"/>
  </w:num>
  <w:num w:numId="9">
    <w:abstractNumId w:val="0"/>
    <w:lvlOverride w:ilvl="0">
      <w:startOverride w:val="4"/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6"/>
    </w:lvlOverride>
  </w:num>
  <w:num w:numId="12">
    <w:abstractNumId w:val="0"/>
    <w:lvlOverride w:ilvl="0">
      <w:startOverride w:val="7"/>
    </w:lvlOverride>
  </w:num>
  <w:num w:numId="13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5D"/>
    <w:rsid w:val="00154EC7"/>
    <w:rsid w:val="001969B6"/>
    <w:rsid w:val="00215D5D"/>
    <w:rsid w:val="00233AE7"/>
    <w:rsid w:val="002D2157"/>
    <w:rsid w:val="003102D6"/>
    <w:rsid w:val="00312111"/>
    <w:rsid w:val="00556965"/>
    <w:rsid w:val="005D77C7"/>
    <w:rsid w:val="005E24F8"/>
    <w:rsid w:val="00742048"/>
    <w:rsid w:val="008E2610"/>
    <w:rsid w:val="00F03737"/>
    <w:rsid w:val="00F1789C"/>
    <w:rsid w:val="00F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A8D0E-F017-486B-A7B3-374741A5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r-Latn-R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paragraph" w:customStyle="1" w:styleId="Titre2">
    <w:name w:val="Titre 2"/>
    <w:next w:val="Corps"/>
    <w:pPr>
      <w:keepNext/>
      <w:keepLines/>
      <w:spacing w:before="40"/>
      <w:outlineLvl w:val="0"/>
    </w:pPr>
    <w:rPr>
      <w:rFonts w:ascii="Calibri Light" w:hAnsi="Calibri Light" w:cs="Arial Unicode MS"/>
      <w:color w:val="2F5496"/>
      <w:sz w:val="26"/>
      <w:szCs w:val="26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ucun"/>
    <w:rPr>
      <w:u w:val="single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5E24F8"/>
    <w:pPr>
      <w:pBdr>
        <w:top w:val="none" w:sz="0" w:space="0" w:color="auto"/>
        <w:left w:val="none" w:sz="0" w:space="0" w:color="auto"/>
        <w:bottom w:val="single" w:sz="8" w:space="4" w:color="5B9BD5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bdr w:val="none" w:sz="0" w:space="0" w:color="auto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5E24F8"/>
    <w:rPr>
      <w:rFonts w:ascii="Calibri Light" w:eastAsia="Times New Roman" w:hAnsi="Calibri Light"/>
      <w:color w:val="323E4F"/>
      <w:spacing w:val="5"/>
      <w:sz w:val="52"/>
      <w:szCs w:val="52"/>
      <w:bdr w:val="none" w:sz="0" w:space="0" w:color="auto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556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9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naser.krasniqi@kosovorailwa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Tringe Sokoli</dc:creator>
  <cp:lastModifiedBy>Tringe Sokoli</cp:lastModifiedBy>
  <cp:revision>9</cp:revision>
  <dcterms:created xsi:type="dcterms:W3CDTF">2024-07-23T07:31:00Z</dcterms:created>
  <dcterms:modified xsi:type="dcterms:W3CDTF">2024-08-20T09:00:00Z</dcterms:modified>
</cp:coreProperties>
</file>