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DA2" w:rsidRPr="001E6465" w:rsidRDefault="001E6465" w:rsidP="005521EC">
      <w:pPr>
        <w:pStyle w:val="Title"/>
        <w:pBdr>
          <w:bottom w:val="single" w:sz="8" w:space="0" w:color="5B9BD5"/>
        </w:pBdr>
        <w:spacing w:before="120" w:after="0" w:line="276" w:lineRule="auto"/>
        <w:jc w:val="center"/>
        <w:rPr>
          <w:sz w:val="36"/>
          <w:szCs w:val="36"/>
          <w:rFonts w:ascii="Arial" w:hAnsi="Arial" w:cs="Arial"/>
        </w:rPr>
      </w:pPr>
      <w:r>
        <w:rPr>
          <w:sz w:val="36"/>
          <w:rFonts w:ascii="Arial" w:hAnsi="Arial"/>
        </w:rPr>
        <w:t xml:space="preserve">Formular za identifikaciju projekta (FIP):</w:t>
      </w:r>
      <w:r>
        <w:rPr>
          <w:sz w:val="36"/>
          <w:rFonts w:ascii="Arial" w:hAnsi="Arial"/>
        </w:rPr>
        <w:t xml:space="preserve"> </w:t>
      </w:r>
      <w:r>
        <w:rPr>
          <w:sz w:val="36"/>
          <w:rFonts w:ascii="Arial" w:hAnsi="Arial"/>
        </w:rPr>
        <w:t xml:space="preserve">Transportni sektor</w:t>
      </w:r>
    </w:p>
    <w:p w:rsidR="00D16DA2" w:rsidRDefault="00D16DA2" w:rsidP="00D16DA2">
      <w:pPr>
        <w:spacing w:line="260" w:lineRule="atLeast"/>
        <w:jc w:val="center"/>
        <w:rPr>
          <w:b/>
          <w:bCs/>
          <w:sz w:val="28"/>
          <w:szCs w:val="28"/>
          <w:rFonts w:ascii="Arial" w:hAnsi="Arial" w:cs="Arial"/>
        </w:rPr>
      </w:pPr>
      <w:r>
        <w:rPr>
          <w:b/>
          <w:sz w:val="28"/>
          <w:rFonts w:ascii="Arial" w:hAnsi="Arial"/>
        </w:rPr>
        <w:t xml:space="preserve">Prvi deo</w:t>
      </w:r>
    </w:p>
    <w:p w:rsidR="00D16DA2" w:rsidRPr="00C751CD" w:rsidRDefault="00D16DA2" w:rsidP="00D16DA2">
      <w:pPr>
        <w:spacing w:line="260" w:lineRule="atLeast"/>
        <w:jc w:val="center"/>
        <w:rPr>
          <w:rFonts w:ascii="Arial" w:hAnsi="Arial" w:cs="Arial"/>
          <w:b/>
          <w:bCs/>
        </w:rPr>
      </w:pPr>
    </w:p>
    <w:p w:rsidR="00D16DA2" w:rsidRDefault="00D16DA2" w:rsidP="00D16DA2">
      <w:pPr>
        <w:pStyle w:val="ListParagraph"/>
        <w:numPr>
          <w:ilvl w:val="0"/>
          <w:numId w:val="3"/>
        </w:numPr>
        <w:spacing w:line="276" w:lineRule="auto"/>
        <w:ind w:left="360"/>
        <w:rPr>
          <w:b/>
          <w:szCs w:val="24"/>
          <w:rFonts w:cs="Arial"/>
        </w:rPr>
      </w:pPr>
      <w:r>
        <w:rPr>
          <w:b/>
        </w:rPr>
        <w:t xml:space="preserve">OPŠTE INFORMACIJE</w:t>
      </w:r>
    </w:p>
    <w:p w:rsidR="00D16DA2" w:rsidRPr="00B805EE" w:rsidRDefault="00D16DA2" w:rsidP="00D16DA2">
      <w:pPr>
        <w:pStyle w:val="ListParagraph"/>
        <w:spacing w:line="276" w:lineRule="auto"/>
        <w:ind w:left="360"/>
        <w:rPr>
          <w:rFonts w:cs="Arial"/>
          <w:b/>
          <w:sz w:val="16"/>
          <w:szCs w:val="16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508"/>
        <w:gridCol w:w="5842"/>
      </w:tblGrid>
      <w:tr w:rsidR="00D16DA2" w:rsidRPr="00B4784C" w:rsidTr="006D3939">
        <w:trPr>
          <w:trHeight w:val="346"/>
          <w:jc w:val="center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B4784C" w:rsidRDefault="00D16DA2" w:rsidP="006D3939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Naziv projekta: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D16DA2" w:rsidRDefault="00D16DA2" w:rsidP="006D3939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Digitalizacija održivih, bezbednih, pametnih i ekološki prihvatljivih transportnih sistema i sprovođenje ITS na TEN-T jezgro/sveobuhvatnu mrežu na Kosovu</w:t>
            </w:r>
          </w:p>
        </w:tc>
      </w:tr>
      <w:tr w:rsidR="00D16DA2" w:rsidRPr="00B4784C" w:rsidTr="006D3939">
        <w:trPr>
          <w:trHeight w:val="330"/>
          <w:jc w:val="center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6DA2" w:rsidRPr="00B4784C" w:rsidRDefault="00D16DA2" w:rsidP="006D3939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Sektor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A2" w:rsidRPr="00D16DA2" w:rsidRDefault="001E6465" w:rsidP="006D3939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Transport</w:t>
            </w:r>
          </w:p>
        </w:tc>
      </w:tr>
      <w:tr w:rsidR="00D16DA2" w:rsidRPr="00B4784C" w:rsidTr="006D3939">
        <w:trPr>
          <w:trHeight w:val="330"/>
          <w:jc w:val="center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B4784C" w:rsidRDefault="00D16DA2" w:rsidP="006D3939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Podsektor* (vidi spisak na poslednjoj strani)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D16DA2" w:rsidRDefault="00D16DA2" w:rsidP="006D3939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Putevi</w:t>
            </w:r>
          </w:p>
        </w:tc>
      </w:tr>
      <w:tr w:rsidR="00D16DA2" w:rsidRPr="00B4784C" w:rsidTr="006D3939">
        <w:trPr>
          <w:trHeight w:val="330"/>
          <w:jc w:val="center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B4784C" w:rsidRDefault="00D16DA2" w:rsidP="006D3939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Vodeći korisnik projekta/predlagač: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D16DA2" w:rsidRDefault="00D16DA2" w:rsidP="006D3939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Ministarstvo životne sredine, prostornog planiranja i infrastrukture (MŽSPPI)</w:t>
            </w:r>
          </w:p>
        </w:tc>
      </w:tr>
      <w:tr w:rsidR="00D16DA2" w:rsidRPr="00B4784C" w:rsidTr="006D3939">
        <w:trPr>
          <w:trHeight w:val="330"/>
          <w:jc w:val="center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B4784C" w:rsidRDefault="00D16DA2" w:rsidP="006D3939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Institucija autor predloga projekta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D16DA2" w:rsidRDefault="001E6465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MŽSPPI</w:t>
            </w:r>
          </w:p>
        </w:tc>
      </w:tr>
      <w:tr w:rsidR="00D16DA2" w:rsidRPr="00B4784C" w:rsidTr="006D3939">
        <w:trPr>
          <w:trHeight w:val="330"/>
          <w:jc w:val="center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B4784C" w:rsidRDefault="00D16DA2" w:rsidP="006D3939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Lokacija/mapa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F82493" w:rsidRDefault="00D16DA2" w:rsidP="006D3939">
            <w:pPr>
              <w:spacing w:before="60" w:after="60" w:line="260" w:lineRule="atLeast"/>
              <w:rPr>
                <w:bCs/>
                <w:i/>
                <w:color w:val="2F5496" w:themeColor="accent5" w:themeShade="BF"/>
                <w:sz w:val="20"/>
                <w:szCs w:val="20"/>
                <w:rFonts w:ascii="Arial" w:hAnsi="Arial" w:cs="Arial"/>
              </w:rPr>
            </w:pPr>
            <w:r>
              <w:rPr>
                <w:color w:val="2F5496" w:themeColor="accent5" w:themeShade="BF"/>
                <w:rFonts w:ascii="Arial" w:hAnsi="Arial"/>
              </w:rPr>
              <w:drawing>
                <wp:anchor distT="0" distB="0" distL="114300" distR="114300" simplePos="0" relativeHeight="251659264" behindDoc="0" locked="0" layoutInCell="1" allowOverlap="1" wp14:anchorId="12D4FC3A" wp14:editId="0FDCE636">
                  <wp:simplePos x="0" y="0"/>
                  <wp:positionH relativeFrom="margin">
                    <wp:posOffset>23495</wp:posOffset>
                  </wp:positionH>
                  <wp:positionV relativeFrom="page">
                    <wp:posOffset>94615</wp:posOffset>
                  </wp:positionV>
                  <wp:extent cx="3522345" cy="3295015"/>
                  <wp:effectExtent l="0" t="0" r="1905" b="635"/>
                  <wp:wrapSquare wrapText="bothSides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2345" cy="329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16DA2" w:rsidRPr="00B4784C" w:rsidTr="006D3939">
        <w:trPr>
          <w:trHeight w:val="330"/>
          <w:jc w:val="center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B4784C" w:rsidRDefault="00D16DA2" w:rsidP="006D3939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Ukupna procenjana investicija:</w:t>
            </w:r>
          </w:p>
          <w:p w:rsidR="00D16DA2" w:rsidRPr="00B4784C" w:rsidRDefault="00D16DA2" w:rsidP="00D16DA2">
            <w:pPr>
              <w:numPr>
                <w:ilvl w:val="0"/>
                <w:numId w:val="1"/>
              </w:num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Pripremne aktivnosti (planska dokumentacija, tehnička dokumentacija, kupovima zemljišta, itd.)</w:t>
            </w:r>
            <w:r>
              <w:rPr>
                <w:b/>
                <w:sz w:val="20"/>
                <w:rFonts w:ascii="Arial" w:hAnsi="Arial"/>
              </w:rPr>
              <w:t xml:space="preserve"> </w:t>
            </w:r>
          </w:p>
          <w:p w:rsidR="00D16DA2" w:rsidRPr="00B4784C" w:rsidRDefault="00D16DA2" w:rsidP="00D16DA2">
            <w:pPr>
              <w:numPr>
                <w:ilvl w:val="0"/>
                <w:numId w:val="1"/>
              </w:num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Građevinski radovi</w:t>
            </w:r>
          </w:p>
          <w:p w:rsidR="00D16DA2" w:rsidRPr="00B4784C" w:rsidRDefault="00D16DA2" w:rsidP="00D16DA2">
            <w:pPr>
              <w:numPr>
                <w:ilvl w:val="0"/>
                <w:numId w:val="1"/>
              </w:num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Nadzor</w:t>
            </w:r>
            <w:r>
              <w:rPr>
                <w:b/>
                <w:sz w:val="20"/>
                <w:rFonts w:ascii="Arial" w:hAnsi="Arial"/>
              </w:rPr>
              <w:t xml:space="preserve"> 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6249B3" w:rsidRDefault="005521EC" w:rsidP="006D3939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Ukupna investicija: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30.000.000,00 EUR</w:t>
            </w:r>
          </w:p>
          <w:p w:rsidR="00D16DA2" w:rsidRPr="00D16DA2" w:rsidRDefault="00D16DA2" w:rsidP="006D3939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Od čega:</w:t>
            </w:r>
          </w:p>
          <w:p w:rsidR="00D16DA2" w:rsidRPr="00D16DA2" w:rsidRDefault="00D16DA2" w:rsidP="00D16DA2">
            <w:pPr>
              <w:pStyle w:val="ListParagraph"/>
              <w:numPr>
                <w:ilvl w:val="0"/>
                <w:numId w:val="4"/>
              </w:numPr>
              <w:spacing w:before="60" w:after="60" w:line="260" w:lineRule="atLeast"/>
              <w:jc w:val="both"/>
              <w:rPr>
                <w:bCs/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Pripremne aktivnosti: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4.000.000,00 EUR</w:t>
            </w:r>
          </w:p>
          <w:p w:rsidR="00D16DA2" w:rsidRPr="00D16DA2" w:rsidRDefault="00D16DA2" w:rsidP="00D16DA2">
            <w:pPr>
              <w:pStyle w:val="ListParagraph"/>
              <w:numPr>
                <w:ilvl w:val="0"/>
                <w:numId w:val="4"/>
              </w:numPr>
              <w:spacing w:before="60" w:after="60" w:line="260" w:lineRule="atLeast"/>
              <w:jc w:val="both"/>
              <w:rPr>
                <w:bCs/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Građevinski radovi: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24.000.000,00 EUR</w:t>
            </w:r>
          </w:p>
          <w:p w:rsidR="00D16DA2" w:rsidRPr="00D16DA2" w:rsidRDefault="00D16DA2" w:rsidP="00D16DA2">
            <w:pPr>
              <w:pStyle w:val="ListParagraph"/>
              <w:numPr>
                <w:ilvl w:val="0"/>
                <w:numId w:val="4"/>
              </w:numPr>
              <w:spacing w:before="60" w:after="60" w:line="260" w:lineRule="atLeast"/>
              <w:jc w:val="both"/>
              <w:rPr>
                <w:bCs/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Nadzor radova: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2.000.000,00 EUR</w:t>
            </w:r>
          </w:p>
        </w:tc>
      </w:tr>
      <w:tr w:rsidR="00D16DA2" w:rsidRPr="00B4784C" w:rsidTr="006D3939">
        <w:trPr>
          <w:trHeight w:val="346"/>
          <w:jc w:val="center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B4784C" w:rsidRDefault="00D16DA2" w:rsidP="006D3939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Odgovorno ili ovlašćeno lice za kontakt: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7DC" w:rsidRPr="00D16DA2" w:rsidRDefault="000717DC" w:rsidP="000717DC">
            <w:pPr>
              <w:spacing w:before="60" w:after="60" w:line="260" w:lineRule="atLeast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Naim Keljmendi</w:t>
            </w:r>
          </w:p>
          <w:p w:rsidR="000717DC" w:rsidRPr="00D16DA2" w:rsidRDefault="000717DC" w:rsidP="000717DC">
            <w:pPr>
              <w:spacing w:before="60" w:after="60" w:line="260" w:lineRule="atLeast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Nezir Gaši</w:t>
            </w:r>
          </w:p>
          <w:p w:rsidR="00D16DA2" w:rsidRPr="00D16DA2" w:rsidRDefault="000717DC" w:rsidP="000717DC">
            <w:pPr>
              <w:spacing w:before="60" w:after="60" w:line="260" w:lineRule="atLeast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Fejzula Mustafa</w:t>
            </w:r>
          </w:p>
        </w:tc>
      </w:tr>
      <w:tr w:rsidR="00D16DA2" w:rsidRPr="00B4784C" w:rsidTr="006D3939">
        <w:trPr>
          <w:trHeight w:val="346"/>
          <w:jc w:val="center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B4784C" w:rsidRDefault="00D16DA2" w:rsidP="006D3939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Naziv - radno mesto: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DC" w:rsidRPr="00D16DA2" w:rsidRDefault="000717DC" w:rsidP="000717DC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Odeljenje za putnu infrastrukturu</w:t>
            </w:r>
          </w:p>
          <w:p w:rsidR="000717DC" w:rsidRPr="00D16DA2" w:rsidRDefault="000717DC" w:rsidP="000717DC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Odeljenje za upravljanje putevima</w:t>
            </w:r>
          </w:p>
          <w:p w:rsidR="000717DC" w:rsidRPr="000717DC" w:rsidRDefault="000717DC" w:rsidP="000717DC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Odeljenje za bezbednost na putevima Savet za koordinaciju</w:t>
            </w:r>
          </w:p>
        </w:tc>
      </w:tr>
      <w:tr w:rsidR="00D16DA2" w:rsidRPr="00B4784C" w:rsidTr="006D3939">
        <w:trPr>
          <w:trHeight w:val="346"/>
          <w:jc w:val="center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B4784C" w:rsidRDefault="00D16DA2" w:rsidP="006D3939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E-mail adresa - telefon: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0717DC" w:rsidRDefault="00700DEE" w:rsidP="006D3939">
            <w:pPr>
              <w:spacing w:before="60" w:after="60" w:line="260" w:lineRule="atLeast"/>
              <w:rPr>
                <w:sz w:val="20"/>
                <w:szCs w:val="20"/>
                <w:rFonts w:ascii="Arial" w:hAnsi="Arial" w:cs="Arial"/>
              </w:rPr>
            </w:pPr>
            <w:hyperlink r:id="rId8" w:history="1">
              <w:r>
                <w:rPr>
                  <w:rStyle w:val="Hyperlink"/>
                  <w:sz w:val="20"/>
                  <w:rFonts w:ascii="Arial" w:hAnsi="Arial"/>
                </w:rPr>
                <w:t xml:space="preserve">naim.kelmendi@rks-gov.net</w:t>
              </w:r>
            </w:hyperlink>
            <w:r>
              <w:rPr>
                <w:rStyle w:val="Hyperlink"/>
                <w:sz w:val="20"/>
                <w:rFonts w:ascii="Arial" w:hAnsi="Arial"/>
              </w:rPr>
              <w:t xml:space="preserve">;</w:t>
            </w:r>
            <w:r>
              <w:rPr>
                <w:rStyle w:val="Hyperlink"/>
                <w:sz w:val="20"/>
                <w:color w:val="auto"/>
                <w:u w:val="none"/>
                <w:rFonts w:ascii="Arial" w:hAnsi="Arial"/>
              </w:rPr>
              <w:t xml:space="preserve">      +383 (44) 203 053</w:t>
            </w:r>
            <w:r>
              <w:rPr>
                <w:rStyle w:val="Hyperlink"/>
                <w:sz w:val="20"/>
                <w:color w:val="auto"/>
                <w:u w:val="none"/>
                <w:rFonts w:ascii="Arial" w:hAnsi="Arial"/>
              </w:rPr>
              <w:t xml:space="preserve">   </w:t>
            </w:r>
          </w:p>
          <w:p w:rsidR="00D16DA2" w:rsidRPr="000717DC" w:rsidRDefault="00700DEE" w:rsidP="006D3939">
            <w:pPr>
              <w:spacing w:before="60" w:after="60" w:line="260" w:lineRule="atLeast"/>
              <w:rPr>
                <w:bCs/>
                <w:sz w:val="20"/>
                <w:szCs w:val="20"/>
                <w:rFonts w:ascii="Arial" w:hAnsi="Arial" w:cs="Arial"/>
              </w:rPr>
            </w:pPr>
            <w:hyperlink r:id="rId9" w:history="1">
              <w:r>
                <w:rPr>
                  <w:rStyle w:val="Hyperlink"/>
                  <w:sz w:val="20"/>
                  <w:rFonts w:ascii="Arial" w:hAnsi="Arial"/>
                </w:rPr>
                <w:t xml:space="preserve">nezir.gashi@rks-gov.net</w:t>
              </w:r>
            </w:hyperlink>
            <w:r>
              <w:rPr>
                <w:rStyle w:val="Hyperlink"/>
                <w:sz w:val="20"/>
                <w:rFonts w:ascii="Arial" w:hAnsi="Arial"/>
              </w:rPr>
              <w:t xml:space="preserve">;</w:t>
            </w:r>
            <w:r>
              <w:rPr>
                <w:rStyle w:val="Hyperlink"/>
                <w:sz w:val="20"/>
                <w:color w:val="auto"/>
                <w:u w:val="none"/>
                <w:rFonts w:ascii="Arial" w:hAnsi="Arial"/>
              </w:rPr>
              <w:t xml:space="preserve">         +383 (44) 413 264</w:t>
            </w:r>
          </w:p>
          <w:p w:rsidR="00D16DA2" w:rsidRPr="00D16DA2" w:rsidRDefault="00700DEE" w:rsidP="006D3939">
            <w:pPr>
              <w:spacing w:before="60" w:after="60" w:line="260" w:lineRule="atLeast"/>
              <w:rPr>
                <w:bCs/>
                <w:sz w:val="20"/>
                <w:szCs w:val="20"/>
                <w:rFonts w:ascii="Arial" w:hAnsi="Arial" w:cs="Arial"/>
              </w:rPr>
            </w:pPr>
            <w:hyperlink r:id="rId10" w:history="1">
              <w:r>
                <w:rPr>
                  <w:rStyle w:val="Hyperlink"/>
                  <w:sz w:val="20"/>
                  <w:rFonts w:ascii="Arial" w:hAnsi="Arial"/>
                </w:rPr>
                <w:t xml:space="preserve">fejzullah.mustafa@rks-gov.net</w:t>
              </w:r>
            </w:hyperlink>
            <w:r>
              <w:rPr>
                <w:rStyle w:val="Hyperlink"/>
                <w:sz w:val="20"/>
                <w:rFonts w:ascii="Arial" w:hAnsi="Arial"/>
              </w:rPr>
              <w:t xml:space="preserve">;</w:t>
            </w:r>
            <w:r>
              <w:rPr>
                <w:rStyle w:val="Hyperlink"/>
                <w:sz w:val="20"/>
                <w:color w:val="auto"/>
                <w:u w:val="none"/>
                <w:rFonts w:ascii="Arial" w:hAnsi="Arial"/>
              </w:rPr>
              <w:t xml:space="preserve">   +383 (44) 249 650</w:t>
            </w:r>
          </w:p>
        </w:tc>
      </w:tr>
    </w:tbl>
    <w:p w:rsidR="00D16DA2" w:rsidRDefault="00D16DA2" w:rsidP="00D16DA2">
      <w:pPr>
        <w:pStyle w:val="ListParagraph"/>
        <w:spacing w:line="276" w:lineRule="auto"/>
        <w:ind w:left="450"/>
        <w:rPr>
          <w:rFonts w:cs="Arial"/>
          <w:b/>
          <w:szCs w:val="24"/>
        </w:rPr>
      </w:pPr>
    </w:p>
    <w:p w:rsidR="00D16DA2" w:rsidRDefault="00D16DA2" w:rsidP="00D16DA2">
      <w:pPr>
        <w:pStyle w:val="ListParagraph"/>
        <w:numPr>
          <w:ilvl w:val="0"/>
          <w:numId w:val="3"/>
        </w:numPr>
        <w:spacing w:line="276" w:lineRule="auto"/>
        <w:ind w:left="450"/>
        <w:rPr>
          <w:b/>
          <w:szCs w:val="24"/>
          <w:rFonts w:cs="Arial"/>
        </w:rPr>
      </w:pPr>
      <w:r>
        <w:rPr>
          <w:b/>
        </w:rPr>
        <w:t xml:space="preserve">OPIS PROJEKTA</w:t>
      </w:r>
    </w:p>
    <w:p w:rsidR="00D16DA2" w:rsidRPr="002A5214" w:rsidRDefault="00D16DA2" w:rsidP="00D16DA2">
      <w:pPr>
        <w:pStyle w:val="ListParagraph"/>
        <w:spacing w:line="276" w:lineRule="auto"/>
        <w:ind w:left="450"/>
        <w:rPr>
          <w:rFonts w:cs="Arial"/>
          <w:b/>
          <w:sz w:val="16"/>
          <w:szCs w:val="16"/>
        </w:rPr>
      </w:pPr>
    </w:p>
    <w:tbl>
      <w:tblPr>
        <w:tblW w:w="5000" w:type="pct"/>
        <w:tblInd w:w="-5" w:type="dxa"/>
        <w:tblLook w:val="01E0" w:firstRow="1" w:lastRow="1" w:firstColumn="1" w:lastColumn="1" w:noHBand="0" w:noVBand="0"/>
      </w:tblPr>
      <w:tblGrid>
        <w:gridCol w:w="3828"/>
        <w:gridCol w:w="5522"/>
      </w:tblGrid>
      <w:tr w:rsidR="00D16DA2" w:rsidRPr="00B4784C" w:rsidTr="006D3939">
        <w:trPr>
          <w:trHeight w:val="70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contextualSpacing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Svrha infrastrukturnog projekta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A2" w:rsidRPr="00D16DA2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Svrha ovog projekta je da se inicijalno unaprede uslovi bezbednosti na putevima i poveća kapacitet baze podataka putem njene digitalizacije korišćenjem softverskih sistema baziranih na CADAS-protokolu.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D16DA2" w:rsidRPr="00F82493" w:rsidRDefault="00D16DA2" w:rsidP="006D3939">
            <w:pPr>
              <w:spacing w:before="60" w:after="60" w:line="260" w:lineRule="atLeast"/>
              <w:jc w:val="both"/>
              <w:rPr>
                <w:i/>
                <w:color w:val="2F5496" w:themeColor="accent5" w:themeShade="BF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Pored toga, druga svrha projekta biće da uključi uvođenje ITS-a koji poboljšava bezbednost i mobilnost u transportu i povećava produktivnost korišćenjem naprednih komunikacionih tehnologija.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Kada su integrisane u infrastrukturu transportnog sistema i unutar samih vozila, ove tehnologije ublažavaju zastoje, poboljšavaju bezbednost i povećavaju produktivnost.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Ovo uključuje uređaje kao što su sistemi za detekciju vozila, signali za kontrolu trake, signali rampe, promenljivi znakovi poruka, CCTV kamere, detekcija incidenata, telefoni za hitne slučajeve, kablovi i kanali.</w:t>
            </w:r>
          </w:p>
        </w:tc>
      </w:tr>
      <w:tr w:rsidR="00D16DA2" w:rsidRPr="00B4784C" w:rsidTr="006D3939">
        <w:trPr>
          <w:trHeight w:val="1529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contextualSpacing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Rezultati infrastrukturnog projekta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A2" w:rsidRPr="00D16DA2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će rezultirati poboljšanjem i umanjenjem nesreća proveravanjem i kontrolom uzroka nesreća i preduzimanjem svih potrebnih mera za ublažavanje izvora udesa umanjenjem ili izbegavanjem njihovog uzroka.</w:t>
            </w:r>
          </w:p>
          <w:p w:rsidR="00D16DA2" w:rsidRPr="00D16DA2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Prednosti primene inteligentnih transportnih sistema: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Povećanje uličnog protoka; povećanje bezbednosti saobraćaja na putevima (smanjenje saobraćajnih nezgoda); poboljšanje udobnosti putovanja i uslova saobraćaja za vozače, putnike u javnom saobraćaju i pešake.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Dakle, ideja je da se infrastruktura i usluge u oblasti saobraćaja digitalizuju.</w:t>
            </w:r>
          </w:p>
        </w:tc>
      </w:tr>
      <w:tr w:rsidR="00D16DA2" w:rsidRPr="00B4784C" w:rsidTr="006D3939">
        <w:trPr>
          <w:trHeight w:val="620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533888">
            <w:pPr>
              <w:contextualSpacing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Opšti opis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A2" w:rsidRPr="00D16DA2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Kosovo ima bazu podataka o saobraćajnim nezgodama, ali je zastarela i nije dovoljna za istraživanje glavnih faktora/uzroka nezgoda.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Uspostavljanje baze podataka o saobraćajnim nezgodama je važno za procenu bezbednosti na putevima i direktno će uticati i povećati bezbednost postojeće i buduće putne mreže.</w:t>
            </w:r>
          </w:p>
          <w:p w:rsidR="00D16DA2" w:rsidRPr="00D16DA2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Smanjenje broja poginulih na putevima zahteva kontinuirano angažovanje na analizi baze podataka o saobraćajnim nezgodama.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Uspostavljanjem moderne i elektronske baze podataka bilo bi lakše istražiti glavne faktore udesa.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Da bi se nastavilo sa smanjenjem broja poginulih i teških povreda na putevima, potrebno je ubaciti više podataka u bazu podataka putem softvera (elektronskog registra).</w:t>
            </w:r>
          </w:p>
          <w:p w:rsidR="00D16DA2" w:rsidRPr="00D16DA2" w:rsidRDefault="00D16DA2" w:rsidP="006D393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Prioritet u postavljanju ITS-a biće autoputevi Kosova, zatim nacionalni putevi prošireni na 2+2 i 3+3 trake, zatim ostali nacionalni putevi koji su deo osnovne i sveobuhvatne mreže.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D16DA2" w:rsidRPr="00D16DA2" w:rsidRDefault="00D16DA2" w:rsidP="006D393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Osnovna i sveobuhvatna putna mreža na Kosovu ima dužinu od 349 km, od čega: autoput 138 km, nacionalni put sa 2+2 trake 43 km, nacionalni put sa 2 trake 148 km i nacionalni put u procesu proširenja 20 km. Postoji i deo puta u dužini od 8km, 3+3 trake koji nije deo osnovne i sveobuhvatne mreže, ali je veoma važan sa veoma visokim stepenom saobraćaja.</w:t>
            </w:r>
          </w:p>
          <w:p w:rsidR="00D16DA2" w:rsidRPr="00D16DA2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Uz podršku EU, u toku je izrada Strategije za implementaciju ITS-a (kroz CONNECTA) koja će biti završena ove godine.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Ministarstvo je takođe zatražilo tehničku pomoć za izradu studije izvodljivosti za ITS.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D16DA2" w:rsidRPr="00D16DA2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Planirane aktivnosti za realizaciju projekta:</w:t>
            </w:r>
          </w:p>
          <w:p w:rsidR="00D16DA2" w:rsidRPr="00D16DA2" w:rsidRDefault="00D16DA2" w:rsidP="00533888">
            <w:pPr>
              <w:pStyle w:val="ListParagraph"/>
              <w:numPr>
                <w:ilvl w:val="0"/>
                <w:numId w:val="6"/>
              </w:numPr>
              <w:spacing w:before="60" w:after="60" w:line="260" w:lineRule="atLeast"/>
              <w:jc w:val="both"/>
              <w:rPr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Izrada aplikacije za registraciju nezgoda;</w:t>
            </w:r>
          </w:p>
          <w:p w:rsidR="00D16DA2" w:rsidRPr="00D16DA2" w:rsidRDefault="00D16DA2" w:rsidP="00533888">
            <w:pPr>
              <w:pStyle w:val="ListParagraph"/>
              <w:numPr>
                <w:ilvl w:val="0"/>
                <w:numId w:val="6"/>
              </w:numPr>
              <w:spacing w:before="60" w:after="60" w:line="260" w:lineRule="atLeast"/>
              <w:jc w:val="both"/>
              <w:rPr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Saobraćajna policija koristi digitalne mape;</w:t>
            </w:r>
          </w:p>
          <w:p w:rsidR="00D16DA2" w:rsidRPr="00D16DA2" w:rsidRDefault="00D16DA2" w:rsidP="00533888">
            <w:pPr>
              <w:pStyle w:val="ListParagraph"/>
              <w:numPr>
                <w:ilvl w:val="0"/>
                <w:numId w:val="6"/>
              </w:numPr>
              <w:spacing w:before="60" w:after="60" w:line="260" w:lineRule="atLeast"/>
              <w:jc w:val="both"/>
              <w:rPr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Korišćenje digitalnih uređaja (pametnih telefona, tableta i sl.) od strane saobraćajne policije; za obeležavanje kazni, izveštaja o saobraćajnim nezgodama, njihovo štampanje i povezivanje sa bazom podataka SIPK/KP;</w:t>
            </w:r>
          </w:p>
          <w:p w:rsidR="00D16DA2" w:rsidRPr="00D16DA2" w:rsidRDefault="00D16DA2" w:rsidP="00533888">
            <w:pPr>
              <w:pStyle w:val="ListParagraph"/>
              <w:numPr>
                <w:ilvl w:val="0"/>
                <w:numId w:val="6"/>
              </w:numPr>
              <w:spacing w:before="60" w:after="60" w:line="260" w:lineRule="atLeast"/>
              <w:jc w:val="both"/>
              <w:rPr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Kontinuirano korišćenje digitalne opreme;</w:t>
            </w:r>
          </w:p>
          <w:p w:rsidR="00D16DA2" w:rsidRPr="00D16DA2" w:rsidRDefault="00D16DA2" w:rsidP="00533888">
            <w:pPr>
              <w:pStyle w:val="ListParagraph"/>
              <w:numPr>
                <w:ilvl w:val="0"/>
                <w:numId w:val="6"/>
              </w:numPr>
              <w:spacing w:before="60" w:after="60" w:line="260" w:lineRule="atLeast"/>
              <w:jc w:val="both"/>
              <w:rPr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Obuka saobraćajne policije i drugih aktera bezbednosti na putevima o korišćenju digitalne opreme;</w:t>
            </w:r>
          </w:p>
          <w:p w:rsidR="00D16DA2" w:rsidRPr="00D16DA2" w:rsidRDefault="00D16DA2" w:rsidP="00533888">
            <w:pPr>
              <w:pStyle w:val="ListParagraph"/>
              <w:numPr>
                <w:ilvl w:val="0"/>
                <w:numId w:val="6"/>
              </w:numPr>
              <w:spacing w:before="60" w:after="60" w:line="260" w:lineRule="atLeast"/>
              <w:jc w:val="both"/>
              <w:rPr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Istraživanje faktora velikih nezgoda;</w:t>
            </w:r>
          </w:p>
          <w:p w:rsidR="00D16DA2" w:rsidRPr="00D16DA2" w:rsidRDefault="00D16DA2" w:rsidP="00533888">
            <w:pPr>
              <w:pStyle w:val="ListParagraph"/>
              <w:numPr>
                <w:ilvl w:val="0"/>
                <w:numId w:val="6"/>
              </w:numPr>
              <w:spacing w:before="60" w:after="60" w:line="260" w:lineRule="atLeast"/>
              <w:jc w:val="both"/>
              <w:rPr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Analiza svih faktora bezbednosti kao što su put, vozilo i ljudska bića (vozač);</w:t>
            </w:r>
            <w:r>
              <w:rPr>
                <w:sz w:val="20"/>
              </w:rPr>
              <w:t xml:space="preserve"> </w:t>
            </w:r>
          </w:p>
          <w:p w:rsidR="00D16DA2" w:rsidRPr="00D16DA2" w:rsidRDefault="00D16DA2" w:rsidP="00533888">
            <w:pPr>
              <w:pStyle w:val="ListParagraph"/>
              <w:numPr>
                <w:ilvl w:val="0"/>
                <w:numId w:val="6"/>
              </w:numPr>
              <w:spacing w:before="60" w:after="60" w:line="260" w:lineRule="atLeast"/>
              <w:jc w:val="both"/>
              <w:rPr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Uspostavljanje prioritetne liste deonica puta sa povećanim rizikom (crne tačke) na osnovu navedene analize.</w:t>
            </w:r>
          </w:p>
          <w:p w:rsidR="00D16DA2" w:rsidRPr="00F82493" w:rsidRDefault="00D16DA2" w:rsidP="006D3939">
            <w:pPr>
              <w:pStyle w:val="BodyText"/>
              <w:spacing w:before="60" w:after="60" w:line="260" w:lineRule="atLeast"/>
              <w:ind w:left="0" w:firstLine="0"/>
              <w:rPr>
                <w:b/>
                <w:bCs/>
                <w:i/>
                <w:color w:val="2F5496" w:themeColor="accent5" w:themeShade="BF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Nakon završetka nacionalne strategije i gore pomenute studije izvodljivosti, biće stvoreni uslovi za sprovođenje ITS-a u jezgru i sveobuhvatnu mrežu.</w:t>
            </w:r>
          </w:p>
        </w:tc>
      </w:tr>
    </w:tbl>
    <w:p w:rsidR="00D16DA2" w:rsidRDefault="00D16DA2" w:rsidP="00D16DA2">
      <w:pPr>
        <w:pStyle w:val="ListParagraph"/>
        <w:spacing w:line="276" w:lineRule="auto"/>
        <w:ind w:left="450"/>
        <w:rPr>
          <w:rFonts w:cs="Arial"/>
          <w:b/>
          <w:szCs w:val="24"/>
        </w:rPr>
      </w:pPr>
    </w:p>
    <w:p w:rsidR="00D16DA2" w:rsidRDefault="00D16DA2" w:rsidP="00D16DA2">
      <w:pPr>
        <w:pStyle w:val="ListParagraph"/>
        <w:numPr>
          <w:ilvl w:val="0"/>
          <w:numId w:val="3"/>
        </w:numPr>
        <w:spacing w:line="276" w:lineRule="auto"/>
        <w:ind w:left="450"/>
        <w:rPr>
          <w:b/>
          <w:szCs w:val="24"/>
          <w:rFonts w:cs="Arial"/>
        </w:rPr>
      </w:pPr>
      <w:r>
        <w:rPr>
          <w:b/>
        </w:rPr>
        <w:t xml:space="preserve">PODOBNOST</w:t>
      </w:r>
    </w:p>
    <w:p w:rsidR="00D16DA2" w:rsidRPr="002A5214" w:rsidRDefault="00D16DA2" w:rsidP="00D16DA2">
      <w:pPr>
        <w:pStyle w:val="ListParagraph"/>
        <w:spacing w:line="276" w:lineRule="auto"/>
        <w:ind w:left="450"/>
        <w:rPr>
          <w:rFonts w:cs="Arial"/>
          <w:b/>
          <w:sz w:val="16"/>
          <w:szCs w:val="16"/>
        </w:rPr>
      </w:pPr>
    </w:p>
    <w:tbl>
      <w:tblPr>
        <w:tblW w:w="5000" w:type="pct"/>
        <w:tblInd w:w="-5" w:type="dxa"/>
        <w:tblLook w:val="01E0" w:firstRow="1" w:lastRow="1" w:firstColumn="1" w:lastColumn="1" w:noHBand="0" w:noVBand="0"/>
      </w:tblPr>
      <w:tblGrid>
        <w:gridCol w:w="3828"/>
        <w:gridCol w:w="5522"/>
      </w:tblGrid>
      <w:tr w:rsidR="00D16DA2" w:rsidRPr="00B4784C" w:rsidTr="006D3939">
        <w:trPr>
          <w:trHeight w:val="701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Usklađenost sa važećim politikama i strategijama EU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A2" w:rsidRPr="001E6465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Instrument za pretpristupnu pomoć (IPA III) 2021-2027 navodi da će IPA III posvetiti pažnju bezbednosti i sigurnosti transporta, posebno u drumskom saobraćaju, i pravima putnika u skladu sa uslovima EU i ciljevima za smanjenje smrtnih slučajeva i ozbiljnih povreda na putevima.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Takođe, IPA III će podržati izgradnju nove saobraćajne infrastrukture i nadogradnju postojeće infrastrukture, sa ciljem dovođenja osnovne saobraćajne mreže u skladu sa standardima EU.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Takođe će podržati intermodalne veze i postepeni prelazak sa individualnog drumskog prevoza na javnu ili zajedničku mobilnost.</w:t>
            </w:r>
          </w:p>
          <w:p w:rsidR="00D16DA2" w:rsidRPr="001E6465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Komponenta digitalizacije utiče na bezbednost na putevima i u skladu je sa Okvirom politike bezbednosti na putevima EU 2021-2030 – Sledeći koraci ka „Nultoj viziji“</w:t>
            </w:r>
          </w:p>
          <w:p w:rsidR="00D16DA2" w:rsidRPr="001E6465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Raspoređivanje ITS-a je deo Strategije održive i pametne mobilnosti, Brisel, 9.12.2020.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Sprovođenje ITS-a će omogućiti sprovođenje Direktive EU 2010/40/EU – Okvir za primenu inteligentnih transportnih sistema u oblasti drumskog saobraćaja i za interfejse sa drugim vidovima transporta.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Zelena agenda za zapadni Balkan, Brisel, 6.10.2020, navodi da „Trebalo bi se fokusirati na primenu rešenja Inteligentnog transportnog sistema (ITS) čiji je cilj da transportne operacije budu efikasnije i smanjenje emisije CO2.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Široka dostupnost i upotreba tehnologija podataka u sistemima javnog prevoza ima potencijal da ih učini pametnijim, manje zagađujućim i prilagođenim korisnicima.”</w:t>
            </w:r>
          </w:p>
          <w:p w:rsidR="001E6465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Transportna zajednica – STRATEGIJA ZA ODRŽIVU I PAMETNU MOBILNOST NA ZAPADNOM BALKANU, jul 2021, navodi da „Putnici treba da budu u mogućnosti da putuju bez ometanja širom regiona koristeći izbore održive mobilnosti i različite vidove transporta.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Preduzeća i logistički operateri bi trebalo da imaju manje kašnjenja uzrokovanih prekomernom birokratijom i papirnim tragovima.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Ova povećana multimodalnost treba da bude vođena digitalizacijom i automatizacijom, podržana inovacijama.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Da bi se postiglo neometano putovanje, koje je održivo, region treba da se fokusira na: a) multimodalno izdavanje putničkih karata, b) digitalizovani teretni transport, c) inteligentna rešenja za primenu transporta za sve vidove, d) razmenu digitalnih podataka na granicama i e) inovacije."</w:t>
            </w:r>
          </w:p>
          <w:p w:rsidR="00D16DA2" w:rsidRPr="001E6465" w:rsidRDefault="001E6465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Trenutno, putnici uglavnom nisu u mogućnosti da planiraju i rezervišu svoja putovanja onlajn.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Iz perspektive putnika, svaki vid transporta trenutno još uvek funkcioniše kao uglavnom izolovan sistem.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Trenutno ne postoji digitalna veza ili interfejs između međunarodnog prevoza putnika i gradskog prevoza kroz sisteme kao što je Mobilnost kao usluga.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Direktiva o ITS i delegirani propis o multimodalnim putničkim informativnim uslugama regulišu ovu oblast.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Uzimanje u obzir uključivanja revidiranog zakonodavstva EU u Aneks I Ugovora o transportnoj zajednici i njegove posledične transpozicije od strane ministarstava nadležnih za saobraćaj bio bi prvi korak ka postizanju multimodalnog izdavanja karata u regionu zapadnog Balkana.”</w:t>
            </w:r>
          </w:p>
          <w:p w:rsidR="00D16DA2" w:rsidRPr="001E6465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Strategija za održivu i pametnu mobilnost, Brisel, 9.12.2020, navodi da će „Komisija istražiti opcije za dalju podršku bezbednim, pametnim i održivim operacijama drumskog transporta u okviru postojeće agencije ili drugog tela.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Ovo telo bi moglo da podrži primenu i upravljanje ITS-om i održivu povezanu i automatizovanu mobilnost širom Evrope.”</w:t>
            </w:r>
          </w:p>
          <w:p w:rsidR="00D16DA2" w:rsidRPr="00F82493" w:rsidRDefault="00D16DA2" w:rsidP="006D3939">
            <w:pPr>
              <w:spacing w:before="60" w:after="60" w:line="260" w:lineRule="atLeast"/>
              <w:jc w:val="both"/>
              <w:rPr>
                <w:i/>
                <w:color w:val="2F5496" w:themeColor="accent5" w:themeShade="BF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Akcioni plan za bezbednost na putevima, Transportna zajednica, oktobar 2020, promoviše upravljanje bezbednošću, bezbedniju infrastrukturu i zaštitu učesnika u saobraćaju.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Njegove akcije nastoje da podrže cilj „nula smrtnih slučajeva“ i da podstaknu primere najbolje prakse u regionu.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Cilj Transportne zajednice je da obezbedi da transportni sistemi, bez obzira na to kako su konfigurisani, budu bezbedni, održivi i pravični.</w:t>
            </w:r>
          </w:p>
        </w:tc>
      </w:tr>
      <w:tr w:rsidR="00D16DA2" w:rsidRPr="00B4784C" w:rsidTr="006D3939">
        <w:trPr>
          <w:trHeight w:val="330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Doprinos važećim nacionalnim razvojnim ciljevima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46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Operativni strateški plan Vlade Kosova 2022-2025 pominje postavljanje inteligentnog transportnog sistema (ITS).</w:t>
            </w:r>
          </w:p>
          <w:p w:rsidR="00D16DA2" w:rsidRPr="001E6465" w:rsidRDefault="00133746" w:rsidP="001E6465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Izveštaj EU za Kosovo 2023 kaže da „Kosovo takođe treba da primeni preporuke izveštaja projekta tehničke pomoći za povezivanje na zapadnom Balkanu – CONNECTA – radi poboljšanja kvaliteta putne mreže i sprovođenja akcija kako je navedeno u regionalnom akcionom planu Ugovora o Transportnoj zajednic o bezbednosti na putevima“.</w:t>
            </w:r>
          </w:p>
        </w:tc>
      </w:tr>
      <w:tr w:rsidR="00D16DA2" w:rsidRPr="00B4784C" w:rsidTr="006D3939">
        <w:trPr>
          <w:trHeight w:val="330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Usklađenost sa nacionalnim strateškim okvirom sektora saobraćaja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1E6465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Strategija za multimodalni transport 2030, glasi: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„Digitalizacija u drumskom saobraćaju ima mnogo oblika.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Direktiva 2010/40/EU</w:t>
            </w:r>
            <w:r w:rsidR="00D16DA2" w:rsidRPr="001E646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>
              <w:rPr>
                <w:sz w:val="20"/>
                <w:rFonts w:ascii="Arial" w:hAnsi="Arial"/>
              </w:rPr>
              <w:t xml:space="preserve"> pokriva mnoge inteligentne transportne sisteme (ITS) koje treba primeniti i na Kosovu.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Da bi se to uradilo, biće usvojen ITS program.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Prvi prioriteti u ovoj oblasti biće sprovođenje ITS sistema vezanih za puteve (promenljivi putokazi, kamere na putu, vremenske prilike na putu, brojanje saobraćaja, itd.). Pored akcija navedenih u direktivi, biće napravljen koncept za uspostavljanje širokog sistema elektronske prodaje karata na celom Kosovu, koji će biti deo programa razvoja javnog prevoza.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D16DA2" w:rsidRPr="001E6465" w:rsidRDefault="001E6465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Digitalizacija teretnog transporta i logistike se podstiče kroz Uredbu (EU) 2020/1056 o elektronskim informacijama o transportu tereta kako bi se smanjili administrativni troškovi, poboljšale sposobnosti nadležnih organa za sprovođenje i poboljšala efikasnost i održivost svih vidova transporta.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Takođe, cilj ove strategije je da donese održiv i integrisan transportni sistem, jačanjem različitih vidova (drumski, železnički i vazdušni), kao što su pogodnost, brzina, cena, pouzdanost, predvidljivost, itd., a u kombinaciji mogu da ponude efikasnije transportna rešenja za ljude i robu koja će pomoći da se smanji pritisak na našim zakrčenim putevima i da ceo sektor učini ekološki prihvatljivijim, bezbednijim i isplativijim.</w:t>
            </w:r>
          </w:p>
        </w:tc>
      </w:tr>
    </w:tbl>
    <w:p w:rsidR="00D16DA2" w:rsidRPr="002A5214" w:rsidRDefault="00D16DA2" w:rsidP="00D16DA2">
      <w:pPr>
        <w:pStyle w:val="ListParagraph"/>
        <w:ind w:left="360"/>
        <w:rPr>
          <w:rFonts w:cs="Arial"/>
          <w:b/>
          <w:szCs w:val="24"/>
        </w:rPr>
      </w:pPr>
    </w:p>
    <w:p w:rsidR="00D16DA2" w:rsidRDefault="00D16DA2" w:rsidP="00D16DA2">
      <w:pPr>
        <w:pStyle w:val="ListParagraph"/>
        <w:numPr>
          <w:ilvl w:val="0"/>
          <w:numId w:val="3"/>
        </w:numPr>
        <w:spacing w:line="276" w:lineRule="auto"/>
        <w:ind w:left="360" w:hanging="270"/>
        <w:rPr>
          <w:b/>
          <w:szCs w:val="20"/>
          <w:rFonts w:cs="Arial"/>
        </w:rPr>
      </w:pPr>
      <w:r>
        <w:rPr>
          <w:b/>
        </w:rPr>
        <w:t xml:space="preserve">STRATEŠKA RELEVANTNOST</w:t>
      </w:r>
    </w:p>
    <w:p w:rsidR="00D16DA2" w:rsidRPr="002A5214" w:rsidRDefault="00D16DA2" w:rsidP="00D16DA2">
      <w:pPr>
        <w:pStyle w:val="ListParagraph"/>
        <w:spacing w:line="276" w:lineRule="auto"/>
        <w:ind w:left="360"/>
        <w:rPr>
          <w:rFonts w:cs="Arial"/>
          <w:b/>
          <w:sz w:val="16"/>
          <w:szCs w:val="16"/>
        </w:rPr>
      </w:pP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522"/>
      </w:tblGrid>
      <w:tr w:rsidR="00D16DA2" w:rsidRPr="00B4784C" w:rsidTr="006D3939">
        <w:trPr>
          <w:trHeight w:val="4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B4784C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Objasnite karakteristike projekta u smislu:</w:t>
            </w:r>
          </w:p>
        </w:tc>
      </w:tr>
      <w:tr w:rsidR="00D16DA2" w:rsidRPr="00B4784C" w:rsidTr="006D3939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Poboljšanje intermodalnosti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Sprovođenje ITS-a u zemlji će promovisati intermodalnost, posebno kroz razvoj intermodalnih interfejsa.</w:t>
            </w:r>
          </w:p>
        </w:tc>
      </w:tr>
      <w:tr w:rsidR="00D16DA2" w:rsidRPr="00B4784C" w:rsidTr="006D3939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Povećanje međunarodnog saobraćaja (teret, lica)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Razvoj bezbednije putne mreže i ITS-a, paralelno sa regionalnom komponentom, dovešće do povećanja saobraćaja kako tereta tako i lica.</w:t>
            </w:r>
          </w:p>
        </w:tc>
      </w:tr>
      <w:tr w:rsidR="00D16DA2" w:rsidRPr="00B4784C" w:rsidTr="006D3939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Uključen u najnoviji višegodišnji plan (MAP) SEETO-a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Da, sprovođenje ITS-a će se odvijati duž SEETO jezgre i sveobuhvatne mreže.</w:t>
            </w:r>
          </w:p>
        </w:tc>
      </w:tr>
      <w:tr w:rsidR="00D16DA2" w:rsidRPr="00B4784C" w:rsidTr="006D3939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Obezbeđivanje veze sa TEN-T koridorima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N/A.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D16DA2" w:rsidRPr="00B4784C" w:rsidTr="006D3939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Njegov doprinos poboljšanju uslova bezbednosti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– projekat je direktno povezan sa poboljšanjem bezbednosnih uslova.</w:t>
            </w:r>
          </w:p>
        </w:tc>
      </w:tr>
      <w:tr w:rsidR="00D16DA2" w:rsidRPr="00B4784C" w:rsidTr="006D3939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Nova, nadograđena ili rehabilitovana infrastruktura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će dati informacije i prikupiti podatke gde će se izvršiti nadogradnja deonice trase, dok će razvoj ITS-a dovesti do nadogradnje transportne mreže.</w:t>
            </w:r>
          </w:p>
        </w:tc>
      </w:tr>
      <w:tr w:rsidR="00D16DA2" w:rsidRPr="00B4784C" w:rsidTr="006D3939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Zadovoljavanje godišnjeg rasta potražnje saobraćaja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ispunjava tražene kriterijume za rast saobraćaja.</w:t>
            </w:r>
            <w:r>
              <w:rPr>
                <w:sz w:val="20"/>
                <w:rFonts w:ascii="Arial" w:hAnsi="Arial"/>
              </w:rPr>
              <w:t xml:space="preserve">  </w:t>
            </w:r>
          </w:p>
        </w:tc>
      </w:tr>
      <w:tr w:rsidR="00D16DA2" w:rsidRPr="00B4784C" w:rsidTr="006D3939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Smanjenje vremena putovanja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–sprovođenje ITS-a duž glavnih transportnih koridora će doprineti poboljšanju saobraćaja koji će smanjiti vreme putovanja.</w:t>
            </w:r>
          </w:p>
        </w:tc>
      </w:tr>
      <w:tr w:rsidR="00D16DA2" w:rsidRPr="00B4784C" w:rsidTr="006D3939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Njegov efekat na smanjenje emisije CO</w:t>
            </w:r>
            <w:r>
              <w:rPr>
                <w:sz w:val="20"/>
                <w:vertAlign w:val="subscript"/>
                <w:rFonts w:ascii="Arial" w:hAnsi="Arial"/>
              </w:rPr>
              <w:t xml:space="preserve">2</w:t>
            </w:r>
            <w:r>
              <w:rPr>
                <w:sz w:val="20"/>
                <w:rFonts w:ascii="Arial" w:hAnsi="Arial"/>
              </w:rPr>
              <w:t xml:space="preserve"> i buke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ITS pruža beneficije za čitavo društvo, koje uključuju smanjenje nesreća, ukupnog nivoa zagušenja i emisija.</w:t>
            </w:r>
          </w:p>
        </w:tc>
      </w:tr>
      <w:tr w:rsidR="00D16DA2" w:rsidRPr="00B4784C" w:rsidTr="006D3939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Njegov doprinos ukupnom ekonomskom rastu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Kroz smanjenje vremenskog trajanja putovanja, VOC i saobraćajnih nezgoda, projekat će doprineti ukupnom ekonomskom rastu.</w:t>
            </w:r>
          </w:p>
        </w:tc>
      </w:tr>
      <w:tr w:rsidR="00D16DA2" w:rsidRPr="00B4784C" w:rsidTr="006D3939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Njegova integracija sa drugim projektima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 komponente za bezbednost na putevima i ITS projekta biće integrisane sa svim razvojima i projektima koji se preduzimaju na Kosovu.</w:t>
            </w:r>
          </w:p>
        </w:tc>
      </w:tr>
      <w:tr w:rsidR="00D16DA2" w:rsidRPr="00B4784C" w:rsidTr="006D3939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Postojanje alternativa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N/A</w:t>
            </w:r>
          </w:p>
        </w:tc>
      </w:tr>
    </w:tbl>
    <w:p w:rsidR="00D16DA2" w:rsidRPr="00C751CD" w:rsidRDefault="00D16DA2" w:rsidP="00D16DA2">
      <w:pPr>
        <w:spacing w:line="260" w:lineRule="atLeast"/>
        <w:jc w:val="center"/>
        <w:rPr>
          <w:rFonts w:ascii="Arial" w:hAnsi="Arial" w:cs="Arial"/>
          <w:b/>
          <w:bCs/>
        </w:rPr>
      </w:pPr>
    </w:p>
    <w:p w:rsidR="00D16DA2" w:rsidRDefault="00D16DA2" w:rsidP="00D16DA2">
      <w:pPr>
        <w:spacing w:line="260" w:lineRule="atLeast"/>
        <w:jc w:val="center"/>
        <w:rPr>
          <w:b/>
          <w:bCs/>
          <w:sz w:val="28"/>
          <w:szCs w:val="28"/>
          <w:rFonts w:ascii="Arial" w:hAnsi="Arial" w:cs="Arial"/>
        </w:rPr>
      </w:pPr>
      <w:r>
        <w:rPr>
          <w:b/>
          <w:sz w:val="28"/>
          <w:rFonts w:ascii="Arial" w:hAnsi="Arial"/>
        </w:rPr>
        <w:t xml:space="preserve">Drugi deo</w:t>
      </w:r>
    </w:p>
    <w:p w:rsidR="00D16DA2" w:rsidRPr="00C751CD" w:rsidRDefault="00D16DA2" w:rsidP="00D16DA2">
      <w:pPr>
        <w:spacing w:line="260" w:lineRule="atLeast"/>
        <w:jc w:val="center"/>
        <w:rPr>
          <w:rFonts w:ascii="Arial" w:hAnsi="Arial" w:cs="Arial"/>
          <w:b/>
          <w:bCs/>
        </w:rPr>
      </w:pPr>
    </w:p>
    <w:p w:rsidR="00D16DA2" w:rsidRDefault="00D16DA2" w:rsidP="00D16DA2">
      <w:pPr>
        <w:pStyle w:val="ListParagraph"/>
        <w:numPr>
          <w:ilvl w:val="0"/>
          <w:numId w:val="3"/>
        </w:numPr>
        <w:spacing w:line="276" w:lineRule="auto"/>
        <w:ind w:left="360"/>
        <w:rPr>
          <w:b/>
          <w:szCs w:val="20"/>
          <w:rFonts w:cs="Arial"/>
        </w:rPr>
      </w:pPr>
      <w:r>
        <w:rPr>
          <w:b/>
        </w:rPr>
        <w:t xml:space="preserve">ZRELOST</w:t>
      </w:r>
    </w:p>
    <w:p w:rsidR="00D16DA2" w:rsidRPr="002A5214" w:rsidRDefault="00D16DA2" w:rsidP="00D16DA2">
      <w:pPr>
        <w:pStyle w:val="ListParagraph"/>
        <w:spacing w:line="276" w:lineRule="auto"/>
        <w:ind w:left="360"/>
        <w:rPr>
          <w:rFonts w:cs="Arial"/>
          <w:b/>
          <w:sz w:val="16"/>
          <w:szCs w:val="16"/>
        </w:rPr>
      </w:pPr>
    </w:p>
    <w:tbl>
      <w:tblPr>
        <w:tblW w:w="4998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8"/>
        <w:gridCol w:w="1480"/>
        <w:gridCol w:w="1318"/>
        <w:gridCol w:w="1200"/>
      </w:tblGrid>
      <w:tr w:rsidR="00D16DA2" w:rsidRPr="00B4784C" w:rsidTr="006D3939">
        <w:trPr>
          <w:trHeight w:val="417"/>
          <w:jc w:val="center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Dostupne studije i dokumenti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B4784C" w:rsidRDefault="00D16DA2" w:rsidP="006D3939">
            <w:pPr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Spremno i odobreno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B4784C" w:rsidRDefault="00D16DA2" w:rsidP="006D3939">
            <w:pPr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Radi se na njima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B4784C" w:rsidRDefault="00D16DA2" w:rsidP="006D3939">
            <w:pPr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Još nije počelo</w:t>
            </w:r>
          </w:p>
        </w:tc>
      </w:tr>
      <w:tr w:rsidR="00D16DA2" w:rsidRPr="00B4784C" w:rsidTr="006D3939">
        <w:trPr>
          <w:trHeight w:val="152"/>
          <w:jc w:val="center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Konceptualna ideja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5521EC" w:rsidP="006D3939">
            <w:pPr>
              <w:spacing w:before="60" w:after="60"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DA2" w:rsidRPr="00B4784C" w:rsidTr="006D3939">
        <w:trPr>
          <w:trHeight w:val="278"/>
          <w:jc w:val="center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Prethodna studija izvodljivosti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5521EC" w:rsidP="006D3939">
            <w:pPr>
              <w:spacing w:before="60" w:after="60"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DA2" w:rsidRPr="00B4784C" w:rsidTr="006D3939">
        <w:trPr>
          <w:trHeight w:val="260"/>
          <w:jc w:val="center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Konceptualni dizajna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5521EC" w:rsidP="006D3939">
            <w:pPr>
              <w:spacing w:before="60" w:after="60"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D16DA2" w:rsidRPr="00B4784C" w:rsidTr="006D3939">
        <w:trPr>
          <w:trHeight w:val="260"/>
          <w:jc w:val="center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Studija izvodljivosti + CBA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5521EC" w:rsidP="006D3939">
            <w:pPr>
              <w:spacing w:before="60" w:after="60"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D16DA2" w:rsidRPr="00B4784C" w:rsidTr="006D3939">
        <w:trPr>
          <w:trHeight w:val="260"/>
          <w:jc w:val="center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Studija EIU (ako je neophodna)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5521EC" w:rsidP="006D3939">
            <w:pPr>
              <w:spacing w:before="60" w:after="60"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D16DA2" w:rsidRPr="00B4784C" w:rsidTr="006D3939">
        <w:trPr>
          <w:trHeight w:val="260"/>
          <w:jc w:val="center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Važeći dokumenti za prostorno planiranje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5521EC" w:rsidP="006D3939">
            <w:pPr>
              <w:spacing w:before="60" w:after="60"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D16DA2" w:rsidRPr="00B4784C" w:rsidTr="006D3939">
        <w:trPr>
          <w:trHeight w:val="260"/>
          <w:jc w:val="center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Imovinska pitanja rešena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5521EC" w:rsidP="006D3939">
            <w:pPr>
              <w:spacing w:before="60" w:after="60"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D16DA2" w:rsidRPr="00B4784C" w:rsidTr="006D3939">
        <w:trPr>
          <w:trHeight w:val="260"/>
          <w:jc w:val="center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Preliminarni dizajn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5521EC" w:rsidP="006D3939">
            <w:pPr>
              <w:spacing w:before="60" w:after="60"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D16DA2" w:rsidRPr="00B4784C" w:rsidTr="006D3939">
        <w:trPr>
          <w:trHeight w:val="260"/>
          <w:jc w:val="center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Glavni dizajn/detaljni dizajn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5521EC" w:rsidP="006D3939">
            <w:pPr>
              <w:spacing w:before="60" w:after="60"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D16DA2" w:rsidRPr="00B4784C" w:rsidTr="006D3939">
        <w:trPr>
          <w:trHeight w:val="260"/>
          <w:jc w:val="center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Tenderska dokumentacija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5521EC" w:rsidP="006D3939">
            <w:pPr>
              <w:spacing w:before="60" w:after="60"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D16DA2" w:rsidRPr="00B4784C" w:rsidTr="006D3939">
        <w:trPr>
          <w:trHeight w:val="260"/>
          <w:jc w:val="center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Građevinska i ostale dozvole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5521EC" w:rsidP="006D3939">
            <w:pPr>
              <w:spacing w:before="60" w:after="60"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D16DA2" w:rsidRPr="00B4784C" w:rsidTr="006D3939">
        <w:trPr>
          <w:trHeight w:val="260"/>
          <w:jc w:val="center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Ugovor o gradnji potpisan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5521EC" w:rsidP="006D3939">
            <w:pPr>
              <w:spacing w:before="60" w:after="60"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</w:tbl>
    <w:p w:rsidR="00D16DA2" w:rsidRPr="00B4784C" w:rsidRDefault="00D16DA2" w:rsidP="00D16DA2">
      <w:pPr>
        <w:pStyle w:val="ListParagraph"/>
        <w:ind w:left="792"/>
        <w:rPr>
          <w:rFonts w:cs="Arial"/>
          <w:b/>
          <w:szCs w:val="20"/>
        </w:rPr>
      </w:pPr>
    </w:p>
    <w:p w:rsidR="00D16DA2" w:rsidRDefault="00D16DA2" w:rsidP="00D16DA2">
      <w:pPr>
        <w:pStyle w:val="ListParagraph"/>
        <w:numPr>
          <w:ilvl w:val="0"/>
          <w:numId w:val="3"/>
        </w:numPr>
        <w:spacing w:line="276" w:lineRule="auto"/>
        <w:ind w:left="270" w:hanging="270"/>
        <w:rPr>
          <w:b/>
          <w:szCs w:val="20"/>
          <w:rFonts w:cs="Arial"/>
        </w:rPr>
      </w:pPr>
      <w:r>
        <w:rPr>
          <w:b/>
        </w:rPr>
        <w:t xml:space="preserve">ODREĐIVANJE IZVORA FINANSIRANJA</w:t>
      </w:r>
    </w:p>
    <w:p w:rsidR="00D16DA2" w:rsidRPr="002A5214" w:rsidRDefault="00D16DA2" w:rsidP="00D16DA2">
      <w:pPr>
        <w:pStyle w:val="ListParagraph"/>
        <w:spacing w:line="276" w:lineRule="auto"/>
        <w:ind w:left="270"/>
        <w:rPr>
          <w:rFonts w:cs="Arial"/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  <w:gridCol w:w="637"/>
        <w:gridCol w:w="3925"/>
        <w:gridCol w:w="529"/>
      </w:tblGrid>
      <w:tr w:rsidR="00D16DA2" w:rsidRPr="00B4784C" w:rsidTr="006D3939">
        <w:trPr>
          <w:trHeight w:val="417"/>
          <w:jc w:val="center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6DA2" w:rsidRPr="00B4784C" w:rsidRDefault="00D16DA2" w:rsidP="006D39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6DA2" w:rsidRPr="00B4784C" w:rsidRDefault="00D16DA2" w:rsidP="006D3939">
            <w:pPr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Da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6DA2" w:rsidRPr="00B4784C" w:rsidRDefault="00D16DA2" w:rsidP="006D3939">
            <w:pPr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Obrazloženje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6DA2" w:rsidRPr="00B4784C" w:rsidRDefault="00D16DA2" w:rsidP="006D3939">
            <w:pPr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Ne</w:t>
            </w:r>
          </w:p>
        </w:tc>
      </w:tr>
      <w:tr w:rsidR="00D16DA2" w:rsidRPr="00B4784C" w:rsidTr="006D3939">
        <w:trPr>
          <w:trHeight w:val="267"/>
          <w:jc w:val="center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poboljšava povezanost?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5521EC" w:rsidP="006D3939">
            <w:pPr>
              <w:spacing w:before="60" w:after="60"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A2" w:rsidRPr="001E6465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ITS projekat će se razvijati uglavnom u segmentima puteva koji su deo osnovne i sveobuhvatne mreže i poboljšaće povezanost kroz koherentnu i homogenu regionalnu ITS komponentu.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B4784C" w:rsidRDefault="00D16DA2" w:rsidP="006D3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DA2" w:rsidRPr="00B4784C" w:rsidTr="006D3939">
        <w:trPr>
          <w:trHeight w:val="417"/>
          <w:jc w:val="center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ima prekogranični uticaj ili uticaj na druge zemlje u regionu?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5521EC" w:rsidP="006D3939">
            <w:pPr>
              <w:spacing w:before="60" w:after="60"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A2" w:rsidRPr="001E6465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 ITS i bezbednost saobraćaja čine glavne komponente regionalnog razvoja održive transportne mreže.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B4784C" w:rsidRDefault="00D16DA2" w:rsidP="006D3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6DA2" w:rsidRPr="00B4784C" w:rsidRDefault="00D16DA2" w:rsidP="006D3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DA2" w:rsidRPr="00B4784C" w:rsidTr="006D3939">
        <w:trPr>
          <w:trHeight w:val="417"/>
          <w:jc w:val="center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se projekat na bilo koji drugi način može označiti kao regionalni projekat?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5521EC" w:rsidP="006D3939">
            <w:pPr>
              <w:spacing w:before="60" w:after="60"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A2" w:rsidRPr="001E6465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može imati regionalni uticaj jer bi podaci o nesrećama trebalo da se dele i/ili da se druge lokacije informišu o potencijalno većim trasama sa rizikom od nezgoda.</w:t>
            </w:r>
          </w:p>
          <w:p w:rsidR="00D16DA2" w:rsidRPr="001E6465" w:rsidRDefault="00D16DA2" w:rsidP="000A0C8B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Sve zemlje regiona su u različitim fazama uvođenja ITS-a.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B4784C" w:rsidRDefault="00D16DA2" w:rsidP="006D3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6DA2" w:rsidRDefault="00D16DA2" w:rsidP="00D16DA2">
      <w:pPr>
        <w:pStyle w:val="ListParagraph"/>
        <w:numPr>
          <w:ilvl w:val="0"/>
          <w:numId w:val="3"/>
        </w:numPr>
        <w:spacing w:line="276" w:lineRule="auto"/>
        <w:ind w:left="270" w:hanging="270"/>
        <w:rPr>
          <w:b/>
          <w:szCs w:val="20"/>
          <w:rFonts w:cs="Arial"/>
        </w:rPr>
      </w:pPr>
      <w:r>
        <w:rPr>
          <w:b/>
        </w:rPr>
        <w:t xml:space="preserve">RASPORED POTROŠNJE</w:t>
      </w:r>
    </w:p>
    <w:p w:rsidR="00D16DA2" w:rsidRPr="002A5214" w:rsidRDefault="00D16DA2" w:rsidP="00D16DA2">
      <w:pPr>
        <w:pStyle w:val="ListParagraph"/>
        <w:spacing w:line="276" w:lineRule="auto"/>
        <w:ind w:left="270"/>
        <w:rPr>
          <w:rFonts w:cs="Arial"/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995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D16DA2" w:rsidRPr="00B4784C" w:rsidTr="006D3939">
        <w:trPr>
          <w:jc w:val="center"/>
        </w:trPr>
        <w:tc>
          <w:tcPr>
            <w:tcW w:w="933" w:type="pct"/>
            <w:shd w:val="clear" w:color="auto" w:fill="D9D9D9" w:themeFill="background1" w:themeFillShade="D9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D9D9D9" w:themeFill="background1" w:themeFillShade="D9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2015-2020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2021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2022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2023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2024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2025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2026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2027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2028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2029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2030</w:t>
            </w:r>
          </w:p>
        </w:tc>
      </w:tr>
      <w:tr w:rsidR="00D16DA2" w:rsidRPr="00B4784C" w:rsidTr="006D3939">
        <w:trPr>
          <w:jc w:val="center"/>
        </w:trPr>
        <w:tc>
          <w:tcPr>
            <w:tcW w:w="933" w:type="pct"/>
            <w:shd w:val="clear" w:color="auto" w:fill="D9D9D9" w:themeFill="background1" w:themeFillShade="D9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Cena (u milionima EUR) od čega: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3C2103" w:rsidRDefault="00D16DA2" w:rsidP="006D3939">
            <w:pPr>
              <w:spacing w:line="260" w:lineRule="atLeast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3C2103" w:rsidRDefault="00D16DA2" w:rsidP="006D3939">
            <w:pPr>
              <w:spacing w:line="260" w:lineRule="atLeast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1E6465" w:rsidRDefault="00D16DA2" w:rsidP="006D3939">
            <w:pPr>
              <w:spacing w:line="260" w:lineRule="atLeast"/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4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1E6465" w:rsidRDefault="00D16DA2" w:rsidP="006D3939">
            <w:pPr>
              <w:spacing w:line="260" w:lineRule="atLeast"/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13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1E6465" w:rsidRDefault="00D16DA2" w:rsidP="006D3939">
            <w:pPr>
              <w:spacing w:line="260" w:lineRule="atLeast"/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13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6DA2" w:rsidRPr="00B4784C" w:rsidTr="006D3939">
        <w:trPr>
          <w:jc w:val="center"/>
        </w:trPr>
        <w:tc>
          <w:tcPr>
            <w:tcW w:w="933" w:type="pct"/>
            <w:shd w:val="clear" w:color="auto" w:fill="D9D9D9" w:themeFill="background1" w:themeFillShade="D9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Priprema projekta (TA)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3C2103" w:rsidRDefault="00D16DA2" w:rsidP="006D3939">
            <w:pPr>
              <w:spacing w:line="260" w:lineRule="atLeast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3C2103" w:rsidRDefault="00D16DA2" w:rsidP="006D3939">
            <w:pPr>
              <w:spacing w:line="260" w:lineRule="atLeast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1E6465" w:rsidRDefault="00D16DA2" w:rsidP="006D3939">
            <w:pPr>
              <w:spacing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4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1E6465" w:rsidRDefault="00D16DA2" w:rsidP="006D3939">
            <w:pPr>
              <w:spacing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1E6465" w:rsidRDefault="00D16DA2" w:rsidP="006D3939">
            <w:pPr>
              <w:spacing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DA2" w:rsidRPr="00B4784C" w:rsidTr="006D3939">
        <w:trPr>
          <w:jc w:val="center"/>
        </w:trPr>
        <w:tc>
          <w:tcPr>
            <w:tcW w:w="933" w:type="pct"/>
            <w:shd w:val="clear" w:color="auto" w:fill="D9D9D9" w:themeFill="background1" w:themeFillShade="D9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Ulaganje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3C2103" w:rsidRDefault="00D16DA2" w:rsidP="006D3939">
            <w:pPr>
              <w:spacing w:line="260" w:lineRule="atLeast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3C2103" w:rsidRDefault="00D16DA2" w:rsidP="006D3939">
            <w:pPr>
              <w:spacing w:line="260" w:lineRule="atLeast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1E6465" w:rsidRDefault="00D16DA2" w:rsidP="006D3939">
            <w:pPr>
              <w:spacing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1E6465" w:rsidRDefault="00D16DA2" w:rsidP="006D3939">
            <w:pPr>
              <w:spacing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12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1E6465" w:rsidRDefault="00D16DA2" w:rsidP="006D3939">
            <w:pPr>
              <w:spacing w:line="260" w:lineRule="atLeast"/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12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16DA2" w:rsidRPr="00B4784C" w:rsidRDefault="00D16DA2" w:rsidP="006D3939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6DA2" w:rsidRDefault="00D16DA2" w:rsidP="00D16DA2">
      <w:pPr>
        <w:pStyle w:val="ListParagraph"/>
        <w:spacing w:line="276" w:lineRule="auto"/>
        <w:ind w:left="270"/>
        <w:rPr>
          <w:rFonts w:cs="Arial"/>
          <w:b/>
          <w:szCs w:val="20"/>
        </w:rPr>
      </w:pPr>
    </w:p>
    <w:p w:rsidR="00D16DA2" w:rsidRDefault="00D16DA2" w:rsidP="00D16DA2">
      <w:pPr>
        <w:pStyle w:val="ListParagraph"/>
        <w:numPr>
          <w:ilvl w:val="0"/>
          <w:numId w:val="3"/>
        </w:numPr>
        <w:spacing w:line="276" w:lineRule="auto"/>
        <w:ind w:left="270" w:hanging="270"/>
        <w:rPr>
          <w:b/>
          <w:szCs w:val="20"/>
          <w:rFonts w:cs="Arial"/>
        </w:rPr>
      </w:pPr>
      <w:r>
        <w:rPr>
          <w:b/>
        </w:rPr>
        <w:t xml:space="preserve">OSTALI ASPEKTI</w:t>
      </w:r>
    </w:p>
    <w:p w:rsidR="00D16DA2" w:rsidRPr="002A5214" w:rsidRDefault="00D16DA2" w:rsidP="00D16DA2">
      <w:pPr>
        <w:pStyle w:val="ListParagraph"/>
        <w:spacing w:line="276" w:lineRule="auto"/>
        <w:ind w:left="270"/>
        <w:rPr>
          <w:rFonts w:cs="Arial"/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0"/>
        <w:gridCol w:w="5530"/>
      </w:tblGrid>
      <w:tr w:rsidR="00D16DA2" w:rsidRPr="00B4784C" w:rsidTr="006D3939">
        <w:trPr>
          <w:trHeight w:val="467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su u projekat uključene MFI ili drugi donatori?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Kada?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Koje je bilo njihovo mišljenje?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5521EC" w:rsidRDefault="005521EC" w:rsidP="005521EC">
            <w:pPr>
              <w:jc w:val="both"/>
              <w:rPr>
                <w:sz w:val="20"/>
                <w:szCs w:val="20"/>
                <w:rFonts w:ascii="Arial" w:eastAsia="Arial Unicode MS" w:hAnsi="Arial" w:cs="Arial"/>
              </w:rPr>
            </w:pPr>
            <w:r>
              <w:rPr>
                <w:sz w:val="20"/>
                <w:rFonts w:ascii="Arial" w:hAnsi="Arial"/>
              </w:rPr>
              <w:t xml:space="preserve">Konsultativni sastanak sa donatorima održan je 10. maja 2023. godine, gde su međunarodne finansijske institucije i drugi donatori pozvani da učestvuju u opštoj diskusiji o projektima u saobraćajnom sektoru pre njihovog potvrđivanja i odobrenja.</w:t>
            </w:r>
          </w:p>
        </w:tc>
      </w:tr>
      <w:tr w:rsidR="00D16DA2" w:rsidRPr="00B4784C" w:rsidTr="006D3939">
        <w:trPr>
          <w:trHeight w:val="245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Postojeća podrška EU ili WBIF (TA): iznos, svrha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D16DA2">
            <w:pPr>
              <w:pStyle w:val="ListParagraph"/>
              <w:numPr>
                <w:ilvl w:val="0"/>
                <w:numId w:val="5"/>
              </w:numPr>
              <w:spacing w:before="60" w:after="60" w:line="260" w:lineRule="atLeast"/>
              <w:jc w:val="both"/>
              <w:rPr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CONNECTA-TRA-CRM-REG-01: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Priprema planova inspekcije i revizije bezbednosti na putevima za osnovnu/sveobuhvatnu putnu mrežu na zapadnom Balkanu i pilote</w:t>
            </w:r>
          </w:p>
          <w:p w:rsidR="00D16DA2" w:rsidRPr="001E6465" w:rsidRDefault="00D16DA2" w:rsidP="00D16DA2">
            <w:pPr>
              <w:pStyle w:val="ListParagraph"/>
              <w:numPr>
                <w:ilvl w:val="0"/>
                <w:numId w:val="5"/>
              </w:numPr>
              <w:spacing w:before="60" w:after="60" w:line="260" w:lineRule="atLeast"/>
              <w:jc w:val="both"/>
              <w:rPr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CONNECTA-TRA-CRM-REG-03: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Priprema planova inspekcije i revizije bezbednosti na putevima za osnovnu/sveobuhvatnu putnu mrežu na zapadnom Balkanu i pilote</w:t>
            </w:r>
          </w:p>
          <w:p w:rsidR="00D16DA2" w:rsidRPr="001E6465" w:rsidRDefault="00D16DA2" w:rsidP="00D16DA2">
            <w:pPr>
              <w:pStyle w:val="ListParagraph"/>
              <w:numPr>
                <w:ilvl w:val="0"/>
                <w:numId w:val="5"/>
              </w:numPr>
              <w:spacing w:before="60" w:after="60" w:line="260" w:lineRule="atLeast"/>
              <w:jc w:val="both"/>
              <w:rPr>
                <w:sz w:val="20"/>
                <w:szCs w:val="20"/>
                <w:rFonts w:cs="Arial"/>
              </w:rPr>
            </w:pPr>
            <w:r>
              <w:rPr>
                <w:sz w:val="20"/>
              </w:rPr>
              <w:t xml:space="preserve">CONNECTA-TRA-CRM-REG-ITS-08: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Tehnička pomoć za pripremu nacionalne ITS strategije za Bosnu i Hercegovinu, Kosovo (svi vidovi), Albaniju (železnički i pomorski) i Crnu Goru (železnički) i raspoređivanje centara za upravljanje drumskim saobraćajem u Bosni i Hercegovini i na Kosovu</w:t>
            </w:r>
          </w:p>
        </w:tc>
      </w:tr>
      <w:tr w:rsidR="00D16DA2" w:rsidRPr="00B4784C" w:rsidTr="006D3939">
        <w:trPr>
          <w:trHeight w:val="245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Ministarstvo finansija konsultovano u vezi sa projektom?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Opišite povratne informacije.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</w:tr>
      <w:tr w:rsidR="00D16DA2" w:rsidRPr="00B4784C" w:rsidTr="006D3939">
        <w:trPr>
          <w:trHeight w:val="348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ostvaruje prihode od krajnjih korisnika?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</w:tr>
      <w:tr w:rsidR="00D16DA2" w:rsidRPr="00B4784C" w:rsidTr="006D3939">
        <w:trPr>
          <w:trHeight w:val="348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6DA2" w:rsidRPr="00533888" w:rsidRDefault="00D16DA2" w:rsidP="006D3939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Opis tima za realizaciju projekta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A2" w:rsidRPr="001E6465" w:rsidRDefault="00D16DA2" w:rsidP="006D3939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Za ovaj projekat će biti obezbeđena posvećena JRP.</w:t>
            </w:r>
          </w:p>
        </w:tc>
      </w:tr>
    </w:tbl>
    <w:p w:rsidR="00D16DA2" w:rsidRDefault="00D16DA2" w:rsidP="00D16DA2">
      <w:pPr>
        <w:rPr>
          <w:rFonts w:ascii="Arial" w:hAnsi="Arial" w:cs="Arial"/>
          <w:sz w:val="28"/>
          <w:szCs w:val="28"/>
        </w:rPr>
      </w:pPr>
    </w:p>
    <w:p w:rsidR="00D16DA2" w:rsidRDefault="00D16DA2" w:rsidP="00D16DA2">
      <w:pPr>
        <w:rPr>
          <w:rFonts w:ascii="Arial" w:hAnsi="Arial" w:cs="Arial"/>
          <w:sz w:val="28"/>
          <w:szCs w:val="28"/>
        </w:rPr>
      </w:pPr>
    </w:p>
    <w:p w:rsidR="00D16DA2" w:rsidRDefault="00D16DA2" w:rsidP="00D16DA2">
      <w:pPr>
        <w:rPr>
          <w:rFonts w:ascii="Arial" w:hAnsi="Arial" w:cs="Arial"/>
          <w:sz w:val="28"/>
          <w:szCs w:val="28"/>
        </w:rPr>
      </w:pPr>
    </w:p>
    <w:p w:rsidR="00D16DA2" w:rsidRDefault="00D16DA2" w:rsidP="00D16DA2">
      <w:pPr>
        <w:rPr>
          <w:rFonts w:ascii="Arial" w:hAnsi="Arial" w:cs="Arial"/>
          <w:sz w:val="28"/>
          <w:szCs w:val="28"/>
        </w:rPr>
      </w:pPr>
    </w:p>
    <w:p w:rsidR="00D16DA2" w:rsidRDefault="00D16DA2" w:rsidP="00D16DA2">
      <w:pPr>
        <w:rPr>
          <w:rFonts w:ascii="Arial" w:hAnsi="Arial" w:cs="Arial"/>
          <w:sz w:val="28"/>
          <w:szCs w:val="28"/>
        </w:rPr>
      </w:pPr>
    </w:p>
    <w:p w:rsidR="00D16DA2" w:rsidRDefault="00D16DA2" w:rsidP="00D16DA2">
      <w:pPr>
        <w:rPr>
          <w:rFonts w:ascii="Arial" w:hAnsi="Arial" w:cs="Arial"/>
          <w:sz w:val="28"/>
          <w:szCs w:val="28"/>
        </w:rPr>
      </w:pPr>
    </w:p>
    <w:p w:rsidR="00D16DA2" w:rsidRDefault="00D16DA2" w:rsidP="00D16DA2">
      <w:pPr>
        <w:rPr>
          <w:rFonts w:ascii="Arial" w:hAnsi="Arial" w:cs="Arial"/>
          <w:sz w:val="28"/>
          <w:szCs w:val="28"/>
        </w:rPr>
      </w:pPr>
    </w:p>
    <w:p w:rsidR="00D16DA2" w:rsidRDefault="00D16DA2" w:rsidP="00D16DA2">
      <w:pPr>
        <w:rPr>
          <w:rFonts w:ascii="Arial" w:hAnsi="Arial" w:cs="Arial"/>
          <w:sz w:val="28"/>
          <w:szCs w:val="28"/>
        </w:rPr>
      </w:pPr>
    </w:p>
    <w:p w:rsidR="00D16DA2" w:rsidRDefault="00D16DA2" w:rsidP="00D16DA2">
      <w:pPr>
        <w:rPr>
          <w:rFonts w:ascii="Arial" w:hAnsi="Arial" w:cs="Arial"/>
          <w:sz w:val="28"/>
          <w:szCs w:val="28"/>
        </w:rPr>
      </w:pPr>
    </w:p>
    <w:p w:rsidR="00B94D01" w:rsidRPr="000A0C8B" w:rsidRDefault="00B94D01" w:rsidP="000A0C8B">
      <w:pPr>
        <w:tabs>
          <w:tab w:val="left" w:pos="7413"/>
        </w:tabs>
      </w:pPr>
    </w:p>
    <w:sectPr w:rsidR="00B94D01" w:rsidRPr="000A0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1C8" w:rsidRDefault="004571C8" w:rsidP="00D16DA2">
      <w:r>
        <w:separator/>
      </w:r>
    </w:p>
  </w:endnote>
  <w:endnote w:type="continuationSeparator" w:id="0">
    <w:p w:rsidR="004571C8" w:rsidRDefault="004571C8" w:rsidP="00D1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1C8" w:rsidRDefault="004571C8" w:rsidP="00D16DA2">
      <w:r>
        <w:separator/>
      </w:r>
    </w:p>
  </w:footnote>
  <w:footnote w:type="continuationSeparator" w:id="0">
    <w:p w:rsidR="004571C8" w:rsidRDefault="004571C8" w:rsidP="00D16DA2">
      <w:r>
        <w:continuationSeparator/>
      </w:r>
    </w:p>
  </w:footnote>
  <w:footnote w:id="1">
    <w:p w:rsidR="00D16DA2" w:rsidRPr="00A539A7" w:rsidRDefault="00D16DA2" w:rsidP="00D16DA2">
      <w:pPr>
        <w:pStyle w:val="FootnoteText"/>
        <w:jc w:val="both"/>
        <w:rPr>
          <w:sz w:val="18"/>
          <w:szCs w:val="18"/>
          <w:rFonts w:ascii="Arial" w:hAnsi="Arial" w:cs="Arial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sz w:val="18"/>
          <w:rFonts w:ascii="Arial" w:hAnsi="Arial"/>
        </w:rPr>
        <w:t xml:space="preserve"> DIREKTIVA 2010/40/EU EVROPSKOG PARLAMENTA I SAVETA od 7. jula 2010. o okviru za primenu inteligentnih transportnih sistema u oblasti drumskog saobraćaja i za interfejse sa drugim vidovima transporta.</w:t>
      </w:r>
    </w:p>
    <w:p w:rsidR="00D16DA2" w:rsidRPr="00A539A7" w:rsidRDefault="00D16DA2" w:rsidP="00D16DA2">
      <w:pPr>
        <w:pStyle w:val="FootnoteText"/>
        <w:jc w:val="both"/>
        <w:rPr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https://eur-lex.europa.eu/legal-content/EN/TXT/PDF/?uri=CELEX:32010L0040&amp;rid=9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DC2"/>
    <w:multiLevelType w:val="hybridMultilevel"/>
    <w:tmpl w:val="702CB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63889"/>
    <w:multiLevelType w:val="hybridMultilevel"/>
    <w:tmpl w:val="48320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D03EA"/>
    <w:multiLevelType w:val="hybridMultilevel"/>
    <w:tmpl w:val="BD8C474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97EBC"/>
    <w:multiLevelType w:val="hybridMultilevel"/>
    <w:tmpl w:val="9D3ED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B5F7D"/>
    <w:multiLevelType w:val="hybridMultilevel"/>
    <w:tmpl w:val="20188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76FFC"/>
    <w:multiLevelType w:val="hybridMultilevel"/>
    <w:tmpl w:val="F40E75B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A2"/>
    <w:rsid w:val="00037313"/>
    <w:rsid w:val="000717DC"/>
    <w:rsid w:val="000A0C8B"/>
    <w:rsid w:val="00133746"/>
    <w:rsid w:val="001E6465"/>
    <w:rsid w:val="00274622"/>
    <w:rsid w:val="00307884"/>
    <w:rsid w:val="004417DC"/>
    <w:rsid w:val="004571C8"/>
    <w:rsid w:val="00533888"/>
    <w:rsid w:val="005521EC"/>
    <w:rsid w:val="006249B3"/>
    <w:rsid w:val="00700DEE"/>
    <w:rsid w:val="00B3349D"/>
    <w:rsid w:val="00B94D01"/>
    <w:rsid w:val="00C5423C"/>
    <w:rsid w:val="00D16DA2"/>
    <w:rsid w:val="00FC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D6256-A0F4-4C24-B140-13047B35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DA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D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6D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aliases w:val="Indent Paragraph,Lettre d'introduction,Heading 2_sj,Dot pt,List Paragraph Char Char Char,Indicator Text,List Paragraph1,Numbered Para 1,List Paragraph12,Bullet Points,MAIN CONTENT,Bullet 1,List Paragraph (numbered (a)),Bullit,PROVERE 1,lp"/>
    <w:basedOn w:val="Normal"/>
    <w:link w:val="ListParagraphChar"/>
    <w:uiPriority w:val="34"/>
    <w:qFormat/>
    <w:rsid w:val="00D16DA2"/>
    <w:pPr>
      <w:ind w:left="720"/>
      <w:contextualSpacing/>
    </w:pPr>
    <w:rPr>
      <w:rFonts w:ascii="Arial" w:eastAsiaTheme="minorHAnsi" w:hAnsi="Arial" w:cstheme="minorBidi"/>
      <w:szCs w:val="22"/>
    </w:rPr>
  </w:style>
  <w:style w:type="character" w:styleId="Hyperlink">
    <w:name w:val="Hyperlink"/>
    <w:uiPriority w:val="99"/>
    <w:rsid w:val="00D16DA2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Indent Paragraph Char,Lettre d'introduction Char,Heading 2_sj Char,Dot pt Char,List Paragraph Char Char Char Char,Indicator Text Char,List Paragraph1 Char,Numbered Para 1 Char,List Paragraph12 Char,Bullet Points Char,Bullet 1 Char"/>
    <w:link w:val="ListParagraph"/>
    <w:uiPriority w:val="34"/>
    <w:qFormat/>
    <w:locked/>
    <w:rsid w:val="00D16DA2"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D16DA2"/>
    <w:pPr>
      <w:widowControl w:val="0"/>
      <w:ind w:left="471" w:hanging="356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16DA2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DA2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DA2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DA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7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746"/>
    <w:rPr>
      <w:rFonts w:ascii="Segoe UI" w:eastAsia="MS Mincho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E6465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sz w:val="52"/>
      <w:szCs w:val="52"/>
      <w:lang w:val="sr-Latn-RS"/>
    </w:rPr>
  </w:style>
  <w:style w:type="character" w:customStyle="1" w:styleId="TitleChar">
    <w:name w:val="Title Char"/>
    <w:basedOn w:val="DefaultParagraphFont"/>
    <w:link w:val="Title"/>
    <w:uiPriority w:val="10"/>
    <w:rsid w:val="001E6465"/>
    <w:rPr>
      <w:rFonts w:ascii="Calibri Light" w:eastAsia="Times New Roman" w:hAnsi="Calibri Light" w:cs="Times New Roman"/>
      <w:color w:val="323E4F"/>
      <w:spacing w:val="5"/>
      <w:sz w:val="52"/>
      <w:szCs w:val="52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0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mailto:naim.kelmendi@rks-gov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ejzullah.mustafa@rks-gov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zir.gash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2312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Krasniqi</dc:creator>
  <cp:keywords/>
  <dc:description/>
  <cp:lastModifiedBy>Tringe Sokoli</cp:lastModifiedBy>
  <cp:revision>7</cp:revision>
  <dcterms:created xsi:type="dcterms:W3CDTF">2024-07-23T07:30:00Z</dcterms:created>
  <dcterms:modified xsi:type="dcterms:W3CDTF">2024-08-20T09:00:00Z</dcterms:modified>
</cp:coreProperties>
</file>