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4828D" w14:textId="5403E1F6" w:rsidR="009B5FF0" w:rsidRPr="00515F08" w:rsidRDefault="009B5FF0" w:rsidP="00604247">
      <w:pPr>
        <w:pStyle w:val="Title"/>
        <w:pBdr>
          <w:bottom w:val="single" w:sz="8" w:space="0" w:color="5B9BD5"/>
        </w:pBdr>
        <w:spacing w:before="120" w:after="0" w:line="276" w:lineRule="auto"/>
        <w:jc w:val="center"/>
        <w:rPr>
          <w:rFonts w:ascii="Arial" w:hAnsi="Arial" w:cs="Arial"/>
          <w:sz w:val="36"/>
          <w:szCs w:val="36"/>
        </w:rPr>
      </w:pPr>
      <w:bookmarkStart w:id="0" w:name="_GoBack"/>
      <w:bookmarkEnd w:id="0"/>
      <w:r>
        <w:rPr>
          <w:rFonts w:ascii="Arial" w:hAnsi="Arial"/>
          <w:sz w:val="36"/>
        </w:rPr>
        <w:t>Formulari i identifikimit të projektit (FIP): Sektori i Energjisë</w:t>
      </w:r>
    </w:p>
    <w:p w14:paraId="48111DAF" w14:textId="77777777" w:rsidR="00DA5F0A" w:rsidRPr="00515F08" w:rsidRDefault="0074067A" w:rsidP="0074067A">
      <w:pPr>
        <w:pStyle w:val="Heading1"/>
        <w:spacing w:before="240" w:after="120"/>
        <w:jc w:val="center"/>
        <w:rPr>
          <w:rFonts w:ascii="Arial" w:hAnsi="Arial" w:cs="Arial"/>
          <w:color w:val="auto"/>
          <w:sz w:val="20"/>
          <w:szCs w:val="20"/>
        </w:rPr>
      </w:pPr>
      <w:r>
        <w:rPr>
          <w:rFonts w:ascii="Arial" w:hAnsi="Arial"/>
          <w:color w:val="auto"/>
          <w:sz w:val="20"/>
        </w:rPr>
        <w:t>Pjesa e parë</w:t>
      </w:r>
    </w:p>
    <w:p w14:paraId="53ACA0D6" w14:textId="77777777" w:rsidR="0074067A" w:rsidRPr="00515F08" w:rsidRDefault="0074067A" w:rsidP="009E2624">
      <w:pPr>
        <w:pStyle w:val="ListParagraph"/>
        <w:numPr>
          <w:ilvl w:val="0"/>
          <w:numId w:val="2"/>
        </w:numPr>
        <w:spacing w:before="200" w:after="120"/>
        <w:rPr>
          <w:rFonts w:cs="Arial"/>
          <w:b/>
          <w:szCs w:val="20"/>
        </w:rPr>
      </w:pPr>
      <w:r>
        <w:rPr>
          <w:b/>
          <w:bCs/>
        </w:rPr>
        <w:t>INFORMACIONE TË PËRGJITHSHME</w:t>
      </w:r>
    </w:p>
    <w:tbl>
      <w:tblPr>
        <w:tblW w:w="5000" w:type="pct"/>
        <w:jc w:val="center"/>
        <w:tblLook w:val="01E0" w:firstRow="1" w:lastRow="1" w:firstColumn="1" w:lastColumn="1" w:noHBand="0" w:noVBand="0"/>
      </w:tblPr>
      <w:tblGrid>
        <w:gridCol w:w="3937"/>
        <w:gridCol w:w="5959"/>
      </w:tblGrid>
      <w:tr w:rsidR="0098031C" w:rsidRPr="00515F08" w14:paraId="29961B68" w14:textId="77777777" w:rsidTr="00EB222A">
        <w:trPr>
          <w:trHeight w:val="346"/>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20A3066A" w14:textId="1EBF1EC9" w:rsidR="0098031C" w:rsidRPr="00515F08" w:rsidRDefault="00BE75F9" w:rsidP="0074067A">
            <w:pPr>
              <w:spacing w:before="60" w:after="60" w:line="260" w:lineRule="atLeast"/>
              <w:rPr>
                <w:rFonts w:ascii="Arial" w:hAnsi="Arial" w:cs="Arial"/>
                <w:b/>
                <w:bCs/>
                <w:sz w:val="20"/>
                <w:szCs w:val="20"/>
              </w:rPr>
            </w:pPr>
            <w:r>
              <w:rPr>
                <w:rFonts w:ascii="Arial" w:hAnsi="Arial"/>
                <w:b/>
                <w:sz w:val="20"/>
              </w:rPr>
              <w:t>Titulli i projektit</w:t>
            </w:r>
          </w:p>
        </w:tc>
        <w:tc>
          <w:tcPr>
            <w:tcW w:w="3011" w:type="pct"/>
            <w:tcBorders>
              <w:top w:val="single" w:sz="4" w:space="0" w:color="auto"/>
              <w:left w:val="single" w:sz="4" w:space="0" w:color="auto"/>
              <w:bottom w:val="single" w:sz="4" w:space="0" w:color="auto"/>
              <w:right w:val="single" w:sz="4" w:space="0" w:color="auto"/>
            </w:tcBorders>
            <w:vAlign w:val="center"/>
          </w:tcPr>
          <w:p w14:paraId="2939CDBA" w14:textId="13F6CE11" w:rsidR="0098031C" w:rsidRPr="00604247" w:rsidRDefault="0098031C" w:rsidP="005040D9">
            <w:pPr>
              <w:spacing w:before="60" w:after="60" w:line="260" w:lineRule="atLeast"/>
              <w:rPr>
                <w:rFonts w:ascii="Arial" w:hAnsi="Arial" w:cs="Arial"/>
                <w:sz w:val="20"/>
                <w:szCs w:val="20"/>
              </w:rPr>
            </w:pPr>
            <w:r>
              <w:rPr>
                <w:rFonts w:ascii="Arial" w:hAnsi="Arial"/>
                <w:sz w:val="20"/>
              </w:rPr>
              <w:t>Reduktimi i emetimeve të dioksidit të sulfurit (SO</w:t>
            </w:r>
            <w:r>
              <w:rPr>
                <w:rFonts w:ascii="Arial" w:hAnsi="Arial"/>
                <w:sz w:val="20"/>
                <w:vertAlign w:val="subscript"/>
              </w:rPr>
              <w:t>2</w:t>
            </w:r>
            <w:r>
              <w:rPr>
                <w:rFonts w:ascii="Arial" w:hAnsi="Arial"/>
                <w:sz w:val="20"/>
              </w:rPr>
              <w:t>) nga TC Kosova B (B1&amp;B2)</w:t>
            </w:r>
          </w:p>
        </w:tc>
      </w:tr>
      <w:tr w:rsidR="0098031C" w:rsidRPr="00515F08" w14:paraId="0185118E" w14:textId="77777777" w:rsidTr="00EB222A">
        <w:trPr>
          <w:trHeight w:val="330"/>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7EA63F84" w14:textId="77777777" w:rsidR="0098031C" w:rsidRPr="00515F08" w:rsidRDefault="0098031C" w:rsidP="0074067A">
            <w:pPr>
              <w:spacing w:before="60" w:after="60" w:line="260" w:lineRule="atLeast"/>
              <w:rPr>
                <w:rFonts w:ascii="Arial" w:hAnsi="Arial" w:cs="Arial"/>
                <w:bCs/>
                <w:sz w:val="20"/>
                <w:szCs w:val="20"/>
              </w:rPr>
            </w:pPr>
            <w:r>
              <w:rPr>
                <w:rFonts w:ascii="Arial" w:hAnsi="Arial"/>
                <w:sz w:val="20"/>
              </w:rPr>
              <w:t>Sektori</w:t>
            </w:r>
          </w:p>
        </w:tc>
        <w:tc>
          <w:tcPr>
            <w:tcW w:w="3011" w:type="pct"/>
            <w:tcBorders>
              <w:top w:val="single" w:sz="4" w:space="0" w:color="auto"/>
              <w:left w:val="single" w:sz="4" w:space="0" w:color="auto"/>
              <w:bottom w:val="single" w:sz="4" w:space="0" w:color="auto"/>
              <w:right w:val="single" w:sz="4" w:space="0" w:color="auto"/>
            </w:tcBorders>
            <w:vAlign w:val="center"/>
          </w:tcPr>
          <w:p w14:paraId="4ADFA9E2" w14:textId="12E8758F" w:rsidR="0098031C" w:rsidRPr="00515F08" w:rsidRDefault="0098031C" w:rsidP="005040D9">
            <w:pPr>
              <w:spacing w:before="60" w:after="60" w:line="260" w:lineRule="atLeast"/>
              <w:rPr>
                <w:rFonts w:ascii="Arial" w:hAnsi="Arial" w:cs="Arial"/>
                <w:sz w:val="20"/>
                <w:szCs w:val="20"/>
              </w:rPr>
            </w:pPr>
            <w:r>
              <w:rPr>
                <w:rFonts w:ascii="Arial" w:hAnsi="Arial"/>
                <w:sz w:val="20"/>
              </w:rPr>
              <w:t>Prodhimi i Energjisë</w:t>
            </w:r>
          </w:p>
        </w:tc>
      </w:tr>
      <w:tr w:rsidR="0098031C" w:rsidRPr="00515F08" w14:paraId="0DB680F4" w14:textId="77777777" w:rsidTr="00EB222A">
        <w:trPr>
          <w:trHeight w:val="330"/>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68FF2EE1" w14:textId="1A2640A9" w:rsidR="0098031C" w:rsidRPr="00515F08" w:rsidRDefault="0098031C" w:rsidP="0074067A">
            <w:pPr>
              <w:spacing w:before="60" w:after="60" w:line="260" w:lineRule="atLeast"/>
              <w:rPr>
                <w:rFonts w:ascii="Arial" w:hAnsi="Arial" w:cs="Arial"/>
                <w:bCs/>
                <w:sz w:val="20"/>
                <w:szCs w:val="20"/>
              </w:rPr>
            </w:pPr>
            <w:r>
              <w:rPr>
                <w:rFonts w:ascii="Arial" w:hAnsi="Arial"/>
                <w:sz w:val="20"/>
              </w:rPr>
              <w:t>Përfituesi</w:t>
            </w:r>
            <w:r w:rsidR="00BE75F9">
              <w:rPr>
                <w:rFonts w:ascii="Arial" w:hAnsi="Arial"/>
                <w:sz w:val="20"/>
              </w:rPr>
              <w:t>/propozuesi kryesor i projektit</w:t>
            </w:r>
          </w:p>
        </w:tc>
        <w:tc>
          <w:tcPr>
            <w:tcW w:w="3011" w:type="pct"/>
            <w:tcBorders>
              <w:top w:val="single" w:sz="4" w:space="0" w:color="auto"/>
              <w:left w:val="single" w:sz="4" w:space="0" w:color="auto"/>
              <w:bottom w:val="single" w:sz="4" w:space="0" w:color="auto"/>
              <w:right w:val="single" w:sz="4" w:space="0" w:color="auto"/>
            </w:tcBorders>
            <w:vAlign w:val="center"/>
          </w:tcPr>
          <w:p w14:paraId="20B653B8" w14:textId="0476C373" w:rsidR="0098031C" w:rsidRPr="00515F08" w:rsidRDefault="002C4558" w:rsidP="005040D9">
            <w:pPr>
              <w:spacing w:before="60" w:after="60" w:line="260" w:lineRule="atLeast"/>
              <w:rPr>
                <w:rFonts w:ascii="Arial" w:hAnsi="Arial" w:cs="Arial"/>
                <w:sz w:val="20"/>
                <w:szCs w:val="20"/>
              </w:rPr>
            </w:pPr>
            <w:r>
              <w:rPr>
                <w:rFonts w:ascii="Arial" w:hAnsi="Arial"/>
                <w:sz w:val="20"/>
              </w:rPr>
              <w:t>Ministria e Ekonomisë / Korporata Energjetike e Kosovës - KEK Sh.A</w:t>
            </w:r>
          </w:p>
        </w:tc>
      </w:tr>
      <w:tr w:rsidR="0098031C" w:rsidRPr="00515F08" w14:paraId="564FDD97" w14:textId="77777777" w:rsidTr="00EB222A">
        <w:trPr>
          <w:trHeight w:val="330"/>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041BF753" w14:textId="77777777" w:rsidR="0098031C" w:rsidRPr="00515F08" w:rsidRDefault="0098031C" w:rsidP="0074067A">
            <w:pPr>
              <w:spacing w:before="60" w:after="60" w:line="260" w:lineRule="atLeast"/>
              <w:rPr>
                <w:rFonts w:ascii="Arial" w:hAnsi="Arial" w:cs="Arial"/>
                <w:bCs/>
                <w:sz w:val="20"/>
                <w:szCs w:val="20"/>
              </w:rPr>
            </w:pPr>
            <w:r>
              <w:rPr>
                <w:rFonts w:ascii="Arial" w:hAnsi="Arial"/>
                <w:sz w:val="20"/>
              </w:rPr>
              <w:t>Institucioni që është autor i propozimit të projektit</w:t>
            </w:r>
          </w:p>
        </w:tc>
        <w:tc>
          <w:tcPr>
            <w:tcW w:w="3011" w:type="pct"/>
            <w:tcBorders>
              <w:top w:val="single" w:sz="4" w:space="0" w:color="auto"/>
              <w:left w:val="single" w:sz="4" w:space="0" w:color="auto"/>
              <w:bottom w:val="single" w:sz="4" w:space="0" w:color="auto"/>
              <w:right w:val="single" w:sz="4" w:space="0" w:color="auto"/>
            </w:tcBorders>
            <w:vAlign w:val="center"/>
          </w:tcPr>
          <w:p w14:paraId="3FEBDB7B" w14:textId="05A631CD" w:rsidR="0098031C" w:rsidRPr="00515F08" w:rsidRDefault="0098031C" w:rsidP="005040D9">
            <w:pPr>
              <w:spacing w:before="60" w:after="60" w:line="260" w:lineRule="atLeast"/>
              <w:rPr>
                <w:rFonts w:ascii="Arial" w:hAnsi="Arial" w:cs="Arial"/>
                <w:sz w:val="20"/>
                <w:szCs w:val="20"/>
              </w:rPr>
            </w:pPr>
            <w:r>
              <w:rPr>
                <w:rFonts w:ascii="Arial" w:hAnsi="Arial"/>
                <w:sz w:val="20"/>
              </w:rPr>
              <w:t>Korporata Energjetike e Kosovës - KEK Sh.A</w:t>
            </w:r>
          </w:p>
        </w:tc>
      </w:tr>
      <w:tr w:rsidR="0098031C" w:rsidRPr="00515F08" w14:paraId="13DE51FD" w14:textId="77777777" w:rsidTr="00EB222A">
        <w:trPr>
          <w:trHeight w:val="330"/>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50F4D6E0" w14:textId="77777777" w:rsidR="0098031C" w:rsidRPr="00515F08" w:rsidRDefault="0098031C" w:rsidP="0074067A">
            <w:pPr>
              <w:spacing w:before="60" w:after="60" w:line="260" w:lineRule="atLeast"/>
              <w:rPr>
                <w:rFonts w:ascii="Arial" w:hAnsi="Arial" w:cs="Arial"/>
                <w:bCs/>
                <w:sz w:val="20"/>
                <w:szCs w:val="20"/>
              </w:rPr>
            </w:pPr>
            <w:r>
              <w:rPr>
                <w:rFonts w:ascii="Arial" w:hAnsi="Arial"/>
                <w:sz w:val="20"/>
              </w:rPr>
              <w:t>Vendndodhja/Harta</w:t>
            </w:r>
          </w:p>
        </w:tc>
        <w:tc>
          <w:tcPr>
            <w:tcW w:w="3011" w:type="pct"/>
            <w:tcBorders>
              <w:top w:val="single" w:sz="4" w:space="0" w:color="auto"/>
              <w:left w:val="single" w:sz="4" w:space="0" w:color="auto"/>
              <w:bottom w:val="single" w:sz="4" w:space="0" w:color="auto"/>
              <w:right w:val="single" w:sz="4" w:space="0" w:color="auto"/>
            </w:tcBorders>
            <w:vAlign w:val="center"/>
          </w:tcPr>
          <w:p w14:paraId="5BE4343A" w14:textId="77777777" w:rsidR="0098031C" w:rsidRPr="00515F08" w:rsidRDefault="00A43076" w:rsidP="005040D9">
            <w:pPr>
              <w:keepNext/>
              <w:spacing w:before="60" w:after="60" w:line="260" w:lineRule="atLeast"/>
              <w:jc w:val="center"/>
              <w:rPr>
                <w:rFonts w:ascii="Arial" w:hAnsi="Arial" w:cs="Arial"/>
                <w:sz w:val="20"/>
                <w:szCs w:val="20"/>
              </w:rPr>
            </w:pPr>
            <w:r>
              <w:rPr>
                <w:rFonts w:ascii="Arial" w:hAnsi="Arial"/>
                <w:noProof/>
                <w:sz w:val="20"/>
                <w:lang w:val="en-US"/>
              </w:rPr>
              <w:drawing>
                <wp:inline distT="0" distB="0" distL="0" distR="0" wp14:anchorId="00A11010" wp14:editId="3DF1ECE3">
                  <wp:extent cx="3036570" cy="2216785"/>
                  <wp:effectExtent l="19050" t="19050" r="11430" b="1206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942" t="1315" r="970" b="2612"/>
                          <a:stretch>
                            <a:fillRect/>
                          </a:stretch>
                        </pic:blipFill>
                        <pic:spPr bwMode="auto">
                          <a:xfrm>
                            <a:off x="0" y="0"/>
                            <a:ext cx="3036570" cy="2216785"/>
                          </a:xfrm>
                          <a:prstGeom prst="rect">
                            <a:avLst/>
                          </a:prstGeom>
                          <a:noFill/>
                          <a:ln w="6350" cmpd="sng">
                            <a:solidFill>
                              <a:srgbClr val="000000"/>
                            </a:solidFill>
                            <a:miter lim="800000"/>
                            <a:headEnd/>
                            <a:tailEnd/>
                          </a:ln>
                          <a:effectLst/>
                        </pic:spPr>
                      </pic:pic>
                    </a:graphicData>
                  </a:graphic>
                </wp:inline>
              </w:drawing>
            </w:r>
          </w:p>
          <w:p w14:paraId="5CB481A4" w14:textId="77777777" w:rsidR="0098031C" w:rsidRPr="00515F08" w:rsidRDefault="0098031C" w:rsidP="00A96A22">
            <w:pPr>
              <w:spacing w:before="60" w:after="60" w:line="260" w:lineRule="atLeast"/>
              <w:jc w:val="center"/>
              <w:rPr>
                <w:rFonts w:ascii="Arial" w:hAnsi="Arial" w:cs="Arial"/>
                <w:b/>
                <w:sz w:val="20"/>
                <w:szCs w:val="20"/>
              </w:rPr>
            </w:pPr>
            <w:r>
              <w:rPr>
                <w:rFonts w:ascii="Arial" w:hAnsi="Arial"/>
                <w:b/>
                <w:sz w:val="20"/>
              </w:rPr>
              <w:t xml:space="preserve">Figura </w:t>
            </w:r>
            <w:r w:rsidR="00766EFF" w:rsidRPr="00515F08">
              <w:rPr>
                <w:rFonts w:ascii="Arial" w:hAnsi="Arial" w:cs="Arial"/>
                <w:b/>
                <w:sz w:val="20"/>
              </w:rPr>
              <w:fldChar w:fldCharType="begin"/>
            </w:r>
            <w:r w:rsidRPr="00515F08">
              <w:rPr>
                <w:rFonts w:ascii="Arial" w:hAnsi="Arial" w:cs="Arial"/>
                <w:b/>
                <w:sz w:val="20"/>
              </w:rPr>
              <w:instrText xml:space="preserve"> SEQ Figure \* ARABIC </w:instrText>
            </w:r>
            <w:r w:rsidR="00766EFF" w:rsidRPr="00515F08">
              <w:rPr>
                <w:rFonts w:ascii="Arial" w:hAnsi="Arial" w:cs="Arial"/>
                <w:b/>
                <w:sz w:val="20"/>
              </w:rPr>
              <w:fldChar w:fldCharType="separate"/>
            </w:r>
            <w:r w:rsidRPr="00515F08">
              <w:rPr>
                <w:rFonts w:ascii="Arial" w:hAnsi="Arial" w:cs="Arial"/>
                <w:b/>
                <w:sz w:val="20"/>
              </w:rPr>
              <w:t>1</w:t>
            </w:r>
            <w:r w:rsidR="00766EFF" w:rsidRPr="00515F08">
              <w:rPr>
                <w:rFonts w:ascii="Arial" w:hAnsi="Arial" w:cs="Arial"/>
                <w:b/>
                <w:sz w:val="20"/>
              </w:rPr>
              <w:fldChar w:fldCharType="end"/>
            </w:r>
            <w:r>
              <w:rPr>
                <w:rFonts w:ascii="Arial" w:hAnsi="Arial"/>
                <w:b/>
                <w:sz w:val="20"/>
              </w:rPr>
              <w:t xml:space="preserve"> – Harta e vendndodhjes: Zona e interesit, karakteristikat kryesore dhe objektet ekzistuese</w:t>
            </w:r>
          </w:p>
        </w:tc>
      </w:tr>
      <w:tr w:rsidR="0098031C" w:rsidRPr="00515F08" w14:paraId="0AA11994" w14:textId="77777777" w:rsidTr="00EB222A">
        <w:trPr>
          <w:trHeight w:val="330"/>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52FC0F7B" w14:textId="77777777" w:rsidR="0098031C" w:rsidRPr="00515F08" w:rsidRDefault="0098031C" w:rsidP="0074067A">
            <w:pPr>
              <w:spacing w:before="60" w:after="60" w:line="260" w:lineRule="atLeast"/>
              <w:rPr>
                <w:rFonts w:ascii="Arial" w:hAnsi="Arial" w:cs="Arial"/>
                <w:bCs/>
                <w:sz w:val="20"/>
                <w:szCs w:val="20"/>
              </w:rPr>
            </w:pPr>
            <w:r>
              <w:rPr>
                <w:rFonts w:ascii="Arial" w:hAnsi="Arial"/>
                <w:sz w:val="20"/>
              </w:rPr>
              <w:t>Investimi total i parashikuar:</w:t>
            </w:r>
          </w:p>
          <w:p w14:paraId="2AEAC0D8" w14:textId="77777777" w:rsidR="0098031C" w:rsidRPr="00515F08" w:rsidRDefault="0098031C" w:rsidP="009E2624">
            <w:pPr>
              <w:numPr>
                <w:ilvl w:val="0"/>
                <w:numId w:val="3"/>
              </w:numPr>
              <w:spacing w:before="60" w:after="60" w:line="260" w:lineRule="atLeast"/>
              <w:ind w:left="223" w:hanging="223"/>
              <w:rPr>
                <w:rFonts w:ascii="Arial" w:hAnsi="Arial" w:cs="Arial"/>
                <w:bCs/>
                <w:sz w:val="20"/>
                <w:szCs w:val="20"/>
              </w:rPr>
            </w:pPr>
            <w:r>
              <w:rPr>
                <w:rFonts w:ascii="Arial" w:hAnsi="Arial"/>
                <w:sz w:val="20"/>
              </w:rPr>
              <w:t xml:space="preserve">Aktivitetet përgatitore (dokumentacioni planifikues, dokumentacioni teknik, marrja e tokës etj.) </w:t>
            </w:r>
          </w:p>
          <w:p w14:paraId="0AF4EC2C" w14:textId="77777777" w:rsidR="0098031C" w:rsidRPr="00515F08" w:rsidRDefault="0098031C" w:rsidP="009E2624">
            <w:pPr>
              <w:numPr>
                <w:ilvl w:val="0"/>
                <w:numId w:val="3"/>
              </w:numPr>
              <w:spacing w:before="60" w:after="60" w:line="260" w:lineRule="atLeast"/>
              <w:ind w:left="223" w:hanging="223"/>
              <w:rPr>
                <w:rFonts w:ascii="Arial" w:hAnsi="Arial" w:cs="Arial"/>
                <w:bCs/>
                <w:sz w:val="20"/>
                <w:szCs w:val="20"/>
              </w:rPr>
            </w:pPr>
            <w:r>
              <w:rPr>
                <w:rFonts w:ascii="Arial" w:hAnsi="Arial"/>
                <w:sz w:val="20"/>
              </w:rPr>
              <w:t>Punimet ndërtimore</w:t>
            </w:r>
          </w:p>
          <w:p w14:paraId="71151552" w14:textId="77777777" w:rsidR="0098031C" w:rsidRPr="00515F08" w:rsidRDefault="0098031C" w:rsidP="009E2624">
            <w:pPr>
              <w:numPr>
                <w:ilvl w:val="0"/>
                <w:numId w:val="3"/>
              </w:numPr>
              <w:spacing w:before="60" w:after="60" w:line="260" w:lineRule="atLeast"/>
              <w:ind w:left="223" w:hanging="223"/>
              <w:rPr>
                <w:rFonts w:ascii="Arial" w:hAnsi="Arial" w:cs="Arial"/>
                <w:bCs/>
                <w:sz w:val="20"/>
                <w:szCs w:val="20"/>
              </w:rPr>
            </w:pPr>
            <w:r>
              <w:rPr>
                <w:rFonts w:ascii="Arial" w:hAnsi="Arial"/>
                <w:sz w:val="20"/>
              </w:rPr>
              <w:t xml:space="preserve">Mbikëqyrja </w:t>
            </w:r>
          </w:p>
        </w:tc>
        <w:tc>
          <w:tcPr>
            <w:tcW w:w="3011" w:type="pct"/>
            <w:tcBorders>
              <w:top w:val="single" w:sz="4" w:space="0" w:color="auto"/>
              <w:left w:val="single" w:sz="4" w:space="0" w:color="auto"/>
              <w:bottom w:val="single" w:sz="4" w:space="0" w:color="auto"/>
              <w:right w:val="single" w:sz="4" w:space="0" w:color="auto"/>
            </w:tcBorders>
            <w:vAlign w:val="center"/>
          </w:tcPr>
          <w:p w14:paraId="5CB52F24" w14:textId="6BD72726" w:rsidR="0098031C" w:rsidRPr="00604247" w:rsidRDefault="0098031C" w:rsidP="005040D9">
            <w:pPr>
              <w:spacing w:line="260" w:lineRule="atLeast"/>
              <w:rPr>
                <w:rFonts w:ascii="Arial" w:hAnsi="Arial" w:cs="Arial"/>
                <w:bCs/>
                <w:sz w:val="20"/>
                <w:szCs w:val="20"/>
                <w:lang w:val="en-US"/>
              </w:rPr>
            </w:pPr>
          </w:p>
          <w:p w14:paraId="2DDE56B7" w14:textId="77777777" w:rsidR="0098031C" w:rsidRPr="00604247" w:rsidRDefault="0098031C" w:rsidP="005040D9">
            <w:pPr>
              <w:spacing w:after="0" w:line="260" w:lineRule="atLeast"/>
              <w:rPr>
                <w:rFonts w:ascii="Arial" w:hAnsi="Arial" w:cs="Arial"/>
                <w:bCs/>
                <w:sz w:val="20"/>
                <w:szCs w:val="20"/>
              </w:rPr>
            </w:pPr>
            <w:r>
              <w:rPr>
                <w:rFonts w:ascii="Arial" w:hAnsi="Arial"/>
                <w:b/>
                <w:sz w:val="20"/>
              </w:rPr>
              <w:t>Investimi total i parashikuar: ……….  105,000,000 EUR</w:t>
            </w:r>
          </w:p>
          <w:p w14:paraId="1AFF703E" w14:textId="77777777" w:rsidR="00BD20EE" w:rsidRPr="00B944D4" w:rsidRDefault="00BD20EE" w:rsidP="00BD20EE">
            <w:pPr>
              <w:numPr>
                <w:ilvl w:val="0"/>
                <w:numId w:val="4"/>
              </w:numPr>
              <w:spacing w:after="0" w:line="220" w:lineRule="atLeast"/>
              <w:rPr>
                <w:rFonts w:ascii="Arial" w:hAnsi="Arial" w:cs="Arial"/>
                <w:bCs/>
                <w:sz w:val="20"/>
                <w:szCs w:val="20"/>
              </w:rPr>
            </w:pPr>
            <w:r>
              <w:rPr>
                <w:rFonts w:ascii="Arial" w:hAnsi="Arial"/>
                <w:sz w:val="20"/>
              </w:rPr>
              <w:t xml:space="preserve">TC B1 = 52.5 mil. EUR; </w:t>
            </w:r>
          </w:p>
          <w:p w14:paraId="5481C500" w14:textId="77777777" w:rsidR="00BD20EE" w:rsidRPr="00B944D4" w:rsidRDefault="00BD20EE" w:rsidP="00BD20EE">
            <w:pPr>
              <w:numPr>
                <w:ilvl w:val="0"/>
                <w:numId w:val="4"/>
              </w:numPr>
              <w:spacing w:after="0" w:line="220" w:lineRule="atLeast"/>
              <w:rPr>
                <w:rFonts w:ascii="Arial" w:hAnsi="Arial" w:cs="Arial"/>
                <w:bCs/>
                <w:sz w:val="20"/>
                <w:szCs w:val="20"/>
              </w:rPr>
            </w:pPr>
            <w:r>
              <w:rPr>
                <w:rFonts w:ascii="Arial" w:hAnsi="Arial"/>
                <w:sz w:val="20"/>
              </w:rPr>
              <w:t>TC B2 = 52.5 mil. EUR;</w:t>
            </w:r>
          </w:p>
          <w:p w14:paraId="68E0942B" w14:textId="77777777" w:rsidR="0098031C" w:rsidRPr="00515F08" w:rsidRDefault="0098031C" w:rsidP="005040D9">
            <w:pPr>
              <w:spacing w:before="60" w:after="60" w:line="260" w:lineRule="atLeast"/>
              <w:rPr>
                <w:rFonts w:ascii="Arial" w:hAnsi="Arial" w:cs="Arial"/>
                <w:sz w:val="20"/>
                <w:szCs w:val="20"/>
                <w:lang w:val="en-US"/>
              </w:rPr>
            </w:pPr>
          </w:p>
        </w:tc>
      </w:tr>
      <w:tr w:rsidR="0098031C" w:rsidRPr="00515F08" w14:paraId="62E70447" w14:textId="77777777" w:rsidTr="00EB222A">
        <w:trPr>
          <w:trHeight w:val="346"/>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615F0214" w14:textId="0620151E" w:rsidR="0098031C" w:rsidRPr="00515F08" w:rsidRDefault="0098031C" w:rsidP="0074067A">
            <w:pPr>
              <w:spacing w:before="60" w:after="60" w:line="260" w:lineRule="atLeast"/>
              <w:rPr>
                <w:rFonts w:ascii="Arial" w:hAnsi="Arial" w:cs="Arial"/>
                <w:b/>
                <w:sz w:val="20"/>
                <w:szCs w:val="20"/>
              </w:rPr>
            </w:pPr>
            <w:r>
              <w:rPr>
                <w:rFonts w:ascii="Arial" w:hAnsi="Arial"/>
                <w:b/>
                <w:sz w:val="20"/>
              </w:rPr>
              <w:t>Personi përgjegjës ose i</w:t>
            </w:r>
            <w:r w:rsidR="00BE75F9">
              <w:rPr>
                <w:rFonts w:ascii="Arial" w:hAnsi="Arial"/>
                <w:b/>
                <w:sz w:val="20"/>
              </w:rPr>
              <w:t xml:space="preserve"> autorizuar për kontakt</w:t>
            </w:r>
          </w:p>
        </w:tc>
        <w:tc>
          <w:tcPr>
            <w:tcW w:w="3011" w:type="pct"/>
            <w:tcBorders>
              <w:top w:val="single" w:sz="4" w:space="0" w:color="auto"/>
              <w:left w:val="single" w:sz="4" w:space="0" w:color="auto"/>
              <w:bottom w:val="single" w:sz="4" w:space="0" w:color="auto"/>
              <w:right w:val="single" w:sz="4" w:space="0" w:color="auto"/>
            </w:tcBorders>
            <w:shd w:val="clear" w:color="auto" w:fill="auto"/>
            <w:vAlign w:val="center"/>
          </w:tcPr>
          <w:p w14:paraId="14DFA5C4" w14:textId="77777777" w:rsidR="0098031C" w:rsidRPr="00894A10" w:rsidRDefault="003800E5" w:rsidP="00894A10">
            <w:pPr>
              <w:spacing w:before="60" w:after="60" w:line="260" w:lineRule="atLeast"/>
              <w:rPr>
                <w:rFonts w:ascii="Arial" w:hAnsi="Arial" w:cs="Arial"/>
                <w:b/>
                <w:sz w:val="20"/>
                <w:szCs w:val="20"/>
              </w:rPr>
            </w:pPr>
            <w:r>
              <w:rPr>
                <w:rFonts w:ascii="Arial" w:hAnsi="Arial"/>
                <w:sz w:val="20"/>
              </w:rPr>
              <w:t xml:space="preserve">Abedin Kabashi </w:t>
            </w:r>
          </w:p>
        </w:tc>
      </w:tr>
      <w:tr w:rsidR="0098031C" w:rsidRPr="00515F08" w14:paraId="0A5CBFA0" w14:textId="77777777" w:rsidTr="00EB222A">
        <w:trPr>
          <w:trHeight w:val="346"/>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539BFAD9" w14:textId="5A21C2B0" w:rsidR="0098031C" w:rsidRPr="00515F08" w:rsidRDefault="00BE75F9" w:rsidP="0074067A">
            <w:pPr>
              <w:spacing w:before="60" w:after="60" w:line="260" w:lineRule="atLeast"/>
              <w:rPr>
                <w:rFonts w:ascii="Arial" w:hAnsi="Arial" w:cs="Arial"/>
                <w:bCs/>
                <w:sz w:val="20"/>
                <w:szCs w:val="20"/>
              </w:rPr>
            </w:pPr>
            <w:r>
              <w:rPr>
                <w:rFonts w:ascii="Arial" w:hAnsi="Arial"/>
                <w:sz w:val="20"/>
              </w:rPr>
              <w:t>Emri – Pozita</w:t>
            </w:r>
          </w:p>
        </w:tc>
        <w:tc>
          <w:tcPr>
            <w:tcW w:w="3011" w:type="pct"/>
            <w:tcBorders>
              <w:top w:val="single" w:sz="4" w:space="0" w:color="auto"/>
              <w:left w:val="single" w:sz="4" w:space="0" w:color="auto"/>
              <w:bottom w:val="single" w:sz="4" w:space="0" w:color="auto"/>
              <w:right w:val="single" w:sz="4" w:space="0" w:color="auto"/>
            </w:tcBorders>
            <w:vAlign w:val="center"/>
          </w:tcPr>
          <w:p w14:paraId="21F3359E" w14:textId="77777777" w:rsidR="0098031C" w:rsidRPr="00894A10" w:rsidRDefault="00B944D4" w:rsidP="00B944D4">
            <w:pPr>
              <w:spacing w:before="60" w:after="60" w:line="260" w:lineRule="atLeast"/>
              <w:rPr>
                <w:rFonts w:ascii="Arial" w:hAnsi="Arial" w:cs="Arial"/>
                <w:sz w:val="20"/>
                <w:szCs w:val="20"/>
              </w:rPr>
            </w:pPr>
            <w:r>
              <w:rPr>
                <w:rFonts w:ascii="Arial" w:hAnsi="Arial"/>
                <w:sz w:val="20"/>
              </w:rPr>
              <w:t>Menaxher i Departamentit të Inxhinierisë – TC B</w:t>
            </w:r>
          </w:p>
        </w:tc>
      </w:tr>
      <w:tr w:rsidR="0098031C" w:rsidRPr="00894A10" w14:paraId="716BC579" w14:textId="77777777" w:rsidTr="00EB222A">
        <w:trPr>
          <w:trHeight w:val="346"/>
          <w:jc w:val="center"/>
        </w:trPr>
        <w:tc>
          <w:tcPr>
            <w:tcW w:w="1989" w:type="pct"/>
            <w:tcBorders>
              <w:top w:val="single" w:sz="4" w:space="0" w:color="auto"/>
              <w:left w:val="single" w:sz="4" w:space="0" w:color="auto"/>
              <w:bottom w:val="single" w:sz="4" w:space="0" w:color="auto"/>
              <w:right w:val="single" w:sz="4" w:space="0" w:color="auto"/>
            </w:tcBorders>
            <w:shd w:val="clear" w:color="auto" w:fill="D9D9D9"/>
            <w:vAlign w:val="center"/>
          </w:tcPr>
          <w:p w14:paraId="23300CB5" w14:textId="4ED3CB88" w:rsidR="0098031C" w:rsidRPr="00515F08" w:rsidRDefault="00BE75F9" w:rsidP="0074067A">
            <w:pPr>
              <w:spacing w:before="60" w:after="60" w:line="260" w:lineRule="atLeast"/>
              <w:rPr>
                <w:rFonts w:ascii="Arial" w:hAnsi="Arial" w:cs="Arial"/>
                <w:bCs/>
                <w:sz w:val="20"/>
                <w:szCs w:val="20"/>
              </w:rPr>
            </w:pPr>
            <w:r>
              <w:rPr>
                <w:rFonts w:ascii="Arial" w:hAnsi="Arial"/>
                <w:sz w:val="20"/>
              </w:rPr>
              <w:t>Adresa e emailit - Telefoni</w:t>
            </w:r>
          </w:p>
        </w:tc>
        <w:tc>
          <w:tcPr>
            <w:tcW w:w="3011" w:type="pct"/>
            <w:tcBorders>
              <w:top w:val="single" w:sz="4" w:space="0" w:color="auto"/>
              <w:left w:val="single" w:sz="4" w:space="0" w:color="auto"/>
              <w:bottom w:val="single" w:sz="4" w:space="0" w:color="auto"/>
              <w:right w:val="single" w:sz="4" w:space="0" w:color="auto"/>
            </w:tcBorders>
            <w:vAlign w:val="center"/>
          </w:tcPr>
          <w:p w14:paraId="05643C59" w14:textId="0953DB3E" w:rsidR="0098031C" w:rsidRPr="00894A10" w:rsidRDefault="00CF66D7" w:rsidP="00B944D4">
            <w:pPr>
              <w:spacing w:before="60" w:after="60" w:line="260" w:lineRule="atLeast"/>
              <w:rPr>
                <w:rFonts w:ascii="Arial" w:hAnsi="Arial" w:cs="Arial"/>
                <w:sz w:val="20"/>
                <w:szCs w:val="20"/>
              </w:rPr>
            </w:pPr>
            <w:hyperlink r:id="rId9" w:history="1">
              <w:r w:rsidR="00770F2D">
                <w:rPr>
                  <w:rStyle w:val="Hyperlink"/>
                  <w:rFonts w:ascii="Arial" w:hAnsi="Arial"/>
                  <w:sz w:val="20"/>
                </w:rPr>
                <w:t>abedin.kabashi@kek-energy.com</w:t>
              </w:r>
            </w:hyperlink>
            <w:r w:rsidR="00770F2D">
              <w:rPr>
                <w:rFonts w:ascii="Arial" w:hAnsi="Arial"/>
                <w:sz w:val="20"/>
              </w:rPr>
              <w:t>; +383 (45) 898 934</w:t>
            </w:r>
          </w:p>
        </w:tc>
      </w:tr>
    </w:tbl>
    <w:p w14:paraId="4E839410" w14:textId="77777777" w:rsidR="0074067A" w:rsidRPr="00515F08" w:rsidRDefault="0074067A" w:rsidP="0074067A">
      <w:pPr>
        <w:pStyle w:val="ListParagraph"/>
        <w:spacing w:before="200" w:after="120"/>
        <w:ind w:left="340"/>
        <w:jc w:val="both"/>
        <w:rPr>
          <w:rFonts w:cs="Arial"/>
          <w:b/>
          <w:szCs w:val="20"/>
          <w:lang w:val="sr-Cyrl-CS"/>
        </w:rPr>
      </w:pPr>
    </w:p>
    <w:p w14:paraId="28D4133D" w14:textId="77777777" w:rsidR="0083451C" w:rsidRPr="00515F08" w:rsidRDefault="0074067A" w:rsidP="009E2624">
      <w:pPr>
        <w:pStyle w:val="ListParagraph"/>
        <w:numPr>
          <w:ilvl w:val="0"/>
          <w:numId w:val="2"/>
        </w:numPr>
        <w:spacing w:before="200" w:after="120"/>
        <w:jc w:val="both"/>
        <w:rPr>
          <w:rFonts w:cs="Arial"/>
          <w:b/>
          <w:szCs w:val="20"/>
        </w:rPr>
      </w:pPr>
      <w:r>
        <w:rPr>
          <w:b/>
        </w:rPr>
        <w:t>PËRSHKRIMI I PROJEKTIT</w:t>
      </w:r>
    </w:p>
    <w:tbl>
      <w:tblPr>
        <w:tblW w:w="5000" w:type="pct"/>
        <w:tblLook w:val="01E0" w:firstRow="1" w:lastRow="1" w:firstColumn="1" w:lastColumn="1" w:noHBand="0" w:noVBand="0"/>
      </w:tblPr>
      <w:tblGrid>
        <w:gridCol w:w="3685"/>
        <w:gridCol w:w="6211"/>
      </w:tblGrid>
      <w:tr w:rsidR="0098031C" w:rsidRPr="00515F08" w14:paraId="0030CC82" w14:textId="77777777" w:rsidTr="0098031C">
        <w:trPr>
          <w:trHeight w:val="346"/>
        </w:trPr>
        <w:tc>
          <w:tcPr>
            <w:tcW w:w="1862" w:type="pct"/>
            <w:tcBorders>
              <w:top w:val="single" w:sz="4" w:space="0" w:color="auto"/>
              <w:left w:val="single" w:sz="4" w:space="0" w:color="auto"/>
              <w:bottom w:val="single" w:sz="4" w:space="0" w:color="auto"/>
              <w:right w:val="single" w:sz="4" w:space="0" w:color="auto"/>
            </w:tcBorders>
            <w:shd w:val="clear" w:color="auto" w:fill="D9D9D9"/>
            <w:vAlign w:val="center"/>
          </w:tcPr>
          <w:p w14:paraId="6AF2D470" w14:textId="77777777" w:rsidR="0098031C" w:rsidRPr="00515F08" w:rsidRDefault="0098031C" w:rsidP="0074067A">
            <w:pPr>
              <w:spacing w:before="60" w:after="60" w:line="260" w:lineRule="atLeast"/>
              <w:rPr>
                <w:rFonts w:ascii="Arial" w:hAnsi="Arial" w:cs="Arial"/>
                <w:bCs/>
                <w:sz w:val="20"/>
                <w:szCs w:val="20"/>
              </w:rPr>
            </w:pPr>
            <w:r>
              <w:rPr>
                <w:rFonts w:ascii="Arial" w:hAnsi="Arial"/>
                <w:sz w:val="20"/>
              </w:rPr>
              <w:t>Qëllimi i projektit infrastrukturor</w:t>
            </w:r>
          </w:p>
        </w:tc>
        <w:tc>
          <w:tcPr>
            <w:tcW w:w="3138" w:type="pct"/>
            <w:tcBorders>
              <w:top w:val="single" w:sz="4" w:space="0" w:color="auto"/>
              <w:left w:val="single" w:sz="4" w:space="0" w:color="auto"/>
              <w:bottom w:val="single" w:sz="4" w:space="0" w:color="auto"/>
              <w:right w:val="single" w:sz="4" w:space="0" w:color="auto"/>
            </w:tcBorders>
          </w:tcPr>
          <w:p w14:paraId="00CCBF42" w14:textId="7C31E99A" w:rsidR="003D5EA8" w:rsidRDefault="0098031C" w:rsidP="00A96A22">
            <w:pPr>
              <w:pStyle w:val="NoSpacing"/>
              <w:spacing w:before="120"/>
              <w:rPr>
                <w:rFonts w:ascii="Arial" w:hAnsi="Arial" w:cs="Arial"/>
                <w:sz w:val="20"/>
                <w:szCs w:val="20"/>
              </w:rPr>
            </w:pPr>
            <w:r>
              <w:rPr>
                <w:rFonts w:ascii="Arial" w:hAnsi="Arial"/>
                <w:sz w:val="20"/>
              </w:rPr>
              <w:t>Qëllimi i këtij projekti është përmirësimi i cilësisë së ajrit duke reduktuar ndotjen nga Termocentrali Kosova B (njësia B1 dhe B2). Projekti kryesisht përfshin reduktimin e emetimeve të SO</w:t>
            </w:r>
            <w:r>
              <w:rPr>
                <w:rFonts w:ascii="Arial" w:hAnsi="Arial"/>
                <w:sz w:val="20"/>
                <w:vertAlign w:val="subscript"/>
              </w:rPr>
              <w:t>2</w:t>
            </w:r>
            <w:r>
              <w:rPr>
                <w:rFonts w:ascii="Arial" w:hAnsi="Arial"/>
                <w:sz w:val="20"/>
              </w:rPr>
              <w:t>. Domethënë, objektivi i tij është të zvogëlojë emetimet e SO</w:t>
            </w:r>
            <w:r>
              <w:rPr>
                <w:rFonts w:ascii="Arial" w:hAnsi="Arial"/>
                <w:sz w:val="20"/>
                <w:vertAlign w:val="subscript"/>
              </w:rPr>
              <w:t>2</w:t>
            </w:r>
            <w:r>
              <w:rPr>
                <w:rFonts w:ascii="Arial" w:hAnsi="Arial"/>
                <w:sz w:val="20"/>
              </w:rPr>
              <w:t xml:space="preserve"> në 200 </w:t>
            </w:r>
            <w:r>
              <w:rPr>
                <w:rFonts w:ascii="Arial" w:hAnsi="Arial"/>
                <w:i/>
                <w:sz w:val="20"/>
              </w:rPr>
              <w:t>mg/Nm</w:t>
            </w:r>
            <w:r>
              <w:rPr>
                <w:rFonts w:ascii="Arial" w:hAnsi="Arial"/>
                <w:i/>
                <w:sz w:val="20"/>
                <w:vertAlign w:val="superscript"/>
              </w:rPr>
              <w:t>3</w:t>
            </w:r>
            <w:r>
              <w:rPr>
                <w:rFonts w:ascii="Arial" w:hAnsi="Arial"/>
                <w:sz w:val="20"/>
              </w:rPr>
              <w:t>.</w:t>
            </w:r>
            <w:r>
              <w:rPr>
                <w:rFonts w:ascii="Arial" w:hAnsi="Arial"/>
                <w:sz w:val="20"/>
              </w:rPr>
              <w:br/>
            </w:r>
          </w:p>
          <w:p w14:paraId="49D1F01D" w14:textId="607E2D60" w:rsidR="0098031C" w:rsidRPr="00515F08" w:rsidRDefault="0098031C" w:rsidP="00A96A22">
            <w:pPr>
              <w:pStyle w:val="NoSpacing"/>
              <w:spacing w:before="120"/>
              <w:rPr>
                <w:rFonts w:ascii="Arial" w:hAnsi="Arial" w:cs="Arial"/>
                <w:sz w:val="20"/>
                <w:szCs w:val="20"/>
              </w:rPr>
            </w:pPr>
            <w:r>
              <w:rPr>
                <w:rFonts w:ascii="Arial" w:hAnsi="Arial"/>
                <w:sz w:val="20"/>
              </w:rPr>
              <w:t xml:space="preserve">Krahas obligimeve që dalin nga direktivat e BE-së dhe ligjet dhe rregulloret kombëtare (shih seksionet më poshtë), mbrojtja e shëndetit publik paraqet prioritet të interesit kombëtar veçanërisht për ata që preken drejtpërdrejt nga funksionimi i centralit, në </w:t>
            </w:r>
            <w:r>
              <w:rPr>
                <w:rFonts w:ascii="Arial" w:hAnsi="Arial"/>
                <w:sz w:val="20"/>
              </w:rPr>
              <w:lastRenderedPageBreak/>
              <w:t>komunat e Obiliqit, Prishtinës, Fushë Kosovës, por nuk kufizohet edhe në zona të tjera.</w:t>
            </w:r>
          </w:p>
          <w:p w14:paraId="15F557AA" w14:textId="28E2FAAD" w:rsidR="0098031C" w:rsidRPr="00515F08" w:rsidRDefault="0098031C" w:rsidP="00A96A22">
            <w:pPr>
              <w:pStyle w:val="NoSpacing"/>
              <w:spacing w:before="120"/>
              <w:rPr>
                <w:rFonts w:ascii="Arial" w:hAnsi="Arial" w:cs="Arial"/>
                <w:sz w:val="20"/>
                <w:szCs w:val="20"/>
              </w:rPr>
            </w:pPr>
            <w:r>
              <w:rPr>
                <w:rFonts w:ascii="Arial" w:hAnsi="Arial"/>
                <w:sz w:val="20"/>
              </w:rPr>
              <w:t>Pajtueshmëria me parandalimin dhe kontrollin e integruar të ndotjes (PKIN) është gjithashtu një obligim i marrë përsipër nga Kosova sipas Traktatit të Komunitetit të Energjisë. Shtojca II e Traktatit përcakton 31 dhjetorin 2017 afatin përfundimtar për zbatimin e Direktivës për IDM për TC-të ekzistuese.</w:t>
            </w:r>
          </w:p>
        </w:tc>
      </w:tr>
      <w:tr w:rsidR="0098031C" w:rsidRPr="00515F08" w14:paraId="05EDB53B" w14:textId="77777777" w:rsidTr="0098031C">
        <w:trPr>
          <w:trHeight w:val="330"/>
        </w:trPr>
        <w:tc>
          <w:tcPr>
            <w:tcW w:w="1862" w:type="pct"/>
            <w:tcBorders>
              <w:top w:val="single" w:sz="4" w:space="0" w:color="auto"/>
              <w:left w:val="single" w:sz="4" w:space="0" w:color="auto"/>
              <w:bottom w:val="single" w:sz="4" w:space="0" w:color="auto"/>
              <w:right w:val="single" w:sz="4" w:space="0" w:color="auto"/>
            </w:tcBorders>
            <w:shd w:val="clear" w:color="auto" w:fill="D9D9D9"/>
            <w:vAlign w:val="center"/>
          </w:tcPr>
          <w:p w14:paraId="6B225018" w14:textId="77777777" w:rsidR="0098031C" w:rsidRPr="00515F08" w:rsidRDefault="0098031C" w:rsidP="0074067A">
            <w:pPr>
              <w:spacing w:before="60" w:after="60" w:line="260" w:lineRule="atLeast"/>
              <w:rPr>
                <w:rFonts w:ascii="Arial" w:hAnsi="Arial" w:cs="Arial"/>
                <w:bCs/>
                <w:sz w:val="20"/>
                <w:szCs w:val="20"/>
              </w:rPr>
            </w:pPr>
            <w:r>
              <w:rPr>
                <w:rFonts w:ascii="Arial" w:hAnsi="Arial"/>
                <w:sz w:val="20"/>
              </w:rPr>
              <w:lastRenderedPageBreak/>
              <w:t>Rezultatet e projektit infrastrukturor</w:t>
            </w:r>
          </w:p>
        </w:tc>
        <w:tc>
          <w:tcPr>
            <w:tcW w:w="3138" w:type="pct"/>
            <w:tcBorders>
              <w:top w:val="single" w:sz="4" w:space="0" w:color="auto"/>
              <w:left w:val="single" w:sz="4" w:space="0" w:color="auto"/>
              <w:bottom w:val="single" w:sz="4" w:space="0" w:color="auto"/>
              <w:right w:val="single" w:sz="4" w:space="0" w:color="auto"/>
            </w:tcBorders>
          </w:tcPr>
          <w:p w14:paraId="1E67A3C1" w14:textId="0F76EC23" w:rsidR="0098031C" w:rsidRPr="00515F08" w:rsidRDefault="0098031C" w:rsidP="00A96A22">
            <w:pPr>
              <w:spacing w:before="120" w:line="260" w:lineRule="atLeast"/>
              <w:rPr>
                <w:rFonts w:ascii="Arial" w:eastAsia="Calibri" w:hAnsi="Arial" w:cs="Arial"/>
                <w:sz w:val="20"/>
                <w:szCs w:val="20"/>
              </w:rPr>
            </w:pPr>
            <w:r>
              <w:rPr>
                <w:rFonts w:ascii="Arial" w:hAnsi="Arial"/>
                <w:sz w:val="20"/>
              </w:rPr>
              <w:t>Më poshtë janë rezultatet e pritshme të projektit për instalimin e DGG (Desulfurizimi i gazit të gripit) për reduktimin e emetimeve të SO</w:t>
            </w:r>
            <w:r>
              <w:rPr>
                <w:rFonts w:ascii="Arial" w:hAnsi="Arial"/>
                <w:sz w:val="20"/>
                <w:vertAlign w:val="subscript"/>
              </w:rPr>
              <w:t>2</w:t>
            </w:r>
            <w:r>
              <w:rPr>
                <w:rFonts w:ascii="Arial" w:hAnsi="Arial"/>
                <w:sz w:val="20"/>
              </w:rPr>
              <w:t xml:space="preserve"> (oksidet e sulfurit) nga TC Kosova B (B1 dhe B2):</w:t>
            </w:r>
          </w:p>
          <w:p w14:paraId="0901EEB8" w14:textId="77777777" w:rsidR="0098031C" w:rsidRPr="00515F08" w:rsidRDefault="0098031C" w:rsidP="009E2624">
            <w:pPr>
              <w:numPr>
                <w:ilvl w:val="0"/>
                <w:numId w:val="5"/>
              </w:numPr>
              <w:spacing w:before="120" w:after="0" w:line="260" w:lineRule="atLeast"/>
              <w:rPr>
                <w:rFonts w:ascii="Arial" w:eastAsia="Calibri" w:hAnsi="Arial" w:cs="Arial"/>
                <w:sz w:val="20"/>
                <w:szCs w:val="20"/>
              </w:rPr>
            </w:pPr>
            <w:r>
              <w:rPr>
                <w:rFonts w:ascii="Arial" w:hAnsi="Arial"/>
                <w:sz w:val="20"/>
              </w:rPr>
              <w:t>Reduktimi i emetimeve të SO</w:t>
            </w:r>
            <w:r>
              <w:rPr>
                <w:rFonts w:ascii="Arial" w:hAnsi="Arial"/>
                <w:sz w:val="20"/>
                <w:vertAlign w:val="subscript"/>
              </w:rPr>
              <w:t>2</w:t>
            </w:r>
            <w:r>
              <w:rPr>
                <w:rFonts w:ascii="Arial" w:hAnsi="Arial"/>
                <w:sz w:val="20"/>
              </w:rPr>
              <w:t xml:space="preserve"> siç parashikohet nga Direktiva 2010/75 / EU mbi emetimet industriale = 200 </w:t>
            </w:r>
            <w:r>
              <w:rPr>
                <w:rFonts w:ascii="Arial" w:hAnsi="Arial"/>
                <w:i/>
                <w:sz w:val="20"/>
              </w:rPr>
              <w:t>mg/Nm</w:t>
            </w:r>
            <w:r>
              <w:rPr>
                <w:rFonts w:ascii="Arial" w:hAnsi="Arial"/>
                <w:i/>
                <w:sz w:val="20"/>
                <w:vertAlign w:val="superscript"/>
              </w:rPr>
              <w:t>3</w:t>
            </w:r>
            <w:r>
              <w:rPr>
                <w:rFonts w:ascii="Arial" w:hAnsi="Arial"/>
                <w:sz w:val="20"/>
              </w:rPr>
              <w:t xml:space="preserve">, nga normat aktuale të larta të emetimeve marramendëse: (~ 360-680 </w:t>
            </w:r>
            <w:r>
              <w:rPr>
                <w:rFonts w:ascii="Arial" w:hAnsi="Arial"/>
                <w:i/>
                <w:sz w:val="20"/>
              </w:rPr>
              <w:t>mg/Nm</w:t>
            </w:r>
            <w:r>
              <w:rPr>
                <w:rFonts w:ascii="Arial" w:hAnsi="Arial"/>
                <w:i/>
                <w:sz w:val="20"/>
                <w:vertAlign w:val="superscript"/>
              </w:rPr>
              <w:t>3</w:t>
            </w:r>
            <w:r>
              <w:rPr>
                <w:rFonts w:ascii="Arial" w:hAnsi="Arial"/>
                <w:sz w:val="20"/>
              </w:rPr>
              <w:t>)</w:t>
            </w:r>
          </w:p>
          <w:p w14:paraId="2A2FC6E3" w14:textId="5FA97BCF" w:rsidR="0098031C" w:rsidRPr="00515F08" w:rsidRDefault="0098031C" w:rsidP="009E2624">
            <w:pPr>
              <w:numPr>
                <w:ilvl w:val="0"/>
                <w:numId w:val="5"/>
              </w:numPr>
              <w:spacing w:before="120" w:after="0" w:line="260" w:lineRule="atLeast"/>
              <w:rPr>
                <w:rFonts w:ascii="Arial" w:eastAsia="Calibri" w:hAnsi="Arial" w:cs="Arial"/>
                <w:color w:val="548DD4"/>
                <w:sz w:val="20"/>
                <w:szCs w:val="20"/>
              </w:rPr>
            </w:pPr>
            <w:r>
              <w:rPr>
                <w:rFonts w:ascii="Arial" w:hAnsi="Arial"/>
                <w:sz w:val="20"/>
              </w:rPr>
              <w:t>Përmirësimi i cilësisë së ajrit në mbarë Kosovën si përcaktues i shëndetit dhe mirëqenies së popullatës.</w:t>
            </w:r>
          </w:p>
        </w:tc>
      </w:tr>
      <w:tr w:rsidR="0098031C" w:rsidRPr="00515F08" w14:paraId="6AA30B16" w14:textId="77777777" w:rsidTr="0098031C">
        <w:trPr>
          <w:trHeight w:val="3772"/>
        </w:trPr>
        <w:tc>
          <w:tcPr>
            <w:tcW w:w="1862" w:type="pct"/>
            <w:tcBorders>
              <w:top w:val="single" w:sz="4" w:space="0" w:color="auto"/>
              <w:left w:val="single" w:sz="4" w:space="0" w:color="auto"/>
              <w:bottom w:val="single" w:sz="4" w:space="0" w:color="auto"/>
              <w:right w:val="single" w:sz="4" w:space="0" w:color="auto"/>
            </w:tcBorders>
            <w:shd w:val="clear" w:color="auto" w:fill="D9D9D9"/>
            <w:vAlign w:val="center"/>
          </w:tcPr>
          <w:p w14:paraId="0B4E45D8" w14:textId="28FEE5D9" w:rsidR="0098031C" w:rsidRPr="00515F08" w:rsidRDefault="00BD20EE" w:rsidP="00BD20EE">
            <w:pPr>
              <w:spacing w:before="60" w:after="60" w:line="260" w:lineRule="atLeast"/>
              <w:rPr>
                <w:rFonts w:ascii="Arial" w:hAnsi="Arial" w:cs="Arial"/>
                <w:bCs/>
                <w:sz w:val="20"/>
                <w:szCs w:val="20"/>
              </w:rPr>
            </w:pPr>
            <w:r>
              <w:rPr>
                <w:rFonts w:ascii="Arial" w:hAnsi="Arial"/>
                <w:sz w:val="20"/>
              </w:rPr>
              <w:t>Përshkrimi i përgjithshëm</w:t>
            </w:r>
          </w:p>
        </w:tc>
        <w:tc>
          <w:tcPr>
            <w:tcW w:w="3138" w:type="pct"/>
            <w:tcBorders>
              <w:top w:val="single" w:sz="4" w:space="0" w:color="auto"/>
              <w:left w:val="single" w:sz="4" w:space="0" w:color="auto"/>
              <w:bottom w:val="single" w:sz="4" w:space="0" w:color="auto"/>
              <w:right w:val="single" w:sz="4" w:space="0" w:color="auto"/>
            </w:tcBorders>
          </w:tcPr>
          <w:p w14:paraId="54DA25CA" w14:textId="599D2B51" w:rsidR="00892750" w:rsidRDefault="0098031C" w:rsidP="00A96A22">
            <w:pPr>
              <w:pStyle w:val="NoSpacing"/>
              <w:spacing w:before="120" w:after="120" w:line="276" w:lineRule="auto"/>
              <w:rPr>
                <w:rFonts w:ascii="Arial" w:hAnsi="Arial" w:cs="Arial"/>
                <w:sz w:val="20"/>
                <w:szCs w:val="20"/>
              </w:rPr>
            </w:pPr>
            <w:r>
              <w:rPr>
                <w:rFonts w:ascii="Arial" w:hAnsi="Arial"/>
                <w:sz w:val="20"/>
              </w:rPr>
              <w:t>Për shkak të gjendjes së vjetruar të TC Kosova B, kërkohet riparim i konsiderueshëm në njësitë aktuale B1 dhe B2, duke përfshirë instalimin e DGG-ve (</w:t>
            </w:r>
            <w:r>
              <w:rPr>
                <w:rFonts w:ascii="Arial" w:hAnsi="Arial"/>
                <w:i/>
                <w:iCs/>
                <w:sz w:val="20"/>
              </w:rPr>
              <w:t>desulfurizuesi</w:t>
            </w:r>
            <w:r>
              <w:rPr>
                <w:rFonts w:ascii="Arial" w:hAnsi="Arial"/>
                <w:sz w:val="20"/>
              </w:rPr>
              <w:t xml:space="preserve"> i gazit të gripit) për reduktimin e emetimit të oksideve të sulfurit. Sa i përket masave për mbrojtjen e mjedisit, KEK-u ka ndërmarrë një sërë aktivitetesh, si instalimi i sistemit hidraulik të transportit të hirit Kosova B në zonën e varfëruar të minierave të hapura të Mirashit. TC Kosova B aktualisht operon me faktor të reduktuar të ngarkesës në krahasim me projektin fillestar, d.m.th. shkalla e projektuar e faktorit të ngarkesës është 40%, megjithatë aktualisht operon me një shkallë të faktorit të ngarkesës prej 35%, që do të thotë se ndotja totale e centralit (për njësi masë e energjisë elektrike të prodhuar) është afërsisht 13% më e lartë në krahasim me funksionimin e projektuar fillimisht. Emetimet aktuale me SO</w:t>
            </w:r>
            <w:r>
              <w:rPr>
                <w:rFonts w:ascii="Arial" w:hAnsi="Arial"/>
                <w:sz w:val="20"/>
                <w:vertAlign w:val="subscript"/>
              </w:rPr>
              <w:t xml:space="preserve">2 </w:t>
            </w:r>
            <w:r>
              <w:rPr>
                <w:rFonts w:ascii="Arial" w:hAnsi="Arial"/>
                <w:sz w:val="20"/>
              </w:rPr>
              <w:t>në ajër nga TC Kosova B janë ~ 360-680 mg / Nm</w:t>
            </w:r>
            <w:r>
              <w:rPr>
                <w:rFonts w:ascii="Arial" w:hAnsi="Arial"/>
                <w:sz w:val="20"/>
                <w:vertAlign w:val="superscript"/>
              </w:rPr>
              <w:t>3</w:t>
            </w:r>
            <w:r>
              <w:rPr>
                <w:rFonts w:ascii="Arial" w:hAnsi="Arial"/>
                <w:sz w:val="20"/>
              </w:rPr>
              <w:t xml:space="preserve">, të cilat janë dukshëm mbi normat e lejuara të emetimeve të direktivave dhe rregulloreve mjedisore kombëtare dhe ndërkombëtare. </w:t>
            </w:r>
          </w:p>
          <w:p w14:paraId="4FE8AAAC" w14:textId="77777777" w:rsidR="0098031C" w:rsidRPr="00515F08" w:rsidRDefault="0098031C" w:rsidP="00A96A22">
            <w:pPr>
              <w:pStyle w:val="NoSpacing"/>
              <w:spacing w:before="120" w:after="120" w:line="276" w:lineRule="auto"/>
              <w:rPr>
                <w:rFonts w:ascii="Arial" w:hAnsi="Arial" w:cs="Arial"/>
                <w:sz w:val="20"/>
                <w:szCs w:val="20"/>
              </w:rPr>
            </w:pPr>
            <w:r>
              <w:rPr>
                <w:rFonts w:ascii="Arial" w:hAnsi="Arial"/>
                <w:sz w:val="20"/>
              </w:rPr>
              <w:t>Prandaj, për të arritur nivelet e lejuara të emetimeve të BE-së, KEK-u duhet të ndërmarrë hapa urgjent për instalimin e këtyre DGG-ve.</w:t>
            </w:r>
          </w:p>
          <w:p w14:paraId="2BE85EBA" w14:textId="77777777" w:rsidR="0098031C" w:rsidRPr="00515F08" w:rsidRDefault="0098031C" w:rsidP="00A96A22">
            <w:pPr>
              <w:pStyle w:val="NoSpacing"/>
              <w:spacing w:before="120" w:after="120" w:line="276" w:lineRule="auto"/>
              <w:rPr>
                <w:rFonts w:ascii="Arial" w:hAnsi="Arial" w:cs="Arial"/>
                <w:sz w:val="20"/>
                <w:szCs w:val="20"/>
              </w:rPr>
            </w:pPr>
            <w:r>
              <w:rPr>
                <w:rFonts w:ascii="Arial" w:hAnsi="Arial"/>
                <w:sz w:val="20"/>
              </w:rPr>
              <w:t>Në përputhje me ligjet mjedisore, KEK-u është i përkushtuar për përmirësimin e cilësisë së ajrit duke përdorur teknologjinë më të mirë të disponueshme (TMD).</w:t>
            </w:r>
          </w:p>
          <w:p w14:paraId="0C86E209" w14:textId="77777777" w:rsidR="0098031C" w:rsidRPr="00515F08" w:rsidRDefault="0098031C" w:rsidP="00A96A22">
            <w:pPr>
              <w:spacing w:before="120" w:after="120"/>
              <w:rPr>
                <w:rFonts w:ascii="Arial" w:hAnsi="Arial" w:cs="Arial"/>
                <w:sz w:val="20"/>
                <w:szCs w:val="20"/>
              </w:rPr>
            </w:pPr>
            <w:r>
              <w:rPr>
                <w:rFonts w:ascii="Arial" w:hAnsi="Arial"/>
                <w:sz w:val="20"/>
              </w:rPr>
              <w:t xml:space="preserve">Aktualisht, pas procesit të djegies së linjitit, gazrat e gripit trajtohen vetëm nga precipitatorët elektrostatikë aktualë/të vjetër, të cilët më pas emetohen drejtpërdrejt në ajër, për shkak të mungesës së pajisjeve të duhura për trajtimin e gazit si dioksidi, desulfurizimi dhe de-azoti. </w:t>
            </w:r>
          </w:p>
          <w:p w14:paraId="2D9A2C4B" w14:textId="0B42FBDD" w:rsidR="0098031C" w:rsidRPr="00515F08" w:rsidRDefault="0098031C" w:rsidP="00A96A22">
            <w:pPr>
              <w:spacing w:before="120" w:after="120"/>
              <w:rPr>
                <w:rFonts w:ascii="Arial" w:hAnsi="Arial" w:cs="Arial"/>
                <w:sz w:val="20"/>
                <w:szCs w:val="20"/>
              </w:rPr>
            </w:pPr>
            <w:r>
              <w:rPr>
                <w:rFonts w:ascii="Arial" w:hAnsi="Arial"/>
                <w:sz w:val="20"/>
              </w:rPr>
              <w:t>Rezultati i pritur për reduktimin e emetimeve të SO</w:t>
            </w:r>
            <w:r>
              <w:rPr>
                <w:rFonts w:ascii="Arial" w:hAnsi="Arial"/>
                <w:sz w:val="20"/>
                <w:vertAlign w:val="subscript"/>
              </w:rPr>
              <w:t>2</w:t>
            </w:r>
            <w:r>
              <w:rPr>
                <w:rFonts w:ascii="Arial" w:hAnsi="Arial"/>
                <w:sz w:val="20"/>
              </w:rPr>
              <w:t xml:space="preserve"> në TC Kosova B është paraparë të jetë në përputhje me Direktivën 2010/75 / EU për emetimet industriale, në një nivel të lejuar të emetimit të SO</w:t>
            </w:r>
            <w:r>
              <w:rPr>
                <w:rFonts w:ascii="Arial" w:hAnsi="Arial"/>
                <w:sz w:val="20"/>
                <w:vertAlign w:val="subscript"/>
              </w:rPr>
              <w:t>2</w:t>
            </w:r>
            <w:r>
              <w:rPr>
                <w:rFonts w:ascii="Arial" w:hAnsi="Arial"/>
                <w:sz w:val="20"/>
              </w:rPr>
              <w:t xml:space="preserve"> prej 200 mg/Nm</w:t>
            </w:r>
            <w:r>
              <w:rPr>
                <w:rFonts w:ascii="Arial" w:hAnsi="Arial"/>
                <w:sz w:val="20"/>
                <w:vertAlign w:val="superscript"/>
              </w:rPr>
              <w:t>3</w:t>
            </w:r>
            <w:r>
              <w:rPr>
                <w:rFonts w:ascii="Arial" w:hAnsi="Arial"/>
                <w:sz w:val="20"/>
              </w:rPr>
              <w:t xml:space="preserve">. </w:t>
            </w:r>
          </w:p>
          <w:p w14:paraId="0EA1F57E" w14:textId="77777777" w:rsidR="0098031C" w:rsidRPr="00515F08" w:rsidRDefault="0098031C" w:rsidP="00A96A22">
            <w:pPr>
              <w:spacing w:before="120"/>
              <w:rPr>
                <w:rFonts w:ascii="Arial" w:hAnsi="Arial" w:cs="Arial"/>
                <w:sz w:val="20"/>
                <w:szCs w:val="20"/>
              </w:rPr>
            </w:pPr>
            <w:r>
              <w:rPr>
                <w:rFonts w:ascii="Arial" w:hAnsi="Arial"/>
                <w:sz w:val="20"/>
              </w:rPr>
              <w:t>Për të arritur rezultate të tilla, çdo njësi (B1 dhe B2) do të ndërmarrë aktivitetet/hapat e mëposhtëm:</w:t>
            </w:r>
          </w:p>
          <w:p w14:paraId="765397BF" w14:textId="77777777" w:rsidR="0098031C" w:rsidRPr="007E2343" w:rsidRDefault="007E2343" w:rsidP="009E2624">
            <w:pPr>
              <w:numPr>
                <w:ilvl w:val="0"/>
                <w:numId w:val="6"/>
              </w:numPr>
              <w:spacing w:before="120" w:after="0" w:line="260" w:lineRule="atLeast"/>
              <w:ind w:left="526"/>
              <w:rPr>
                <w:rFonts w:ascii="Arial" w:hAnsi="Arial" w:cs="Arial"/>
                <w:bCs/>
                <w:sz w:val="20"/>
                <w:szCs w:val="20"/>
              </w:rPr>
            </w:pPr>
            <w:r>
              <w:rPr>
                <w:rFonts w:ascii="Arial" w:hAnsi="Arial"/>
                <w:sz w:val="20"/>
              </w:rPr>
              <w:t xml:space="preserve">Hapi i parë: Aktivitetet përgatitore (planifikimi dhe dokumentacioni teknik). Këto aktivitete do të vendosin kriteret </w:t>
            </w:r>
            <w:r>
              <w:rPr>
                <w:rFonts w:ascii="Arial" w:hAnsi="Arial"/>
                <w:sz w:val="20"/>
              </w:rPr>
              <w:lastRenderedPageBreak/>
              <w:t>e projektimit për teknologjinë e reduktimit të emetimeve të SO</w:t>
            </w:r>
            <w:r>
              <w:rPr>
                <w:rFonts w:ascii="Arial" w:hAnsi="Arial"/>
                <w:sz w:val="20"/>
                <w:vertAlign w:val="subscript"/>
              </w:rPr>
              <w:t>2</w:t>
            </w:r>
            <w:r>
              <w:rPr>
                <w:rFonts w:ascii="Arial" w:hAnsi="Arial"/>
                <w:sz w:val="20"/>
              </w:rPr>
              <w:t>.</w:t>
            </w:r>
            <w:r>
              <w:rPr>
                <w:rFonts w:ascii="Arial" w:hAnsi="Arial"/>
                <w:sz w:val="20"/>
              </w:rPr>
              <w:br/>
              <w:t>Viti i zbatimit: 2024-2025.</w:t>
            </w:r>
          </w:p>
          <w:p w14:paraId="7FF16455" w14:textId="6C4BD634" w:rsidR="0098031C" w:rsidRPr="00892750" w:rsidRDefault="007E2343" w:rsidP="00892750">
            <w:pPr>
              <w:numPr>
                <w:ilvl w:val="0"/>
                <w:numId w:val="6"/>
              </w:numPr>
              <w:spacing w:before="120" w:after="0" w:line="260" w:lineRule="atLeast"/>
              <w:ind w:left="526"/>
              <w:rPr>
                <w:rFonts w:ascii="Arial" w:hAnsi="Arial" w:cs="Arial"/>
                <w:bCs/>
                <w:sz w:val="20"/>
                <w:szCs w:val="20"/>
              </w:rPr>
            </w:pPr>
            <w:r>
              <w:rPr>
                <w:rFonts w:ascii="Arial" w:hAnsi="Arial"/>
                <w:sz w:val="20"/>
              </w:rPr>
              <w:t>Hapi i dytë: Instalimi dhe komisionimi i desulfurizimit të gazrave të gripit</w:t>
            </w:r>
            <w:r>
              <w:rPr>
                <w:rStyle w:val="apple-converted-space"/>
                <w:rFonts w:ascii="Arial" w:hAnsi="Arial"/>
                <w:sz w:val="20"/>
                <w:shd w:val="clear" w:color="auto" w:fill="FFFFFF"/>
              </w:rPr>
              <w:t> </w:t>
            </w:r>
            <w:r>
              <w:rPr>
                <w:rFonts w:ascii="Arial" w:hAnsi="Arial"/>
                <w:sz w:val="20"/>
              </w:rPr>
              <w:t>- DGG (De-SO</w:t>
            </w:r>
            <w:r>
              <w:rPr>
                <w:rFonts w:ascii="Arial" w:hAnsi="Arial"/>
                <w:sz w:val="20"/>
                <w:vertAlign w:val="subscript"/>
              </w:rPr>
              <w:t>2</w:t>
            </w:r>
            <w:r>
              <w:rPr>
                <w:rFonts w:ascii="Arial" w:hAnsi="Arial"/>
                <w:sz w:val="20"/>
              </w:rPr>
              <w:t>) në Kosovën B (B1&amp;B2) me performancë për reduktimin e emetimeve të oksidit të sulfurit (SO</w:t>
            </w:r>
            <w:r>
              <w:rPr>
                <w:rFonts w:ascii="Arial" w:hAnsi="Arial"/>
                <w:sz w:val="20"/>
                <w:vertAlign w:val="subscript"/>
              </w:rPr>
              <w:t>2</w:t>
            </w:r>
            <w:r>
              <w:rPr>
                <w:rFonts w:ascii="Arial" w:hAnsi="Arial"/>
                <w:sz w:val="20"/>
              </w:rPr>
              <w:t>) nën 200 mg / Nm</w:t>
            </w:r>
            <w:r>
              <w:rPr>
                <w:rFonts w:ascii="Arial" w:hAnsi="Arial"/>
                <w:sz w:val="20"/>
                <w:vertAlign w:val="superscript"/>
              </w:rPr>
              <w:t>3</w:t>
            </w:r>
            <w:r>
              <w:rPr>
                <w:rFonts w:ascii="Arial" w:hAnsi="Arial"/>
                <w:sz w:val="20"/>
              </w:rPr>
              <w:t xml:space="preserve"> (6% O2). </w:t>
            </w:r>
            <w:r>
              <w:rPr>
                <w:rFonts w:ascii="Arial" w:hAnsi="Arial"/>
                <w:sz w:val="20"/>
              </w:rPr>
              <w:br/>
              <w:t>Viti i zbatimit: 2026-2027</w:t>
            </w:r>
          </w:p>
        </w:tc>
      </w:tr>
    </w:tbl>
    <w:p w14:paraId="0BED2EBA" w14:textId="77777777" w:rsidR="0098031C" w:rsidRPr="00515F08" w:rsidRDefault="0098031C" w:rsidP="0098031C">
      <w:pPr>
        <w:pStyle w:val="ListParagraph"/>
        <w:spacing w:line="240" w:lineRule="auto"/>
        <w:ind w:left="340"/>
        <w:rPr>
          <w:rFonts w:cs="Arial"/>
          <w:b/>
          <w:szCs w:val="20"/>
        </w:rPr>
      </w:pPr>
    </w:p>
    <w:p w14:paraId="25263FFB" w14:textId="5938F8DE" w:rsidR="006F1611" w:rsidRPr="00515F08" w:rsidRDefault="00BE75F9" w:rsidP="009E2624">
      <w:pPr>
        <w:pStyle w:val="ListParagraph"/>
        <w:numPr>
          <w:ilvl w:val="0"/>
          <w:numId w:val="2"/>
        </w:numPr>
        <w:spacing w:line="240" w:lineRule="auto"/>
        <w:rPr>
          <w:rFonts w:cs="Arial"/>
          <w:b/>
          <w:szCs w:val="20"/>
        </w:rPr>
      </w:pPr>
      <w:r>
        <w:rPr>
          <w:b/>
        </w:rPr>
        <w:t>KUALIFIKUESHM</w:t>
      </w:r>
      <w:r w:rsidR="0074067A">
        <w:rPr>
          <w:b/>
        </w:rPr>
        <w:t>ËRIA</w:t>
      </w:r>
    </w:p>
    <w:tbl>
      <w:tblPr>
        <w:tblW w:w="4949" w:type="pct"/>
        <w:tblInd w:w="108" w:type="dxa"/>
        <w:tblLook w:val="01E0" w:firstRow="1" w:lastRow="1" w:firstColumn="1" w:lastColumn="1" w:noHBand="0" w:noVBand="0"/>
      </w:tblPr>
      <w:tblGrid>
        <w:gridCol w:w="3608"/>
        <w:gridCol w:w="6187"/>
      </w:tblGrid>
      <w:tr w:rsidR="0098031C" w:rsidRPr="00515F08" w14:paraId="47EE185C" w14:textId="77777777" w:rsidTr="0098031C">
        <w:trPr>
          <w:trHeight w:val="346"/>
        </w:trPr>
        <w:tc>
          <w:tcPr>
            <w:tcW w:w="1842" w:type="pct"/>
            <w:tcBorders>
              <w:top w:val="single" w:sz="4" w:space="0" w:color="auto"/>
              <w:left w:val="single" w:sz="4" w:space="0" w:color="auto"/>
              <w:bottom w:val="single" w:sz="4" w:space="0" w:color="auto"/>
              <w:right w:val="single" w:sz="4" w:space="0" w:color="auto"/>
            </w:tcBorders>
            <w:shd w:val="clear" w:color="auto" w:fill="D9D9D9"/>
            <w:vAlign w:val="center"/>
          </w:tcPr>
          <w:p w14:paraId="477152AE" w14:textId="01BF9635" w:rsidR="0098031C" w:rsidRPr="00515F08" w:rsidRDefault="00895BC5" w:rsidP="0074067A">
            <w:pPr>
              <w:spacing w:after="0" w:line="240" w:lineRule="auto"/>
              <w:rPr>
                <w:rFonts w:ascii="Arial" w:hAnsi="Arial" w:cs="Arial"/>
                <w:sz w:val="20"/>
                <w:szCs w:val="20"/>
              </w:rPr>
            </w:pPr>
            <w:r>
              <w:rPr>
                <w:rFonts w:ascii="Arial" w:hAnsi="Arial"/>
                <w:sz w:val="20"/>
              </w:rPr>
              <w:t>Koherenca</w:t>
            </w:r>
            <w:r w:rsidR="0098031C">
              <w:rPr>
                <w:rFonts w:ascii="Arial" w:hAnsi="Arial"/>
                <w:sz w:val="20"/>
              </w:rPr>
              <w:t xml:space="preserve"> me politikat dhe strategjitë e vlefshme të BE-së</w:t>
            </w:r>
          </w:p>
        </w:tc>
        <w:tc>
          <w:tcPr>
            <w:tcW w:w="3158" w:type="pct"/>
            <w:tcBorders>
              <w:top w:val="single" w:sz="4" w:space="0" w:color="auto"/>
              <w:left w:val="single" w:sz="4" w:space="0" w:color="auto"/>
              <w:bottom w:val="single" w:sz="4" w:space="0" w:color="auto"/>
              <w:right w:val="single" w:sz="4" w:space="0" w:color="auto"/>
            </w:tcBorders>
          </w:tcPr>
          <w:p w14:paraId="617DB686" w14:textId="77777777" w:rsidR="0098031C" w:rsidRPr="00515F08" w:rsidRDefault="0098031C" w:rsidP="002C4575">
            <w:pPr>
              <w:autoSpaceDE w:val="0"/>
              <w:autoSpaceDN w:val="0"/>
              <w:adjustRightInd w:val="0"/>
              <w:spacing w:after="0" w:line="240" w:lineRule="auto"/>
              <w:rPr>
                <w:rFonts w:ascii="Arial" w:hAnsi="Arial" w:cs="Arial"/>
                <w:i/>
                <w:sz w:val="20"/>
                <w:szCs w:val="20"/>
                <w:highlight w:val="lightGray"/>
                <w:lang w:val="en-US"/>
              </w:rPr>
            </w:pPr>
          </w:p>
          <w:p w14:paraId="2ED0204D" w14:textId="77777777" w:rsidR="0098031C" w:rsidRPr="00515F08" w:rsidRDefault="0098031C" w:rsidP="0059785E">
            <w:pPr>
              <w:autoSpaceDE w:val="0"/>
              <w:autoSpaceDN w:val="0"/>
              <w:adjustRightInd w:val="0"/>
              <w:spacing w:after="0" w:line="240" w:lineRule="auto"/>
              <w:rPr>
                <w:rFonts w:ascii="Arial" w:hAnsi="Arial" w:cs="Arial"/>
                <w:b/>
              </w:rPr>
            </w:pPr>
            <w:r>
              <w:rPr>
                <w:rFonts w:ascii="Arial" w:hAnsi="Arial"/>
                <w:b/>
              </w:rPr>
              <w:t>Direktiva 2008/50/EC për cilësinë e ajrit të ambientit</w:t>
            </w:r>
          </w:p>
          <w:p w14:paraId="0173F9DA" w14:textId="77777777" w:rsidR="0098031C" w:rsidRPr="00515F08" w:rsidRDefault="0098031C" w:rsidP="009E2624">
            <w:pPr>
              <w:numPr>
                <w:ilvl w:val="1"/>
                <w:numId w:val="7"/>
              </w:numPr>
              <w:autoSpaceDE w:val="0"/>
              <w:autoSpaceDN w:val="0"/>
              <w:adjustRightInd w:val="0"/>
              <w:spacing w:after="0" w:line="240" w:lineRule="auto"/>
              <w:ind w:left="806"/>
              <w:rPr>
                <w:rFonts w:ascii="Arial" w:hAnsi="Arial" w:cs="Arial"/>
                <w:sz w:val="20"/>
                <w:szCs w:val="20"/>
              </w:rPr>
            </w:pPr>
            <w:r>
              <w:rPr>
                <w:rFonts w:ascii="Arial" w:hAnsi="Arial"/>
                <w:sz w:val="20"/>
              </w:rPr>
              <w:t>Shtojca XI: Vlerat e limiteve për mbrojtjen e shëndetit të njeriut, B. Vlerat e limiteve</w:t>
            </w:r>
          </w:p>
          <w:tbl>
            <w:tblPr>
              <w:tblpPr w:leftFromText="180" w:rightFromText="180" w:vertAnchor="text" w:horzAnchor="page" w:tblpX="275"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0"/>
              <w:gridCol w:w="1704"/>
              <w:gridCol w:w="47"/>
              <w:gridCol w:w="1138"/>
              <w:gridCol w:w="628"/>
              <w:gridCol w:w="855"/>
            </w:tblGrid>
            <w:tr w:rsidR="0098031C" w:rsidRPr="00515F08" w14:paraId="55248230" w14:textId="77777777" w:rsidTr="0098031C">
              <w:trPr>
                <w:trHeight w:val="913"/>
              </w:trPr>
              <w:tc>
                <w:tcPr>
                  <w:tcW w:w="1180" w:type="dxa"/>
                  <w:vAlign w:val="center"/>
                </w:tcPr>
                <w:p w14:paraId="5944C56F" w14:textId="77777777" w:rsidR="0098031C" w:rsidRPr="00515F08" w:rsidRDefault="0098031C" w:rsidP="005040D9">
                  <w:pPr>
                    <w:rPr>
                      <w:rFonts w:ascii="Arial" w:eastAsia="EUAlbertina-Bold-Identity-H" w:hAnsi="Arial" w:cs="Arial"/>
                      <w:b/>
                      <w:bCs/>
                      <w:i/>
                      <w:sz w:val="20"/>
                      <w:szCs w:val="20"/>
                    </w:rPr>
                  </w:pPr>
                  <w:r>
                    <w:rPr>
                      <w:rFonts w:ascii="Arial" w:hAnsi="Arial"/>
                      <w:i/>
                      <w:sz w:val="20"/>
                    </w:rPr>
                    <w:t>Periudha mesatare</w:t>
                  </w:r>
                </w:p>
              </w:tc>
              <w:tc>
                <w:tcPr>
                  <w:tcW w:w="1704" w:type="dxa"/>
                  <w:vAlign w:val="center"/>
                </w:tcPr>
                <w:p w14:paraId="3E5717BB" w14:textId="77777777" w:rsidR="0098031C" w:rsidRPr="00515F08" w:rsidRDefault="0098031C" w:rsidP="005040D9">
                  <w:pPr>
                    <w:rPr>
                      <w:rFonts w:ascii="Arial" w:eastAsia="EUAlbertina-Bold-Identity-H" w:hAnsi="Arial" w:cs="Arial"/>
                      <w:b/>
                      <w:bCs/>
                      <w:i/>
                      <w:sz w:val="20"/>
                      <w:szCs w:val="20"/>
                    </w:rPr>
                  </w:pPr>
                  <w:r>
                    <w:rPr>
                      <w:rFonts w:ascii="Arial" w:hAnsi="Arial"/>
                      <w:i/>
                      <w:sz w:val="20"/>
                    </w:rPr>
                    <w:t>Vlera e limiteve</w:t>
                  </w:r>
                </w:p>
              </w:tc>
              <w:tc>
                <w:tcPr>
                  <w:tcW w:w="1185" w:type="dxa"/>
                  <w:gridSpan w:val="2"/>
                  <w:vAlign w:val="center"/>
                </w:tcPr>
                <w:p w14:paraId="2E362F29" w14:textId="77777777" w:rsidR="0098031C" w:rsidRPr="00515F08" w:rsidRDefault="0098031C" w:rsidP="005040D9">
                  <w:pPr>
                    <w:rPr>
                      <w:rFonts w:ascii="Arial" w:eastAsia="EUAlbertina-Bold-Identity-H" w:hAnsi="Arial" w:cs="Arial"/>
                      <w:b/>
                      <w:bCs/>
                      <w:i/>
                      <w:sz w:val="20"/>
                      <w:szCs w:val="20"/>
                    </w:rPr>
                  </w:pPr>
                  <w:r>
                    <w:rPr>
                      <w:rFonts w:ascii="Arial" w:hAnsi="Arial"/>
                      <w:i/>
                      <w:sz w:val="20"/>
                    </w:rPr>
                    <w:t>Marzhi i tolerancës</w:t>
                  </w:r>
                </w:p>
              </w:tc>
              <w:tc>
                <w:tcPr>
                  <w:tcW w:w="1483" w:type="dxa"/>
                  <w:gridSpan w:val="2"/>
                  <w:vAlign w:val="center"/>
                </w:tcPr>
                <w:p w14:paraId="6FBC03A5" w14:textId="77777777" w:rsidR="0098031C" w:rsidRPr="00515F08" w:rsidRDefault="0098031C" w:rsidP="005040D9">
                  <w:pPr>
                    <w:autoSpaceDE w:val="0"/>
                    <w:autoSpaceDN w:val="0"/>
                    <w:adjustRightInd w:val="0"/>
                    <w:rPr>
                      <w:rFonts w:ascii="Arial" w:eastAsia="EUAlbertina-Regular-Identity-H" w:hAnsi="Arial" w:cs="Arial"/>
                      <w:i/>
                      <w:sz w:val="20"/>
                      <w:szCs w:val="20"/>
                    </w:rPr>
                  </w:pPr>
                  <w:r>
                    <w:rPr>
                      <w:rFonts w:ascii="Arial" w:hAnsi="Arial"/>
                      <w:i/>
                      <w:sz w:val="20"/>
                    </w:rPr>
                    <w:t>Data me të cilën vlera e limiteve</w:t>
                  </w:r>
                </w:p>
                <w:p w14:paraId="1AE4C349" w14:textId="77777777" w:rsidR="0098031C" w:rsidRPr="00515F08" w:rsidRDefault="0098031C" w:rsidP="005040D9">
                  <w:pPr>
                    <w:rPr>
                      <w:rFonts w:ascii="Arial" w:eastAsia="EUAlbertina-Bold-Identity-H" w:hAnsi="Arial" w:cs="Arial"/>
                      <w:b/>
                      <w:bCs/>
                      <w:i/>
                      <w:sz w:val="20"/>
                      <w:szCs w:val="20"/>
                    </w:rPr>
                  </w:pPr>
                  <w:r>
                    <w:rPr>
                      <w:rFonts w:ascii="Arial" w:hAnsi="Arial"/>
                      <w:i/>
                      <w:sz w:val="20"/>
                    </w:rPr>
                    <w:t>duhet të përmbushet</w:t>
                  </w:r>
                </w:p>
              </w:tc>
            </w:tr>
            <w:tr w:rsidR="0098031C" w:rsidRPr="00515F08" w14:paraId="37F01798" w14:textId="77777777" w:rsidTr="0098031C">
              <w:trPr>
                <w:trHeight w:val="273"/>
              </w:trPr>
              <w:tc>
                <w:tcPr>
                  <w:tcW w:w="5552" w:type="dxa"/>
                  <w:gridSpan w:val="6"/>
                  <w:vAlign w:val="center"/>
                </w:tcPr>
                <w:p w14:paraId="74A34DE4" w14:textId="77777777" w:rsidR="0098031C" w:rsidRPr="00515F08" w:rsidRDefault="0098031C" w:rsidP="005040D9">
                  <w:pPr>
                    <w:rPr>
                      <w:rFonts w:ascii="Arial" w:eastAsia="EUAlbertina-Bold-Identity-H" w:hAnsi="Arial" w:cs="Arial"/>
                      <w:b/>
                      <w:bCs/>
                      <w:i/>
                      <w:sz w:val="20"/>
                      <w:szCs w:val="20"/>
                    </w:rPr>
                  </w:pPr>
                  <w:r>
                    <w:rPr>
                      <w:rFonts w:ascii="Arial" w:hAnsi="Arial"/>
                      <w:i/>
                      <w:sz w:val="20"/>
                    </w:rPr>
                    <w:t>Dioksidi i sulfurit</w:t>
                  </w:r>
                </w:p>
              </w:tc>
            </w:tr>
            <w:tr w:rsidR="0098031C" w:rsidRPr="00515F08" w14:paraId="26AC38FC" w14:textId="77777777" w:rsidTr="0098031C">
              <w:trPr>
                <w:trHeight w:val="330"/>
              </w:trPr>
              <w:tc>
                <w:tcPr>
                  <w:tcW w:w="1180" w:type="dxa"/>
                  <w:vAlign w:val="center"/>
                </w:tcPr>
                <w:p w14:paraId="10C5EE20" w14:textId="77777777" w:rsidR="0098031C" w:rsidRPr="00515F08" w:rsidRDefault="0098031C" w:rsidP="005040D9">
                  <w:pPr>
                    <w:rPr>
                      <w:rFonts w:ascii="Arial" w:eastAsia="EUAlbertina-Bold-Identity-H" w:hAnsi="Arial" w:cs="Arial"/>
                      <w:b/>
                      <w:bCs/>
                      <w:i/>
                      <w:sz w:val="20"/>
                      <w:szCs w:val="20"/>
                    </w:rPr>
                  </w:pPr>
                  <w:r>
                    <w:rPr>
                      <w:rFonts w:ascii="Arial" w:hAnsi="Arial"/>
                      <w:i/>
                      <w:sz w:val="20"/>
                    </w:rPr>
                    <w:t>Një orë</w:t>
                  </w:r>
                </w:p>
              </w:tc>
              <w:tc>
                <w:tcPr>
                  <w:tcW w:w="1751" w:type="dxa"/>
                  <w:gridSpan w:val="2"/>
                  <w:vAlign w:val="center"/>
                </w:tcPr>
                <w:p w14:paraId="144CF52E" w14:textId="77777777" w:rsidR="0098031C" w:rsidRPr="00515F08" w:rsidRDefault="0098031C" w:rsidP="005040D9">
                  <w:pPr>
                    <w:autoSpaceDE w:val="0"/>
                    <w:autoSpaceDN w:val="0"/>
                    <w:adjustRightInd w:val="0"/>
                    <w:rPr>
                      <w:rFonts w:ascii="Arial" w:eastAsia="EUAlbertina-Regular-Identity-H" w:hAnsi="Arial" w:cs="Arial"/>
                      <w:i/>
                      <w:sz w:val="20"/>
                      <w:szCs w:val="20"/>
                    </w:rPr>
                  </w:pPr>
                  <w:r>
                    <w:rPr>
                      <w:rFonts w:ascii="Arial" w:hAnsi="Arial"/>
                      <w:i/>
                      <w:sz w:val="20"/>
                    </w:rPr>
                    <w:t>350 μg/m</w:t>
                  </w:r>
                  <w:r>
                    <w:rPr>
                      <w:rFonts w:ascii="Arial" w:hAnsi="Arial"/>
                      <w:i/>
                      <w:sz w:val="20"/>
                      <w:vertAlign w:val="superscript"/>
                    </w:rPr>
                    <w:t>3</w:t>
                  </w:r>
                  <w:r>
                    <w:rPr>
                      <w:rFonts w:ascii="Arial" w:hAnsi="Arial"/>
                      <w:i/>
                      <w:sz w:val="20"/>
                    </w:rPr>
                    <w:t>, nuk duhet tejkaluar</w:t>
                  </w:r>
                </w:p>
                <w:p w14:paraId="676697FC" w14:textId="77777777" w:rsidR="0098031C" w:rsidRPr="00515F08" w:rsidRDefault="0098031C" w:rsidP="005040D9">
                  <w:pPr>
                    <w:autoSpaceDE w:val="0"/>
                    <w:autoSpaceDN w:val="0"/>
                    <w:adjustRightInd w:val="0"/>
                    <w:rPr>
                      <w:rFonts w:ascii="Arial" w:eastAsia="EUAlbertina-Regular-Identity-H" w:hAnsi="Arial" w:cs="Arial"/>
                      <w:i/>
                      <w:sz w:val="20"/>
                      <w:szCs w:val="20"/>
                    </w:rPr>
                  </w:pPr>
                  <w:r>
                    <w:rPr>
                      <w:rFonts w:ascii="Arial" w:hAnsi="Arial"/>
                      <w:i/>
                      <w:sz w:val="20"/>
                    </w:rPr>
                    <w:t>më shumë se 24 herë një vit</w:t>
                  </w:r>
                </w:p>
                <w:p w14:paraId="65E19A2D" w14:textId="77777777" w:rsidR="0098031C" w:rsidRPr="00515F08" w:rsidRDefault="0098031C" w:rsidP="005040D9">
                  <w:pPr>
                    <w:rPr>
                      <w:rFonts w:ascii="Arial" w:eastAsia="EUAlbertina-Bold-Identity-H" w:hAnsi="Arial" w:cs="Arial"/>
                      <w:b/>
                      <w:bCs/>
                      <w:i/>
                      <w:sz w:val="20"/>
                      <w:szCs w:val="20"/>
                    </w:rPr>
                  </w:pPr>
                  <w:r>
                    <w:rPr>
                      <w:rFonts w:ascii="Arial" w:hAnsi="Arial"/>
                      <w:i/>
                      <w:sz w:val="20"/>
                    </w:rPr>
                    <w:t>kalendarik</w:t>
                  </w:r>
                </w:p>
              </w:tc>
              <w:tc>
                <w:tcPr>
                  <w:tcW w:w="1766" w:type="dxa"/>
                  <w:gridSpan w:val="2"/>
                  <w:vAlign w:val="center"/>
                </w:tcPr>
                <w:p w14:paraId="1AE4A550" w14:textId="77777777" w:rsidR="0098031C" w:rsidRPr="00515F08" w:rsidRDefault="0098031C" w:rsidP="005040D9">
                  <w:pPr>
                    <w:rPr>
                      <w:rFonts w:ascii="Arial" w:eastAsia="EUAlbertina-Bold-Identity-H" w:hAnsi="Arial" w:cs="Arial"/>
                      <w:b/>
                      <w:bCs/>
                      <w:i/>
                      <w:sz w:val="20"/>
                      <w:szCs w:val="20"/>
                    </w:rPr>
                  </w:pPr>
                  <w:r>
                    <w:rPr>
                      <w:rFonts w:ascii="Arial" w:hAnsi="Arial"/>
                      <w:i/>
                      <w:sz w:val="20"/>
                    </w:rPr>
                    <w:t>150 μg/m3 (43 %)</w:t>
                  </w:r>
                </w:p>
              </w:tc>
              <w:tc>
                <w:tcPr>
                  <w:tcW w:w="855" w:type="dxa"/>
                  <w:vAlign w:val="center"/>
                </w:tcPr>
                <w:p w14:paraId="50A6B64B" w14:textId="77777777" w:rsidR="0098031C" w:rsidRPr="00515F08" w:rsidRDefault="0098031C" w:rsidP="005040D9">
                  <w:pPr>
                    <w:rPr>
                      <w:rFonts w:ascii="Arial" w:eastAsia="EUAlbertina-Bold-Identity-H" w:hAnsi="Arial" w:cs="Arial"/>
                      <w:b/>
                      <w:bCs/>
                      <w:i/>
                      <w:sz w:val="20"/>
                      <w:szCs w:val="20"/>
                    </w:rPr>
                  </w:pPr>
                  <w:r>
                    <w:rPr>
                      <w:rFonts w:ascii="Arial" w:hAnsi="Arial"/>
                      <w:i/>
                      <w:sz w:val="20"/>
                    </w:rPr>
                    <w:t>— (1)</w:t>
                  </w:r>
                </w:p>
              </w:tc>
            </w:tr>
            <w:tr w:rsidR="0098031C" w:rsidRPr="00515F08" w14:paraId="7A6B1F6C" w14:textId="77777777" w:rsidTr="0098031C">
              <w:trPr>
                <w:trHeight w:val="280"/>
              </w:trPr>
              <w:tc>
                <w:tcPr>
                  <w:tcW w:w="1180" w:type="dxa"/>
                  <w:vAlign w:val="center"/>
                </w:tcPr>
                <w:p w14:paraId="3812D7F1" w14:textId="77777777" w:rsidR="0098031C" w:rsidRPr="00515F08" w:rsidRDefault="0098031C" w:rsidP="005040D9">
                  <w:pPr>
                    <w:rPr>
                      <w:rFonts w:ascii="Arial" w:eastAsia="EUAlbertina-Bold-Identity-H" w:hAnsi="Arial" w:cs="Arial"/>
                      <w:b/>
                      <w:bCs/>
                      <w:i/>
                      <w:sz w:val="20"/>
                      <w:szCs w:val="20"/>
                    </w:rPr>
                  </w:pPr>
                  <w:r>
                    <w:rPr>
                      <w:rFonts w:ascii="Arial" w:hAnsi="Arial"/>
                      <w:i/>
                      <w:sz w:val="20"/>
                    </w:rPr>
                    <w:t>Një ditë</w:t>
                  </w:r>
                </w:p>
              </w:tc>
              <w:tc>
                <w:tcPr>
                  <w:tcW w:w="1751" w:type="dxa"/>
                  <w:gridSpan w:val="2"/>
                  <w:vAlign w:val="center"/>
                </w:tcPr>
                <w:p w14:paraId="45F2FB76" w14:textId="77777777" w:rsidR="0098031C" w:rsidRPr="00515F08" w:rsidRDefault="0098031C" w:rsidP="005040D9">
                  <w:pPr>
                    <w:autoSpaceDE w:val="0"/>
                    <w:autoSpaceDN w:val="0"/>
                    <w:adjustRightInd w:val="0"/>
                    <w:rPr>
                      <w:rFonts w:ascii="Arial" w:eastAsia="EUAlbertina-Regular-Identity-H" w:hAnsi="Arial" w:cs="Arial"/>
                      <w:i/>
                      <w:sz w:val="20"/>
                      <w:szCs w:val="20"/>
                    </w:rPr>
                  </w:pPr>
                  <w:r>
                    <w:rPr>
                      <w:rFonts w:ascii="Arial" w:hAnsi="Arial"/>
                      <w:i/>
                      <w:sz w:val="20"/>
                    </w:rPr>
                    <w:t>125 μg/m</w:t>
                  </w:r>
                  <w:r>
                    <w:rPr>
                      <w:rFonts w:ascii="Arial" w:hAnsi="Arial"/>
                      <w:i/>
                      <w:sz w:val="20"/>
                      <w:vertAlign w:val="superscript"/>
                    </w:rPr>
                    <w:t>3</w:t>
                  </w:r>
                  <w:r>
                    <w:rPr>
                      <w:rFonts w:ascii="Arial" w:hAnsi="Arial"/>
                      <w:i/>
                      <w:sz w:val="20"/>
                    </w:rPr>
                    <w:t>, nuk duhet tejkaluar</w:t>
                  </w:r>
                </w:p>
                <w:p w14:paraId="15A5BF94" w14:textId="77777777" w:rsidR="0098031C" w:rsidRPr="00515F08" w:rsidRDefault="0098031C" w:rsidP="005040D9">
                  <w:pPr>
                    <w:rPr>
                      <w:rFonts w:ascii="Arial" w:eastAsia="EUAlbertina-Bold-Identity-H" w:hAnsi="Arial" w:cs="Arial"/>
                      <w:b/>
                      <w:bCs/>
                      <w:i/>
                      <w:sz w:val="20"/>
                      <w:szCs w:val="20"/>
                    </w:rPr>
                  </w:pPr>
                  <w:r>
                    <w:rPr>
                      <w:rFonts w:ascii="Arial" w:hAnsi="Arial"/>
                      <w:i/>
                      <w:sz w:val="20"/>
                    </w:rPr>
                    <w:t>më shumë se 3 herë një vit kalendarik</w:t>
                  </w:r>
                </w:p>
              </w:tc>
              <w:tc>
                <w:tcPr>
                  <w:tcW w:w="1766" w:type="dxa"/>
                  <w:gridSpan w:val="2"/>
                  <w:vAlign w:val="center"/>
                </w:tcPr>
                <w:p w14:paraId="12B33EDA" w14:textId="77777777" w:rsidR="0098031C" w:rsidRPr="00515F08" w:rsidRDefault="0098031C" w:rsidP="005040D9">
                  <w:pPr>
                    <w:rPr>
                      <w:rFonts w:ascii="Arial" w:eastAsia="EUAlbertina-Bold-Identity-H" w:hAnsi="Arial" w:cs="Arial"/>
                      <w:b/>
                      <w:bCs/>
                      <w:i/>
                      <w:sz w:val="20"/>
                      <w:szCs w:val="20"/>
                    </w:rPr>
                  </w:pPr>
                  <w:r>
                    <w:rPr>
                      <w:rFonts w:ascii="Arial" w:hAnsi="Arial"/>
                      <w:i/>
                      <w:sz w:val="20"/>
                    </w:rPr>
                    <w:t>Asnjë</w:t>
                  </w:r>
                </w:p>
              </w:tc>
              <w:tc>
                <w:tcPr>
                  <w:tcW w:w="855" w:type="dxa"/>
                  <w:vAlign w:val="center"/>
                </w:tcPr>
                <w:p w14:paraId="017ED983" w14:textId="77777777" w:rsidR="0098031C" w:rsidRPr="00515F08" w:rsidRDefault="0098031C" w:rsidP="005040D9">
                  <w:pPr>
                    <w:rPr>
                      <w:rFonts w:ascii="Arial" w:eastAsia="EUAlbertina-Bold-Identity-H" w:hAnsi="Arial" w:cs="Arial"/>
                      <w:b/>
                      <w:bCs/>
                      <w:i/>
                      <w:sz w:val="20"/>
                      <w:szCs w:val="20"/>
                    </w:rPr>
                  </w:pPr>
                  <w:r>
                    <w:rPr>
                      <w:rFonts w:ascii="Arial" w:hAnsi="Arial"/>
                      <w:i/>
                      <w:sz w:val="20"/>
                    </w:rPr>
                    <w:t>— (1)</w:t>
                  </w:r>
                </w:p>
              </w:tc>
            </w:tr>
          </w:tbl>
          <w:p w14:paraId="7AA17236" w14:textId="77777777" w:rsidR="002C4575" w:rsidRPr="00515F08" w:rsidRDefault="002C4575" w:rsidP="0059785E">
            <w:pPr>
              <w:autoSpaceDE w:val="0"/>
              <w:autoSpaceDN w:val="0"/>
              <w:adjustRightInd w:val="0"/>
              <w:spacing w:after="0" w:line="240" w:lineRule="auto"/>
              <w:rPr>
                <w:rFonts w:ascii="Arial" w:hAnsi="Arial" w:cs="Arial"/>
                <w:b/>
                <w:sz w:val="20"/>
                <w:szCs w:val="20"/>
              </w:rPr>
            </w:pPr>
          </w:p>
          <w:p w14:paraId="1EA7704A" w14:textId="77777777" w:rsidR="0098031C" w:rsidRPr="00515F08" w:rsidRDefault="0098031C" w:rsidP="0059785E">
            <w:pPr>
              <w:autoSpaceDE w:val="0"/>
              <w:autoSpaceDN w:val="0"/>
              <w:adjustRightInd w:val="0"/>
              <w:spacing w:after="0" w:line="240" w:lineRule="auto"/>
              <w:rPr>
                <w:rFonts w:ascii="Arial" w:hAnsi="Arial" w:cs="Arial"/>
                <w:b/>
                <w:sz w:val="20"/>
                <w:szCs w:val="20"/>
              </w:rPr>
            </w:pPr>
            <w:r>
              <w:rPr>
                <w:rFonts w:ascii="Arial" w:hAnsi="Arial"/>
                <w:b/>
                <w:sz w:val="20"/>
              </w:rPr>
              <w:t>Direktiva 2010/75/EU mbi emetimet industriale (parandalimi dhe kontrolli i integruar i ndotjes)</w:t>
            </w:r>
          </w:p>
          <w:p w14:paraId="188B854D" w14:textId="77777777" w:rsidR="0098031C" w:rsidRPr="00515F08" w:rsidRDefault="0098031C" w:rsidP="009E2624">
            <w:pPr>
              <w:numPr>
                <w:ilvl w:val="1"/>
                <w:numId w:val="7"/>
              </w:numPr>
              <w:autoSpaceDE w:val="0"/>
              <w:autoSpaceDN w:val="0"/>
              <w:adjustRightInd w:val="0"/>
              <w:spacing w:after="0" w:line="240" w:lineRule="auto"/>
              <w:ind w:left="806"/>
              <w:rPr>
                <w:rFonts w:ascii="Arial" w:hAnsi="Arial" w:cs="Arial"/>
                <w:sz w:val="20"/>
                <w:szCs w:val="20"/>
              </w:rPr>
            </w:pPr>
            <w:r>
              <w:rPr>
                <w:rFonts w:ascii="Arial" w:hAnsi="Arial"/>
                <w:sz w:val="20"/>
              </w:rPr>
              <w:t>Neni 32 (2): “</w:t>
            </w:r>
            <w:r>
              <w:rPr>
                <w:rFonts w:ascii="Arial" w:hAnsi="Arial"/>
                <w:i/>
                <w:sz w:val="20"/>
              </w:rPr>
              <w:t>Vlerat e limiteve të emetimeve për dioksidin e sulfurit, oksidet e azotit dhe pluhurin të përcaktuara në lejen për impiantin e djegies të zbatueshme më 31 dhjetor 2015, në përputhje veçanërisht me kërkesat e Direktivave 2001/80/EC dhe 2008/1/EC, të paktën duhet të ruhen</w:t>
            </w:r>
            <w:r>
              <w:rPr>
                <w:rFonts w:ascii="Arial" w:hAnsi="Arial"/>
                <w:sz w:val="20"/>
              </w:rPr>
              <w:t>.”</w:t>
            </w:r>
          </w:p>
          <w:p w14:paraId="3B859A36" w14:textId="77777777" w:rsidR="0098031C" w:rsidRPr="00515F08" w:rsidRDefault="0098031C" w:rsidP="009E2624">
            <w:pPr>
              <w:numPr>
                <w:ilvl w:val="1"/>
                <w:numId w:val="7"/>
              </w:numPr>
              <w:autoSpaceDE w:val="0"/>
              <w:autoSpaceDN w:val="0"/>
              <w:adjustRightInd w:val="0"/>
              <w:spacing w:after="0" w:line="240" w:lineRule="auto"/>
              <w:ind w:left="806"/>
              <w:rPr>
                <w:rFonts w:ascii="Arial" w:hAnsi="Arial" w:cs="Arial"/>
                <w:sz w:val="20"/>
                <w:szCs w:val="20"/>
              </w:rPr>
            </w:pPr>
            <w:r>
              <w:rPr>
                <w:rFonts w:ascii="Arial" w:hAnsi="Arial"/>
                <w:sz w:val="20"/>
              </w:rPr>
              <w:t>Neni 33 (c): “</w:t>
            </w:r>
            <w:r>
              <w:rPr>
                <w:rFonts w:ascii="Arial" w:hAnsi="Arial"/>
                <w:i/>
                <w:sz w:val="20"/>
              </w:rPr>
              <w:t>vlerat e limiteve të emetimeve për dioksidet e sulfurit, oksidet e azotit dhe pluhurin të përcaktuara në lejen për impiantin e djegies të zbatueshme më 31 dhjetor 2015, në përputhje veçanërisht me kërkesat e Direktivave 2001/80/EC dhe 2008/1/EC, duhet të ruhen të paktën gjatë jetës së mbetur funksionale të impiantit të djegies.</w:t>
            </w:r>
            <w:r>
              <w:rPr>
                <w:rFonts w:ascii="Arial" w:hAnsi="Arial"/>
                <w:sz w:val="20"/>
              </w:rPr>
              <w:t xml:space="preserve">” </w:t>
            </w:r>
          </w:p>
          <w:p w14:paraId="0F79EF26" w14:textId="77777777" w:rsidR="0098031C" w:rsidRPr="00515F08" w:rsidRDefault="0098031C" w:rsidP="009E2624">
            <w:pPr>
              <w:numPr>
                <w:ilvl w:val="1"/>
                <w:numId w:val="7"/>
              </w:numPr>
              <w:autoSpaceDE w:val="0"/>
              <w:autoSpaceDN w:val="0"/>
              <w:adjustRightInd w:val="0"/>
              <w:spacing w:after="0" w:line="240" w:lineRule="auto"/>
              <w:ind w:left="806"/>
              <w:rPr>
                <w:rFonts w:ascii="Arial" w:hAnsi="Arial" w:cs="Arial"/>
                <w:sz w:val="20"/>
                <w:szCs w:val="20"/>
              </w:rPr>
            </w:pPr>
            <w:r>
              <w:rPr>
                <w:rFonts w:ascii="Arial" w:hAnsi="Arial"/>
                <w:sz w:val="20"/>
              </w:rPr>
              <w:t>Shtojca V: Dispozitat teknike në lidhje me impiantet e djegies</w:t>
            </w:r>
          </w:p>
          <w:p w14:paraId="53D83D00" w14:textId="77777777" w:rsidR="0098031C" w:rsidRPr="00515F08" w:rsidRDefault="0098031C" w:rsidP="009E2624">
            <w:pPr>
              <w:numPr>
                <w:ilvl w:val="2"/>
                <w:numId w:val="7"/>
              </w:numPr>
              <w:autoSpaceDE w:val="0"/>
              <w:autoSpaceDN w:val="0"/>
              <w:adjustRightInd w:val="0"/>
              <w:spacing w:after="0" w:line="240" w:lineRule="auto"/>
              <w:ind w:left="1166"/>
              <w:rPr>
                <w:rFonts w:ascii="Arial" w:hAnsi="Arial" w:cs="Arial"/>
                <w:i/>
                <w:sz w:val="20"/>
                <w:szCs w:val="20"/>
              </w:rPr>
            </w:pPr>
            <w:r>
              <w:rPr>
                <w:rFonts w:ascii="Arial" w:hAnsi="Arial"/>
                <w:i/>
                <w:sz w:val="20"/>
              </w:rPr>
              <w:lastRenderedPageBreak/>
              <w:t>“Pjesa 1.2. Vlerat e limiteve të emetimeve (mg/Nm</w:t>
            </w:r>
            <w:r>
              <w:rPr>
                <w:rFonts w:ascii="Arial" w:hAnsi="Arial"/>
                <w:i/>
                <w:sz w:val="20"/>
                <w:vertAlign w:val="superscript"/>
              </w:rPr>
              <w:t>3</w:t>
            </w:r>
            <w:r>
              <w:rPr>
                <w:rFonts w:ascii="Arial" w:hAnsi="Arial"/>
                <w:i/>
                <w:sz w:val="20"/>
              </w:rPr>
              <w:t>) për SO</w:t>
            </w:r>
            <w:r>
              <w:rPr>
                <w:rFonts w:ascii="Arial" w:hAnsi="Arial"/>
                <w:i/>
                <w:sz w:val="20"/>
                <w:vertAlign w:val="subscript"/>
              </w:rPr>
              <w:t>2</w:t>
            </w:r>
            <w:r>
              <w:rPr>
                <w:rFonts w:ascii="Arial" w:hAnsi="Arial"/>
                <w:i/>
                <w:sz w:val="20"/>
              </w:rPr>
              <w:t xml:space="preserve"> për impiantet e djegies që përdorin lëndë djegëse të ngurta ose të lëngshme, me përjashtim të turbinave me gaz dhe motorëve me gaz.”</w:t>
            </w:r>
          </w:p>
          <w:p w14:paraId="29A90BAF" w14:textId="77777777" w:rsidR="0098031C" w:rsidRPr="00515F08" w:rsidRDefault="0098031C" w:rsidP="005040D9">
            <w:pPr>
              <w:rPr>
                <w:rFonts w:ascii="Arial" w:hAnsi="Arial" w:cs="Arial"/>
                <w:sz w:val="20"/>
                <w:szCs w:val="20"/>
                <w:lang w:val="en-US"/>
              </w:rPr>
            </w:pPr>
          </w:p>
          <w:tbl>
            <w:tblPr>
              <w:tblStyle w:val="TableGrid"/>
              <w:tblW w:w="0" w:type="auto"/>
              <w:tblLook w:val="04A0" w:firstRow="1" w:lastRow="0" w:firstColumn="1" w:lastColumn="0" w:noHBand="0" w:noVBand="1"/>
            </w:tblPr>
            <w:tblGrid>
              <w:gridCol w:w="2979"/>
              <w:gridCol w:w="2982"/>
            </w:tblGrid>
            <w:tr w:rsidR="0059785E" w:rsidRPr="00515F08" w14:paraId="211439BA" w14:textId="77777777" w:rsidTr="0059785E">
              <w:tc>
                <w:tcPr>
                  <w:tcW w:w="3048" w:type="dxa"/>
                </w:tcPr>
                <w:p w14:paraId="5531F484" w14:textId="77777777" w:rsidR="0059785E" w:rsidRPr="00515F08" w:rsidRDefault="0059785E" w:rsidP="005040D9">
                  <w:pPr>
                    <w:rPr>
                      <w:rFonts w:ascii="Arial" w:hAnsi="Arial" w:cs="Arial"/>
                      <w:sz w:val="20"/>
                      <w:szCs w:val="20"/>
                    </w:rPr>
                  </w:pPr>
                  <w:r>
                    <w:rPr>
                      <w:rFonts w:ascii="Arial" w:hAnsi="Arial"/>
                      <w:i/>
                      <w:sz w:val="20"/>
                    </w:rPr>
                    <w:t>Hyrja termike (MW)</w:t>
                  </w:r>
                </w:p>
              </w:tc>
              <w:tc>
                <w:tcPr>
                  <w:tcW w:w="3049" w:type="dxa"/>
                </w:tcPr>
                <w:p w14:paraId="787E51C7" w14:textId="77777777" w:rsidR="0059785E" w:rsidRPr="00515F08" w:rsidRDefault="0059785E" w:rsidP="005040D9">
                  <w:pPr>
                    <w:rPr>
                      <w:rFonts w:ascii="Arial" w:hAnsi="Arial" w:cs="Arial"/>
                      <w:sz w:val="20"/>
                      <w:szCs w:val="20"/>
                    </w:rPr>
                  </w:pPr>
                  <w:r>
                    <w:rPr>
                      <w:rFonts w:ascii="Arial" w:hAnsi="Arial"/>
                      <w:i/>
                      <w:sz w:val="20"/>
                    </w:rPr>
                    <w:t>Qymyri dhe linjiti dhe lëndë djegëse të tjera të ngurta</w:t>
                  </w:r>
                </w:p>
              </w:tc>
            </w:tr>
            <w:tr w:rsidR="0059785E" w:rsidRPr="00515F08" w14:paraId="7573653F" w14:textId="77777777" w:rsidTr="0059785E">
              <w:tc>
                <w:tcPr>
                  <w:tcW w:w="3048" w:type="dxa"/>
                </w:tcPr>
                <w:p w14:paraId="1FF766EB" w14:textId="77777777" w:rsidR="0059785E" w:rsidRPr="00515F08" w:rsidRDefault="0059785E" w:rsidP="005040D9">
                  <w:pPr>
                    <w:rPr>
                      <w:rFonts w:ascii="Arial" w:hAnsi="Arial" w:cs="Arial"/>
                      <w:sz w:val="20"/>
                      <w:szCs w:val="20"/>
                    </w:rPr>
                  </w:pPr>
                  <w:r>
                    <w:rPr>
                      <w:rFonts w:ascii="Arial" w:hAnsi="Arial"/>
                      <w:i/>
                      <w:sz w:val="20"/>
                    </w:rPr>
                    <w:t>50-100</w:t>
                  </w:r>
                </w:p>
              </w:tc>
              <w:tc>
                <w:tcPr>
                  <w:tcW w:w="3049" w:type="dxa"/>
                </w:tcPr>
                <w:p w14:paraId="713410BF" w14:textId="77777777" w:rsidR="0059785E" w:rsidRPr="00515F08" w:rsidRDefault="0059785E" w:rsidP="005040D9">
                  <w:pPr>
                    <w:rPr>
                      <w:rFonts w:ascii="Arial" w:hAnsi="Arial" w:cs="Arial"/>
                      <w:sz w:val="20"/>
                      <w:szCs w:val="20"/>
                    </w:rPr>
                  </w:pPr>
                  <w:r>
                    <w:rPr>
                      <w:rFonts w:ascii="Arial" w:hAnsi="Arial"/>
                      <w:i/>
                      <w:sz w:val="20"/>
                    </w:rPr>
                    <w:t>400</w:t>
                  </w:r>
                </w:p>
              </w:tc>
            </w:tr>
            <w:tr w:rsidR="0059785E" w:rsidRPr="00515F08" w14:paraId="05376F55" w14:textId="77777777" w:rsidTr="0059785E">
              <w:tc>
                <w:tcPr>
                  <w:tcW w:w="3048" w:type="dxa"/>
                </w:tcPr>
                <w:p w14:paraId="67001772" w14:textId="77777777" w:rsidR="0059785E" w:rsidRPr="00515F08" w:rsidRDefault="0059785E" w:rsidP="005040D9">
                  <w:pPr>
                    <w:rPr>
                      <w:rFonts w:ascii="Arial" w:hAnsi="Arial" w:cs="Arial"/>
                      <w:sz w:val="20"/>
                      <w:szCs w:val="20"/>
                    </w:rPr>
                  </w:pPr>
                  <w:r>
                    <w:rPr>
                      <w:rFonts w:ascii="Arial" w:hAnsi="Arial"/>
                      <w:i/>
                      <w:sz w:val="20"/>
                    </w:rPr>
                    <w:t>100-300</w:t>
                  </w:r>
                </w:p>
              </w:tc>
              <w:tc>
                <w:tcPr>
                  <w:tcW w:w="3049" w:type="dxa"/>
                </w:tcPr>
                <w:p w14:paraId="09907078" w14:textId="77777777" w:rsidR="0059785E" w:rsidRPr="00515F08" w:rsidRDefault="0059785E" w:rsidP="005040D9">
                  <w:pPr>
                    <w:rPr>
                      <w:rFonts w:ascii="Arial" w:hAnsi="Arial" w:cs="Arial"/>
                      <w:sz w:val="20"/>
                      <w:szCs w:val="20"/>
                    </w:rPr>
                  </w:pPr>
                  <w:r>
                    <w:rPr>
                      <w:rFonts w:ascii="Arial" w:hAnsi="Arial"/>
                      <w:i/>
                      <w:sz w:val="20"/>
                    </w:rPr>
                    <w:t>250</w:t>
                  </w:r>
                </w:p>
              </w:tc>
            </w:tr>
            <w:tr w:rsidR="0059785E" w:rsidRPr="00515F08" w14:paraId="320E22F4" w14:textId="77777777" w:rsidTr="0059785E">
              <w:tc>
                <w:tcPr>
                  <w:tcW w:w="3048" w:type="dxa"/>
                </w:tcPr>
                <w:p w14:paraId="3AB6CB26" w14:textId="77777777" w:rsidR="0059785E" w:rsidRPr="00515F08" w:rsidRDefault="0059785E" w:rsidP="005040D9">
                  <w:pPr>
                    <w:rPr>
                      <w:rFonts w:ascii="Arial" w:hAnsi="Arial" w:cs="Arial"/>
                      <w:sz w:val="20"/>
                      <w:szCs w:val="20"/>
                    </w:rPr>
                  </w:pPr>
                  <w:r>
                    <w:rPr>
                      <w:rFonts w:ascii="Arial" w:hAnsi="Arial"/>
                      <w:i/>
                      <w:sz w:val="20"/>
                    </w:rPr>
                    <w:t>&gt; 300</w:t>
                  </w:r>
                </w:p>
              </w:tc>
              <w:tc>
                <w:tcPr>
                  <w:tcW w:w="3049" w:type="dxa"/>
                </w:tcPr>
                <w:p w14:paraId="119C3E49" w14:textId="77777777" w:rsidR="0059785E" w:rsidRPr="00515F08" w:rsidRDefault="0059785E" w:rsidP="005040D9">
                  <w:pPr>
                    <w:rPr>
                      <w:rFonts w:ascii="Arial" w:hAnsi="Arial" w:cs="Arial"/>
                      <w:sz w:val="20"/>
                      <w:szCs w:val="20"/>
                    </w:rPr>
                  </w:pPr>
                  <w:r>
                    <w:rPr>
                      <w:rFonts w:ascii="Arial" w:hAnsi="Arial"/>
                      <w:i/>
                      <w:sz w:val="20"/>
                    </w:rPr>
                    <w:t>200</w:t>
                  </w:r>
                </w:p>
              </w:tc>
            </w:tr>
          </w:tbl>
          <w:p w14:paraId="19F78676" w14:textId="0AB2CD65" w:rsidR="0098031C" w:rsidRPr="00CF7AE6" w:rsidRDefault="0059785E" w:rsidP="00CF7AE6">
            <w:pPr>
              <w:rPr>
                <w:rFonts w:ascii="Arial" w:hAnsi="Arial" w:cs="Arial"/>
                <w:sz w:val="18"/>
                <w:szCs w:val="18"/>
              </w:rPr>
            </w:pPr>
            <w:r>
              <w:rPr>
                <w:rFonts w:ascii="Arial" w:hAnsi="Arial"/>
                <w:sz w:val="18"/>
              </w:rPr>
              <w:t>1) Tashmë në fuqi që nga 1 janari 2005</w:t>
            </w:r>
          </w:p>
        </w:tc>
      </w:tr>
      <w:tr w:rsidR="0098031C" w:rsidRPr="00515F08" w14:paraId="2EBE715E" w14:textId="77777777" w:rsidTr="0098031C">
        <w:trPr>
          <w:trHeight w:val="330"/>
        </w:trPr>
        <w:tc>
          <w:tcPr>
            <w:tcW w:w="1842" w:type="pct"/>
            <w:tcBorders>
              <w:top w:val="single" w:sz="4" w:space="0" w:color="auto"/>
              <w:left w:val="single" w:sz="4" w:space="0" w:color="auto"/>
              <w:bottom w:val="single" w:sz="4" w:space="0" w:color="auto"/>
              <w:right w:val="single" w:sz="4" w:space="0" w:color="auto"/>
            </w:tcBorders>
            <w:shd w:val="clear" w:color="auto" w:fill="D9D9D9"/>
            <w:vAlign w:val="center"/>
          </w:tcPr>
          <w:p w14:paraId="142963CE" w14:textId="77777777" w:rsidR="0098031C" w:rsidRPr="00515F08" w:rsidRDefault="0098031C" w:rsidP="0074067A">
            <w:pPr>
              <w:spacing w:after="0" w:line="240" w:lineRule="auto"/>
              <w:rPr>
                <w:rFonts w:ascii="Arial" w:hAnsi="Arial" w:cs="Arial"/>
                <w:sz w:val="20"/>
                <w:szCs w:val="20"/>
              </w:rPr>
            </w:pPr>
            <w:r>
              <w:rPr>
                <w:rFonts w:ascii="Arial" w:hAnsi="Arial"/>
                <w:sz w:val="20"/>
              </w:rPr>
              <w:lastRenderedPageBreak/>
              <w:t>Kontributi në objektivat e vlefshme të zhvillimit kombëtar</w:t>
            </w:r>
          </w:p>
        </w:tc>
        <w:tc>
          <w:tcPr>
            <w:tcW w:w="3158" w:type="pct"/>
            <w:tcBorders>
              <w:top w:val="single" w:sz="4" w:space="0" w:color="auto"/>
              <w:left w:val="single" w:sz="4" w:space="0" w:color="auto"/>
              <w:bottom w:val="single" w:sz="4" w:space="0" w:color="auto"/>
              <w:right w:val="single" w:sz="4" w:space="0" w:color="auto"/>
            </w:tcBorders>
          </w:tcPr>
          <w:p w14:paraId="12E69C46" w14:textId="6E84870A" w:rsidR="00A77BA8" w:rsidRPr="007D4EB5" w:rsidRDefault="00A77BA8" w:rsidP="00A77BA8">
            <w:pPr>
              <w:rPr>
                <w:rFonts w:ascii="Arial" w:hAnsi="Arial" w:cs="Arial"/>
                <w:b/>
                <w:szCs w:val="20"/>
              </w:rPr>
            </w:pPr>
            <w:r>
              <w:rPr>
                <w:rFonts w:ascii="Arial" w:hAnsi="Arial"/>
                <w:b/>
              </w:rPr>
              <w:t>Programi i Qeverisë 2021-2025</w:t>
            </w:r>
          </w:p>
          <w:p w14:paraId="3405D304" w14:textId="77777777" w:rsidR="00A77BA8" w:rsidRDefault="00A77BA8" w:rsidP="00A77BA8">
            <w:pPr>
              <w:spacing w:after="0" w:line="240" w:lineRule="auto"/>
              <w:rPr>
                <w:rFonts w:ascii="Arial" w:hAnsi="Arial" w:cs="Arial"/>
                <w:b/>
                <w:i/>
                <w:sz w:val="20"/>
              </w:rPr>
            </w:pPr>
            <w:r>
              <w:rPr>
                <w:rFonts w:ascii="Arial" w:hAnsi="Arial"/>
                <w:b/>
                <w:i/>
                <w:sz w:val="20"/>
              </w:rPr>
              <w:t>Pika 2.14.1:</w:t>
            </w:r>
            <w:r>
              <w:rPr>
                <w:rFonts w:ascii="Arial" w:hAnsi="Arial"/>
                <w:b/>
                <w:i/>
                <w:sz w:val="18"/>
              </w:rPr>
              <w:t xml:space="preserve"> </w:t>
            </w:r>
            <w:r>
              <w:rPr>
                <w:rFonts w:ascii="Arial" w:hAnsi="Arial"/>
                <w:b/>
                <w:i/>
                <w:sz w:val="20"/>
              </w:rPr>
              <w:t>Krijimi i kushteve për furnizim të qëndrueshëm me energji</w:t>
            </w:r>
          </w:p>
          <w:p w14:paraId="5E7D1306" w14:textId="77777777" w:rsidR="00A77BA8" w:rsidRPr="007D4EB5" w:rsidRDefault="00A77BA8" w:rsidP="00A77BA8">
            <w:pPr>
              <w:spacing w:after="0" w:line="240" w:lineRule="auto"/>
              <w:rPr>
                <w:rFonts w:ascii="Arial" w:hAnsi="Arial" w:cs="Arial"/>
                <w:i/>
                <w:sz w:val="20"/>
                <w:szCs w:val="20"/>
              </w:rPr>
            </w:pPr>
          </w:p>
          <w:p w14:paraId="7F4FAD76" w14:textId="008FACAA" w:rsidR="0098031C" w:rsidRPr="00A77BA8" w:rsidRDefault="00A77BA8" w:rsidP="00A77BA8">
            <w:pPr>
              <w:autoSpaceDE w:val="0"/>
              <w:autoSpaceDN w:val="0"/>
              <w:adjustRightInd w:val="0"/>
              <w:spacing w:line="240" w:lineRule="auto"/>
              <w:rPr>
                <w:rFonts w:cs="Arial"/>
                <w:color w:val="548DD4"/>
                <w:szCs w:val="20"/>
              </w:rPr>
            </w:pPr>
            <w:r>
              <w:rPr>
                <w:color w:val="000000"/>
              </w:rPr>
              <w:t>Zbatimi i masave mjedisore në TC Kosova B</w:t>
            </w:r>
          </w:p>
        </w:tc>
      </w:tr>
      <w:tr w:rsidR="0098031C" w:rsidRPr="00515F08" w14:paraId="6F035537" w14:textId="77777777" w:rsidTr="0098031C">
        <w:trPr>
          <w:trHeight w:val="330"/>
        </w:trPr>
        <w:tc>
          <w:tcPr>
            <w:tcW w:w="1842" w:type="pct"/>
            <w:tcBorders>
              <w:top w:val="single" w:sz="4" w:space="0" w:color="auto"/>
              <w:left w:val="single" w:sz="4" w:space="0" w:color="auto"/>
              <w:bottom w:val="single" w:sz="4" w:space="0" w:color="auto"/>
              <w:right w:val="single" w:sz="4" w:space="0" w:color="auto"/>
            </w:tcBorders>
            <w:shd w:val="clear" w:color="auto" w:fill="D9D9D9"/>
            <w:vAlign w:val="center"/>
          </w:tcPr>
          <w:p w14:paraId="5B0FF365" w14:textId="77777777" w:rsidR="0098031C" w:rsidRPr="00515F08" w:rsidRDefault="0098031C" w:rsidP="0074067A">
            <w:pPr>
              <w:spacing w:after="0" w:line="240" w:lineRule="auto"/>
              <w:rPr>
                <w:rFonts w:ascii="Arial" w:hAnsi="Arial" w:cs="Arial"/>
                <w:sz w:val="20"/>
                <w:szCs w:val="20"/>
              </w:rPr>
            </w:pPr>
            <w:r>
              <w:rPr>
                <w:rFonts w:ascii="Arial" w:hAnsi="Arial"/>
                <w:sz w:val="20"/>
              </w:rPr>
              <w:t>A mbulohet projekti nga strategjia sektoriale përkatëse, nga një plan veprimi sektorial apo nga një masterplan sektori?</w:t>
            </w:r>
          </w:p>
        </w:tc>
        <w:tc>
          <w:tcPr>
            <w:tcW w:w="3158" w:type="pct"/>
            <w:tcBorders>
              <w:top w:val="single" w:sz="4" w:space="0" w:color="auto"/>
              <w:left w:val="single" w:sz="4" w:space="0" w:color="auto"/>
              <w:bottom w:val="single" w:sz="4" w:space="0" w:color="auto"/>
              <w:right w:val="single" w:sz="4" w:space="0" w:color="auto"/>
            </w:tcBorders>
          </w:tcPr>
          <w:p w14:paraId="31B70684" w14:textId="7E6262E3" w:rsidR="00DB49E7" w:rsidRDefault="00DB49E7" w:rsidP="00DB49E7">
            <w:pPr>
              <w:spacing w:before="120" w:after="0"/>
              <w:jc w:val="both"/>
              <w:rPr>
                <w:rFonts w:ascii="Arial" w:hAnsi="Arial" w:cs="Arial"/>
                <w:b/>
                <w:szCs w:val="20"/>
              </w:rPr>
            </w:pPr>
            <w:r>
              <w:rPr>
                <w:rFonts w:ascii="Arial" w:hAnsi="Arial"/>
                <w:b/>
              </w:rPr>
              <w:t>Strategjia e Energjisë e Republikës së Kosovës 2022-2031.</w:t>
            </w:r>
          </w:p>
          <w:p w14:paraId="5581BA96" w14:textId="77777777" w:rsidR="00DB49E7" w:rsidRPr="00461F59" w:rsidRDefault="00DB49E7" w:rsidP="00DB49E7">
            <w:pPr>
              <w:spacing w:after="120" w:line="252" w:lineRule="auto"/>
              <w:rPr>
                <w:rFonts w:ascii="Arial" w:hAnsi="Arial" w:cs="Arial"/>
                <w:b/>
                <w:sz w:val="20"/>
                <w:szCs w:val="20"/>
              </w:rPr>
            </w:pPr>
            <w:r>
              <w:rPr>
                <w:rFonts w:ascii="Arial" w:hAnsi="Arial"/>
                <w:b/>
                <w:sz w:val="20"/>
              </w:rPr>
              <w:t xml:space="preserve">Objektivi strategjik 1: Përmirësimi i qëndrueshmërisë së sistemit </w:t>
            </w:r>
          </w:p>
          <w:p w14:paraId="6CDFF504" w14:textId="77777777" w:rsidR="00DB49E7" w:rsidRPr="00461F59" w:rsidRDefault="00DB49E7" w:rsidP="00DB49E7">
            <w:pPr>
              <w:spacing w:after="120" w:line="252" w:lineRule="auto"/>
              <w:jc w:val="both"/>
              <w:rPr>
                <w:rFonts w:ascii="Arial" w:hAnsi="Arial" w:cs="Arial"/>
                <w:sz w:val="20"/>
                <w:szCs w:val="20"/>
              </w:rPr>
            </w:pPr>
            <w:r>
              <w:rPr>
                <w:rFonts w:ascii="Arial" w:hAnsi="Arial"/>
                <w:sz w:val="20"/>
              </w:rPr>
              <w:t xml:space="preserve">Siguria e furnizimit do të sigurohet duke garantuar funksionimin e unifikuar të sistemit të energjisë elektrike. Kjo kërkon kapacitete të madhësisë adekuate për furnizim dhe rezerva, besueshmëri, fleksibilitet dhe efikasitet të njësive gjeneruese, elementeve të rrjetit dhe tregjeve të integruara. </w:t>
            </w:r>
          </w:p>
          <w:p w14:paraId="66C78333" w14:textId="77777777" w:rsidR="00DB49E7" w:rsidRPr="00461F59" w:rsidRDefault="00DB49E7" w:rsidP="00DB49E7">
            <w:pPr>
              <w:spacing w:after="120" w:line="252" w:lineRule="auto"/>
              <w:jc w:val="both"/>
              <w:rPr>
                <w:rFonts w:ascii="Arial" w:hAnsi="Arial" w:cs="Arial"/>
                <w:sz w:val="20"/>
                <w:szCs w:val="20"/>
              </w:rPr>
            </w:pPr>
            <w:r>
              <w:rPr>
                <w:rFonts w:ascii="Arial" w:hAnsi="Arial"/>
                <w:sz w:val="20"/>
              </w:rPr>
              <w:t>Objektivat kryesore për këtë objektiv strategjik janë:</w:t>
            </w:r>
          </w:p>
          <w:p w14:paraId="0F013956" w14:textId="77777777" w:rsidR="00DB49E7" w:rsidRPr="00461F59" w:rsidRDefault="00DB49E7" w:rsidP="00DB49E7">
            <w:pPr>
              <w:numPr>
                <w:ilvl w:val="0"/>
                <w:numId w:val="22"/>
              </w:numPr>
              <w:spacing w:after="120" w:line="252" w:lineRule="auto"/>
              <w:jc w:val="both"/>
              <w:rPr>
                <w:rFonts w:ascii="Arial" w:hAnsi="Arial" w:cs="Arial"/>
                <w:sz w:val="20"/>
                <w:szCs w:val="20"/>
              </w:rPr>
            </w:pPr>
            <w:r>
              <w:rPr>
                <w:rFonts w:ascii="Arial" w:hAnsi="Arial"/>
                <w:sz w:val="20"/>
              </w:rPr>
              <w:t xml:space="preserve">Përmirësimi i treguesve të cilësisë së furnizimit: Indeksi mesatar i kohëzgjatjes së ndërprerjeve të sistemit (SAIDI) me 35% dhe Indeksi mesatar i frekuencës së ndërprerjeve të sistemit (SAIFI) me 30% deri në vitin 2031, </w:t>
            </w:r>
          </w:p>
          <w:p w14:paraId="3D014ABF" w14:textId="77777777" w:rsidR="00DB49E7" w:rsidRPr="00461F59" w:rsidRDefault="00DB49E7" w:rsidP="00DB49E7">
            <w:pPr>
              <w:numPr>
                <w:ilvl w:val="0"/>
                <w:numId w:val="22"/>
              </w:numPr>
              <w:spacing w:after="120" w:line="252" w:lineRule="auto"/>
              <w:jc w:val="both"/>
              <w:rPr>
                <w:rFonts w:ascii="Arial" w:hAnsi="Arial" w:cs="Arial"/>
                <w:sz w:val="20"/>
                <w:szCs w:val="20"/>
              </w:rPr>
            </w:pPr>
            <w:r>
              <w:rPr>
                <w:rFonts w:ascii="Arial" w:hAnsi="Arial"/>
                <w:sz w:val="20"/>
              </w:rPr>
              <w:t xml:space="preserve">të nisë shërbimet rezervë të bazuara në treg dhe të arrijë të paktën 170 MW kapacitet rregullues fleksibël deri në vitin 2031, </w:t>
            </w:r>
          </w:p>
          <w:p w14:paraId="759D4532" w14:textId="77777777" w:rsidR="00DB49E7" w:rsidRPr="00461F59" w:rsidRDefault="00DB49E7" w:rsidP="00DB49E7">
            <w:pPr>
              <w:numPr>
                <w:ilvl w:val="0"/>
                <w:numId w:val="22"/>
              </w:numPr>
              <w:spacing w:after="120" w:line="252" w:lineRule="auto"/>
              <w:jc w:val="both"/>
              <w:rPr>
                <w:rFonts w:ascii="Arial" w:hAnsi="Arial" w:cs="Arial"/>
                <w:sz w:val="20"/>
                <w:szCs w:val="20"/>
              </w:rPr>
            </w:pPr>
            <w:r>
              <w:rPr>
                <w:rFonts w:ascii="Arial" w:hAnsi="Arial"/>
                <w:sz w:val="20"/>
              </w:rPr>
              <w:t xml:space="preserve">të zvogëlojë humbjet e transmisionit ndaj raporteve aktuale të humbjeve teknike të BE-së deri në vitin 2031 dhe të ulë humbjet e shpërndarjes në nivelet e humbjeve teknike prej 9% deri në vitin 2031, </w:t>
            </w:r>
          </w:p>
          <w:p w14:paraId="2D7477C4" w14:textId="6ADE32AA" w:rsidR="00DB49E7" w:rsidRPr="007E2995" w:rsidRDefault="00DB49E7" w:rsidP="00DB49E7">
            <w:pPr>
              <w:numPr>
                <w:ilvl w:val="0"/>
                <w:numId w:val="22"/>
              </w:numPr>
              <w:spacing w:after="120" w:line="252" w:lineRule="auto"/>
              <w:jc w:val="both"/>
              <w:rPr>
                <w:rFonts w:ascii="Arial" w:hAnsi="Arial" w:cs="Arial"/>
                <w:sz w:val="20"/>
                <w:szCs w:val="20"/>
              </w:rPr>
            </w:pPr>
            <w:r>
              <w:rPr>
                <w:rFonts w:ascii="Arial" w:hAnsi="Arial"/>
                <w:sz w:val="20"/>
              </w:rPr>
              <w:t>të rinovohen dy njësitë e termocentralit Kosova B dhe të paktën një njësi termocentrali Kosova A deri në vitin 2024 për të siguruar të paktën 540 MW kapacitet për ngarkesë bazë dhe 360 MW kapacitet si rezervë strategjike deri në vitin 2030.</w:t>
            </w:r>
          </w:p>
          <w:p w14:paraId="6823638E" w14:textId="77777777" w:rsidR="00DB49E7" w:rsidRPr="007E2995" w:rsidRDefault="00DB49E7" w:rsidP="00DB49E7">
            <w:pPr>
              <w:rPr>
                <w:rFonts w:ascii="Arial" w:hAnsi="Arial" w:cs="Arial"/>
                <w:sz w:val="20"/>
                <w:szCs w:val="20"/>
              </w:rPr>
            </w:pPr>
            <w:bookmarkStart w:id="1" w:name="_Toc105408514"/>
            <w:bookmarkStart w:id="2" w:name="_Toc105408626"/>
            <w:r>
              <w:rPr>
                <w:rFonts w:ascii="Arial" w:hAnsi="Arial"/>
                <w:sz w:val="20"/>
              </w:rPr>
              <w:t>Objektivi specifik 1,3: Rehabilitimi i kapaciteteve ekzistuese të prodhimit të energjisë elektrike</w:t>
            </w:r>
            <w:bookmarkEnd w:id="1"/>
            <w:bookmarkEnd w:id="2"/>
            <w:r>
              <w:rPr>
                <w:rFonts w:ascii="Arial" w:hAnsi="Arial"/>
                <w:sz w:val="20"/>
              </w:rPr>
              <w:t xml:space="preserve"> </w:t>
            </w:r>
          </w:p>
          <w:p w14:paraId="30AF381F" w14:textId="7671A723" w:rsidR="00DB49E7" w:rsidRDefault="00DB49E7" w:rsidP="00DB49E7">
            <w:pPr>
              <w:pBdr>
                <w:top w:val="nil"/>
                <w:left w:val="nil"/>
                <w:bottom w:val="nil"/>
                <w:right w:val="nil"/>
                <w:between w:val="nil"/>
              </w:pBdr>
              <w:spacing w:after="120" w:line="252" w:lineRule="auto"/>
              <w:jc w:val="both"/>
              <w:rPr>
                <w:rFonts w:ascii="Arial" w:hAnsi="Arial" w:cs="Arial"/>
                <w:sz w:val="20"/>
                <w:szCs w:val="20"/>
              </w:rPr>
            </w:pPr>
            <w:r>
              <w:rPr>
                <w:rFonts w:ascii="Arial" w:hAnsi="Arial"/>
                <w:b/>
                <w:sz w:val="20"/>
              </w:rPr>
              <w:t>Investimi në kapacitetet ekzistuese të linjitit është i nevojshëm për të garantuar qëndrueshmërinë e sistemit dhe për të përmbushur standardet e kërkuara të emetimit.</w:t>
            </w:r>
            <w:r>
              <w:rPr>
                <w:rFonts w:ascii="Arial" w:hAnsi="Arial"/>
                <w:sz w:val="20"/>
              </w:rPr>
              <w:t xml:space="preserve"> Njësitë e termocentralit “Kosova B1 dhe B2” do të rinovohen për të ruajtur sigurinë e furnizimit dhe për të ulur emetimet. Rinovimi i njësive </w:t>
            </w:r>
            <w:r>
              <w:rPr>
                <w:rFonts w:ascii="Arial" w:hAnsi="Arial"/>
                <w:sz w:val="20"/>
              </w:rPr>
              <w:lastRenderedPageBreak/>
              <w:t xml:space="preserve">Kosova B1 dhe B2 do të kryhet në dy faza dhe deri në fund të vitit 2024, respektivisht 2025, të dyja njësitë do të operojnë në një mënyrë më efikase, më të besueshme, duke përmbushur standardet e detyrueshme të emetimeve të Direktivës Industriale të Emitimeve. Njëra nga njësitë Kosova A do të rinovohet deri në fund të vitit 2024, ndërsa vendimi për rinovimin ose nxjerrjen nga përdorimi të njësisë së dytë do të merret më së voni në vitin 2024. </w:t>
            </w:r>
          </w:p>
          <w:p w14:paraId="65032B34" w14:textId="699E11CD" w:rsidR="00DB49E7" w:rsidRPr="00580E77" w:rsidRDefault="00DB49E7" w:rsidP="00DB49E7">
            <w:pPr>
              <w:pStyle w:val="NoSpacing"/>
              <w:pBdr>
                <w:top w:val="nil"/>
                <w:left w:val="nil"/>
                <w:bottom w:val="nil"/>
                <w:right w:val="nil"/>
                <w:between w:val="nil"/>
              </w:pBdr>
              <w:rPr>
                <w:rFonts w:ascii="Arial" w:hAnsi="Arial" w:cs="Arial"/>
                <w:b/>
                <w:sz w:val="20"/>
                <w:szCs w:val="20"/>
              </w:rPr>
            </w:pPr>
            <w:r>
              <w:rPr>
                <w:rFonts w:ascii="Arial" w:hAnsi="Arial"/>
                <w:b/>
                <w:sz w:val="20"/>
              </w:rPr>
              <w:t>PROGRAMI I ZBATIMIT TË STRATEGJISË SË ENERGJISË 2022-2025</w:t>
            </w:r>
          </w:p>
          <w:p w14:paraId="459D6380" w14:textId="77777777" w:rsidR="00DB49E7" w:rsidRPr="00580E77" w:rsidRDefault="00DB49E7" w:rsidP="00DB49E7">
            <w:pPr>
              <w:spacing w:after="0"/>
              <w:rPr>
                <w:rFonts w:ascii="Arial" w:hAnsi="Arial" w:cs="Arial"/>
                <w:sz w:val="20"/>
                <w:szCs w:val="20"/>
              </w:rPr>
            </w:pPr>
          </w:p>
          <w:p w14:paraId="41FEF7C5" w14:textId="77777777" w:rsidR="00DB49E7" w:rsidRPr="00580E77" w:rsidRDefault="00DB49E7" w:rsidP="00DB49E7">
            <w:pPr>
              <w:pStyle w:val="Heading2"/>
              <w:spacing w:before="0" w:after="120" w:line="252" w:lineRule="auto"/>
              <w:ind w:left="576" w:hanging="595"/>
              <w:rPr>
                <w:rFonts w:ascii="Arial" w:hAnsi="Arial" w:cs="Arial"/>
                <w:i/>
                <w:color w:val="auto"/>
                <w:sz w:val="20"/>
                <w:szCs w:val="20"/>
              </w:rPr>
            </w:pPr>
            <w:r>
              <w:rPr>
                <w:rFonts w:ascii="Arial" w:hAnsi="Arial"/>
                <w:i/>
                <w:color w:val="auto"/>
                <w:sz w:val="20"/>
              </w:rPr>
              <w:t xml:space="preserve">Objektivi strategjik I: Përmirësimi i qëndrueshmërisë së sistemit </w:t>
            </w:r>
          </w:p>
          <w:p w14:paraId="6D742B56" w14:textId="77777777" w:rsidR="00DB49E7" w:rsidRPr="00580E77" w:rsidRDefault="00DB49E7" w:rsidP="00DB49E7">
            <w:pPr>
              <w:rPr>
                <w:rFonts w:ascii="Arial" w:hAnsi="Arial" w:cs="Arial"/>
                <w:i/>
                <w:iCs/>
                <w:sz w:val="20"/>
                <w:szCs w:val="20"/>
              </w:rPr>
            </w:pPr>
            <w:r>
              <w:rPr>
                <w:rFonts w:ascii="Arial" w:hAnsi="Arial"/>
                <w:i/>
                <w:sz w:val="20"/>
              </w:rPr>
              <w:t>Objektivi specifik I.3:  Rehabilitimi i njësive ekzistuese për energji elektrike</w:t>
            </w:r>
          </w:p>
          <w:p w14:paraId="1CAF7C3A" w14:textId="77777777" w:rsidR="00DB49E7" w:rsidRPr="00580E77" w:rsidRDefault="00DB49E7" w:rsidP="00DB49E7">
            <w:pPr>
              <w:spacing w:after="0"/>
              <w:rPr>
                <w:rFonts w:ascii="Arial" w:hAnsi="Arial" w:cs="Arial"/>
                <w:sz w:val="20"/>
                <w:szCs w:val="20"/>
              </w:rPr>
            </w:pPr>
            <w:r>
              <w:rPr>
                <w:rFonts w:ascii="Arial" w:hAnsi="Arial"/>
                <w:sz w:val="20"/>
              </w:rPr>
              <w:t xml:space="preserve">Aktiviteti I.3.1: Rehabilitimi i njësisë B1, TC Kosova B </w:t>
            </w:r>
          </w:p>
          <w:p w14:paraId="133D8BD3" w14:textId="77777777" w:rsidR="00DB49E7" w:rsidRPr="00D90CEA" w:rsidRDefault="00DB49E7" w:rsidP="00DB49E7">
            <w:pPr>
              <w:spacing w:after="0"/>
              <w:rPr>
                <w:rFonts w:ascii="Arial" w:hAnsi="Arial" w:cs="Arial"/>
                <w:sz w:val="20"/>
                <w:szCs w:val="20"/>
              </w:rPr>
            </w:pPr>
            <w:r>
              <w:rPr>
                <w:rFonts w:ascii="Arial" w:hAnsi="Arial"/>
                <w:sz w:val="20"/>
              </w:rPr>
              <w:t xml:space="preserve">Aktiviteti I.3.2: Rehabilitimi i njësisë B2, TC Kosova B </w:t>
            </w:r>
          </w:p>
          <w:p w14:paraId="11F494F6" w14:textId="2FA06DDA" w:rsidR="00A931A6" w:rsidRPr="00CF7AE6" w:rsidRDefault="00DB49E7" w:rsidP="00CF7AE6">
            <w:pPr>
              <w:spacing w:after="0"/>
              <w:ind w:left="1241" w:hanging="1241"/>
              <w:rPr>
                <w:rFonts w:cs="Arial"/>
              </w:rPr>
            </w:pPr>
            <w:r>
              <w:rPr>
                <w:rFonts w:ascii="Arial" w:hAnsi="Arial"/>
                <w:sz w:val="20"/>
              </w:rPr>
              <w:t>Aktiviteti I.3.3: Rehabilitimi i njësisë së TC Kosova A</w:t>
            </w:r>
          </w:p>
        </w:tc>
      </w:tr>
    </w:tbl>
    <w:p w14:paraId="6DE9137E" w14:textId="77777777" w:rsidR="006F1611" w:rsidRDefault="006F1611">
      <w:pPr>
        <w:spacing w:after="0" w:line="240" w:lineRule="auto"/>
        <w:rPr>
          <w:rFonts w:ascii="Arial" w:hAnsi="Arial" w:cs="Arial"/>
          <w:sz w:val="20"/>
          <w:szCs w:val="20"/>
        </w:rPr>
      </w:pPr>
    </w:p>
    <w:p w14:paraId="46BD25F6" w14:textId="77777777" w:rsidR="006F1611" w:rsidRPr="00515F08" w:rsidRDefault="0074067A" w:rsidP="009E2624">
      <w:pPr>
        <w:pStyle w:val="ListParagraph"/>
        <w:numPr>
          <w:ilvl w:val="0"/>
          <w:numId w:val="2"/>
        </w:numPr>
        <w:spacing w:before="200" w:after="120"/>
        <w:rPr>
          <w:rFonts w:cs="Arial"/>
          <w:b/>
          <w:szCs w:val="20"/>
        </w:rPr>
      </w:pPr>
      <w:r>
        <w:rPr>
          <w:b/>
        </w:rPr>
        <w:t>RELEVANCA STRATEGJIKE</w:t>
      </w:r>
    </w:p>
    <w:tbl>
      <w:tblPr>
        <w:tblW w:w="4947"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938"/>
        <w:gridCol w:w="5853"/>
      </w:tblGrid>
      <w:tr w:rsidR="0074067A" w:rsidRPr="00515F08" w14:paraId="276927B2" w14:textId="77777777" w:rsidTr="0074067A">
        <w:trPr>
          <w:trHeight w:val="4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1662A14" w14:textId="77777777" w:rsidR="0074067A" w:rsidRPr="00515F08" w:rsidRDefault="0074067A" w:rsidP="0074067A">
            <w:pPr>
              <w:spacing w:after="0" w:line="240" w:lineRule="auto"/>
              <w:rPr>
                <w:rFonts w:ascii="Arial" w:hAnsi="Arial" w:cs="Arial"/>
                <w:sz w:val="20"/>
                <w:szCs w:val="20"/>
              </w:rPr>
            </w:pPr>
            <w:r>
              <w:rPr>
                <w:rFonts w:ascii="Arial" w:hAnsi="Arial"/>
                <w:b/>
                <w:sz w:val="20"/>
              </w:rPr>
              <w:t>Shpjegoni veçoritë e projektit në lidhje me:</w:t>
            </w:r>
          </w:p>
        </w:tc>
      </w:tr>
      <w:tr w:rsidR="0098031C" w:rsidRPr="00515F08" w14:paraId="7DBD7D30" w14:textId="77777777" w:rsidTr="007D7B0D">
        <w:trPr>
          <w:trHeight w:val="31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082496C2" w14:textId="77777777" w:rsidR="0098031C" w:rsidRPr="00515F08" w:rsidRDefault="0098031C" w:rsidP="0074067A">
            <w:pPr>
              <w:spacing w:after="0" w:line="240" w:lineRule="auto"/>
              <w:rPr>
                <w:rFonts w:ascii="Arial" w:hAnsi="Arial" w:cs="Arial"/>
                <w:sz w:val="20"/>
                <w:szCs w:val="20"/>
              </w:rPr>
            </w:pPr>
            <w:r>
              <w:rPr>
                <w:rFonts w:ascii="Arial" w:hAnsi="Arial"/>
                <w:sz w:val="20"/>
              </w:rPr>
              <w:t>Përfshirja e tij në listën e fundit PECI</w:t>
            </w:r>
          </w:p>
        </w:tc>
        <w:tc>
          <w:tcPr>
            <w:tcW w:w="2989" w:type="pct"/>
            <w:tcBorders>
              <w:top w:val="single" w:sz="4" w:space="0" w:color="auto"/>
              <w:left w:val="single" w:sz="4" w:space="0" w:color="auto"/>
              <w:bottom w:val="single" w:sz="4" w:space="0" w:color="auto"/>
              <w:right w:val="single" w:sz="4" w:space="0" w:color="auto"/>
            </w:tcBorders>
          </w:tcPr>
          <w:p w14:paraId="7EB841B3" w14:textId="60D4E45E" w:rsidR="0098031C" w:rsidRPr="00515F08" w:rsidRDefault="00780E16" w:rsidP="005040D9">
            <w:pPr>
              <w:shd w:val="clear" w:color="auto" w:fill="FFFFFF"/>
              <w:textAlignment w:val="top"/>
              <w:rPr>
                <w:rFonts w:ascii="Arial" w:hAnsi="Arial" w:cs="Arial"/>
                <w:sz w:val="20"/>
                <w:szCs w:val="20"/>
              </w:rPr>
            </w:pPr>
            <w:r>
              <w:rPr>
                <w:rFonts w:ascii="Arial" w:hAnsi="Arial"/>
                <w:sz w:val="20"/>
              </w:rPr>
              <w:t>Jo</w:t>
            </w:r>
          </w:p>
        </w:tc>
      </w:tr>
      <w:tr w:rsidR="0098031C" w:rsidRPr="00515F08" w14:paraId="49C497B4" w14:textId="77777777" w:rsidTr="007D7B0D">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6978A2BB" w14:textId="77777777" w:rsidR="0098031C" w:rsidRPr="00515F08" w:rsidRDefault="0098031C" w:rsidP="0074067A">
            <w:pPr>
              <w:spacing w:after="0" w:line="240" w:lineRule="auto"/>
              <w:rPr>
                <w:rFonts w:ascii="Arial" w:hAnsi="Arial" w:cs="Arial"/>
                <w:sz w:val="20"/>
                <w:szCs w:val="20"/>
              </w:rPr>
            </w:pPr>
            <w:r>
              <w:rPr>
                <w:rFonts w:ascii="Arial" w:hAnsi="Arial"/>
                <w:sz w:val="20"/>
              </w:rPr>
              <w:t>Koherenca e tij me planet e zhvillimit të infrastrukturës ENTSO-E, ENTSOG</w:t>
            </w:r>
          </w:p>
        </w:tc>
        <w:tc>
          <w:tcPr>
            <w:tcW w:w="2989" w:type="pct"/>
            <w:tcBorders>
              <w:top w:val="single" w:sz="4" w:space="0" w:color="auto"/>
              <w:left w:val="single" w:sz="4" w:space="0" w:color="auto"/>
              <w:bottom w:val="single" w:sz="4" w:space="0" w:color="auto"/>
              <w:right w:val="single" w:sz="4" w:space="0" w:color="auto"/>
            </w:tcBorders>
          </w:tcPr>
          <w:p w14:paraId="5407C95B" w14:textId="75537CAA" w:rsidR="0098031C" w:rsidRPr="00515F08" w:rsidRDefault="00780E16" w:rsidP="005040D9">
            <w:pPr>
              <w:pStyle w:val="NoSpacing"/>
              <w:rPr>
                <w:rFonts w:ascii="Arial" w:hAnsi="Arial" w:cs="Arial"/>
                <w:sz w:val="20"/>
                <w:szCs w:val="20"/>
              </w:rPr>
            </w:pPr>
            <w:r>
              <w:rPr>
                <w:rFonts w:ascii="Arial" w:hAnsi="Arial"/>
                <w:sz w:val="20"/>
              </w:rPr>
              <w:t>Jo</w:t>
            </w:r>
          </w:p>
        </w:tc>
      </w:tr>
      <w:tr w:rsidR="0098031C" w:rsidRPr="00515F08" w14:paraId="64D0A018" w14:textId="77777777" w:rsidTr="007D7B0D">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5FCA098" w14:textId="77777777" w:rsidR="0098031C" w:rsidRPr="00515F08" w:rsidRDefault="0098031C" w:rsidP="0074067A">
            <w:pPr>
              <w:spacing w:after="0" w:line="240" w:lineRule="auto"/>
              <w:rPr>
                <w:rFonts w:ascii="Arial" w:hAnsi="Arial" w:cs="Arial"/>
                <w:sz w:val="20"/>
                <w:szCs w:val="20"/>
              </w:rPr>
            </w:pPr>
            <w:r>
              <w:rPr>
                <w:rFonts w:ascii="Arial" w:hAnsi="Arial"/>
                <w:sz w:val="20"/>
              </w:rPr>
              <w:t>Kontributi i tij në përmirësimin e sigurisë së furnizimit</w:t>
            </w:r>
          </w:p>
        </w:tc>
        <w:tc>
          <w:tcPr>
            <w:tcW w:w="2989" w:type="pct"/>
            <w:tcBorders>
              <w:top w:val="single" w:sz="4" w:space="0" w:color="auto"/>
              <w:left w:val="single" w:sz="4" w:space="0" w:color="auto"/>
              <w:bottom w:val="single" w:sz="4" w:space="0" w:color="auto"/>
              <w:right w:val="single" w:sz="4" w:space="0" w:color="auto"/>
            </w:tcBorders>
          </w:tcPr>
          <w:p w14:paraId="17A9B6A5" w14:textId="13E87C53" w:rsidR="0098031C" w:rsidRPr="00515F08" w:rsidRDefault="00780E16" w:rsidP="005040D9">
            <w:pPr>
              <w:rPr>
                <w:rFonts w:ascii="Arial" w:hAnsi="Arial" w:cs="Arial"/>
                <w:sz w:val="20"/>
                <w:szCs w:val="20"/>
              </w:rPr>
            </w:pPr>
            <w:r>
              <w:rPr>
                <w:rFonts w:ascii="Arial" w:hAnsi="Arial"/>
                <w:sz w:val="20"/>
              </w:rPr>
              <w:t>Jo</w:t>
            </w:r>
          </w:p>
        </w:tc>
      </w:tr>
      <w:tr w:rsidR="0098031C" w:rsidRPr="00515F08" w14:paraId="36A304A8" w14:textId="77777777" w:rsidTr="007D7B0D">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329AB5DA" w14:textId="77777777" w:rsidR="0098031C" w:rsidRPr="00515F08" w:rsidRDefault="0098031C" w:rsidP="0074067A">
            <w:pPr>
              <w:spacing w:after="0" w:line="240" w:lineRule="auto"/>
              <w:rPr>
                <w:rFonts w:ascii="Arial" w:hAnsi="Arial" w:cs="Arial"/>
                <w:sz w:val="20"/>
                <w:szCs w:val="20"/>
              </w:rPr>
            </w:pPr>
            <w:r>
              <w:rPr>
                <w:rFonts w:ascii="Arial" w:hAnsi="Arial"/>
                <w:sz w:val="20"/>
              </w:rPr>
              <w:t>Ndikimi i tij në përmirësimin e infrastrukturës lokale</w:t>
            </w:r>
          </w:p>
        </w:tc>
        <w:tc>
          <w:tcPr>
            <w:tcW w:w="2989" w:type="pct"/>
            <w:tcBorders>
              <w:top w:val="single" w:sz="4" w:space="0" w:color="auto"/>
              <w:left w:val="single" w:sz="4" w:space="0" w:color="auto"/>
              <w:bottom w:val="single" w:sz="4" w:space="0" w:color="auto"/>
              <w:right w:val="single" w:sz="4" w:space="0" w:color="auto"/>
            </w:tcBorders>
          </w:tcPr>
          <w:p w14:paraId="743F2CB5" w14:textId="5D49B388" w:rsidR="0098031C" w:rsidRPr="00515F08" w:rsidRDefault="00780E16" w:rsidP="005040D9">
            <w:pPr>
              <w:rPr>
                <w:rFonts w:ascii="Arial" w:hAnsi="Arial" w:cs="Arial"/>
                <w:sz w:val="20"/>
                <w:szCs w:val="20"/>
              </w:rPr>
            </w:pPr>
            <w:r>
              <w:rPr>
                <w:rFonts w:ascii="Arial" w:hAnsi="Arial"/>
                <w:sz w:val="20"/>
              </w:rPr>
              <w:t>Jo</w:t>
            </w:r>
          </w:p>
        </w:tc>
      </w:tr>
      <w:tr w:rsidR="0098031C" w:rsidRPr="00515F08" w14:paraId="5A6DC053" w14:textId="77777777" w:rsidTr="007D7B0D">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26F65FE6" w14:textId="77777777" w:rsidR="0098031C" w:rsidRPr="00515F08" w:rsidRDefault="0098031C" w:rsidP="0074067A">
            <w:pPr>
              <w:spacing w:after="0" w:line="240" w:lineRule="auto"/>
              <w:rPr>
                <w:rFonts w:ascii="Arial" w:hAnsi="Arial" w:cs="Arial"/>
                <w:sz w:val="20"/>
                <w:szCs w:val="20"/>
              </w:rPr>
            </w:pPr>
            <w:r>
              <w:rPr>
                <w:rFonts w:ascii="Arial" w:hAnsi="Arial"/>
                <w:sz w:val="20"/>
              </w:rPr>
              <w:t>Rritja e burimeve të ripërtërishme të energjisë dhe/ose efiçencës së energjisë</w:t>
            </w:r>
          </w:p>
        </w:tc>
        <w:tc>
          <w:tcPr>
            <w:tcW w:w="2989" w:type="pct"/>
            <w:tcBorders>
              <w:top w:val="single" w:sz="4" w:space="0" w:color="auto"/>
              <w:left w:val="single" w:sz="4" w:space="0" w:color="auto"/>
              <w:bottom w:val="single" w:sz="4" w:space="0" w:color="auto"/>
              <w:right w:val="single" w:sz="4" w:space="0" w:color="auto"/>
            </w:tcBorders>
          </w:tcPr>
          <w:p w14:paraId="54C9BD3D" w14:textId="65956F31" w:rsidR="0098031C" w:rsidRPr="00515F08" w:rsidRDefault="00780E16" w:rsidP="005040D9">
            <w:pPr>
              <w:rPr>
                <w:rFonts w:ascii="Arial" w:hAnsi="Arial" w:cs="Arial"/>
                <w:sz w:val="20"/>
                <w:szCs w:val="20"/>
              </w:rPr>
            </w:pPr>
            <w:r>
              <w:rPr>
                <w:rFonts w:ascii="Arial" w:hAnsi="Arial"/>
                <w:sz w:val="20"/>
              </w:rPr>
              <w:t>Jo</w:t>
            </w:r>
          </w:p>
        </w:tc>
      </w:tr>
      <w:tr w:rsidR="0098031C" w:rsidRPr="00515F08" w14:paraId="448B6323" w14:textId="77777777" w:rsidTr="007D7B0D">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3F7810F6" w14:textId="77777777" w:rsidR="0098031C" w:rsidRPr="00515F08" w:rsidRDefault="0098031C" w:rsidP="00E548AE">
            <w:pPr>
              <w:spacing w:after="0" w:line="240" w:lineRule="auto"/>
              <w:rPr>
                <w:rFonts w:ascii="Arial" w:hAnsi="Arial" w:cs="Arial"/>
                <w:sz w:val="20"/>
                <w:szCs w:val="20"/>
              </w:rPr>
            </w:pPr>
            <w:r>
              <w:rPr>
                <w:rFonts w:ascii="Arial" w:hAnsi="Arial"/>
                <w:sz w:val="20"/>
              </w:rPr>
              <w:t>Reduktimi i emetimeve të CO</w:t>
            </w:r>
            <w:r>
              <w:rPr>
                <w:rFonts w:ascii="Arial" w:hAnsi="Arial"/>
                <w:sz w:val="20"/>
                <w:vertAlign w:val="subscript"/>
              </w:rPr>
              <w:t>2</w:t>
            </w:r>
          </w:p>
        </w:tc>
        <w:tc>
          <w:tcPr>
            <w:tcW w:w="2989" w:type="pct"/>
            <w:tcBorders>
              <w:top w:val="single" w:sz="4" w:space="0" w:color="auto"/>
              <w:left w:val="single" w:sz="4" w:space="0" w:color="auto"/>
              <w:bottom w:val="single" w:sz="4" w:space="0" w:color="auto"/>
              <w:right w:val="single" w:sz="4" w:space="0" w:color="auto"/>
            </w:tcBorders>
          </w:tcPr>
          <w:p w14:paraId="7C2F7AEA" w14:textId="2DA14896" w:rsidR="0098031C" w:rsidRPr="00515F08" w:rsidRDefault="00780E16" w:rsidP="005040D9">
            <w:pPr>
              <w:rPr>
                <w:rFonts w:ascii="Arial" w:hAnsi="Arial" w:cs="Arial"/>
                <w:sz w:val="20"/>
                <w:szCs w:val="20"/>
              </w:rPr>
            </w:pPr>
            <w:r>
              <w:rPr>
                <w:rFonts w:ascii="Arial" w:hAnsi="Arial"/>
                <w:sz w:val="20"/>
              </w:rPr>
              <w:t>Jo</w:t>
            </w:r>
          </w:p>
        </w:tc>
      </w:tr>
      <w:tr w:rsidR="0098031C" w:rsidRPr="00515F08" w14:paraId="392ADF3C" w14:textId="77777777" w:rsidTr="007D7B0D">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32670092" w14:textId="77777777" w:rsidR="0098031C" w:rsidRPr="00515F08" w:rsidRDefault="0098031C" w:rsidP="0074067A">
            <w:pPr>
              <w:spacing w:after="0" w:line="240" w:lineRule="auto"/>
              <w:rPr>
                <w:rFonts w:ascii="Arial" w:hAnsi="Arial" w:cs="Arial"/>
                <w:sz w:val="20"/>
                <w:szCs w:val="20"/>
              </w:rPr>
            </w:pPr>
            <w:r>
              <w:rPr>
                <w:rFonts w:ascii="Arial" w:hAnsi="Arial"/>
                <w:sz w:val="20"/>
              </w:rPr>
              <w:t>Kontributi i tij në rritjen e përgjithshme ekonomike</w:t>
            </w:r>
          </w:p>
        </w:tc>
        <w:tc>
          <w:tcPr>
            <w:tcW w:w="2989" w:type="pct"/>
            <w:tcBorders>
              <w:top w:val="single" w:sz="4" w:space="0" w:color="auto"/>
              <w:left w:val="single" w:sz="4" w:space="0" w:color="auto"/>
              <w:bottom w:val="single" w:sz="4" w:space="0" w:color="auto"/>
              <w:right w:val="single" w:sz="4" w:space="0" w:color="auto"/>
            </w:tcBorders>
          </w:tcPr>
          <w:p w14:paraId="348DA620" w14:textId="7E674B03" w:rsidR="0098031C" w:rsidRPr="00515F08" w:rsidRDefault="00780E16" w:rsidP="005040D9">
            <w:pPr>
              <w:rPr>
                <w:rFonts w:ascii="Arial" w:eastAsia="Calibri" w:hAnsi="Arial" w:cs="Arial"/>
                <w:sz w:val="20"/>
                <w:szCs w:val="20"/>
              </w:rPr>
            </w:pPr>
            <w:r>
              <w:rPr>
                <w:rFonts w:ascii="Arial" w:hAnsi="Arial"/>
                <w:sz w:val="20"/>
              </w:rPr>
              <w:t>Jo</w:t>
            </w:r>
          </w:p>
        </w:tc>
      </w:tr>
      <w:tr w:rsidR="0098031C" w:rsidRPr="00515F08" w14:paraId="46D15E2D" w14:textId="77777777" w:rsidTr="007D7B0D">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3CC2D0D2" w14:textId="77777777" w:rsidR="0098031C" w:rsidRPr="00515F08" w:rsidRDefault="0098031C" w:rsidP="0074067A">
            <w:pPr>
              <w:spacing w:after="0" w:line="240" w:lineRule="auto"/>
              <w:rPr>
                <w:rFonts w:ascii="Arial" w:hAnsi="Arial" w:cs="Arial"/>
                <w:sz w:val="20"/>
                <w:szCs w:val="20"/>
              </w:rPr>
            </w:pPr>
            <w:r>
              <w:rPr>
                <w:rFonts w:ascii="Arial" w:hAnsi="Arial"/>
                <w:sz w:val="20"/>
              </w:rPr>
              <w:t>Integrimi me projekte të tjera</w:t>
            </w:r>
          </w:p>
        </w:tc>
        <w:tc>
          <w:tcPr>
            <w:tcW w:w="2989" w:type="pct"/>
            <w:tcBorders>
              <w:top w:val="single" w:sz="4" w:space="0" w:color="auto"/>
              <w:left w:val="single" w:sz="4" w:space="0" w:color="auto"/>
              <w:bottom w:val="single" w:sz="4" w:space="0" w:color="auto"/>
              <w:right w:val="single" w:sz="4" w:space="0" w:color="auto"/>
            </w:tcBorders>
          </w:tcPr>
          <w:p w14:paraId="18D1E1D5" w14:textId="6BDE03B9" w:rsidR="0098031C" w:rsidRPr="00515F08" w:rsidRDefault="00780E16" w:rsidP="005040D9">
            <w:pPr>
              <w:rPr>
                <w:rFonts w:ascii="Arial" w:eastAsia="Calibri" w:hAnsi="Arial" w:cs="Arial"/>
                <w:sz w:val="20"/>
                <w:szCs w:val="20"/>
              </w:rPr>
            </w:pPr>
            <w:r>
              <w:rPr>
                <w:rFonts w:ascii="Arial" w:hAnsi="Arial"/>
                <w:sz w:val="20"/>
              </w:rPr>
              <w:t>Jo</w:t>
            </w:r>
          </w:p>
        </w:tc>
      </w:tr>
      <w:tr w:rsidR="0098031C" w:rsidRPr="00515F08" w14:paraId="27C5D52A" w14:textId="77777777" w:rsidTr="007D7B0D">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6916CE38" w14:textId="77777777" w:rsidR="0098031C" w:rsidRPr="00515F08" w:rsidRDefault="0098031C" w:rsidP="0074067A">
            <w:pPr>
              <w:spacing w:after="0" w:line="240" w:lineRule="auto"/>
              <w:rPr>
                <w:rFonts w:ascii="Arial" w:hAnsi="Arial" w:cs="Arial"/>
                <w:sz w:val="20"/>
                <w:szCs w:val="20"/>
              </w:rPr>
            </w:pPr>
            <w:r>
              <w:rPr>
                <w:rFonts w:ascii="Arial" w:hAnsi="Arial"/>
                <w:sz w:val="20"/>
              </w:rPr>
              <w:t>Rreziqet që lidhen me projektin</w:t>
            </w:r>
          </w:p>
        </w:tc>
        <w:tc>
          <w:tcPr>
            <w:tcW w:w="2989" w:type="pct"/>
            <w:tcBorders>
              <w:top w:val="single" w:sz="4" w:space="0" w:color="auto"/>
              <w:left w:val="single" w:sz="4" w:space="0" w:color="auto"/>
              <w:bottom w:val="single" w:sz="4" w:space="0" w:color="auto"/>
              <w:right w:val="single" w:sz="4" w:space="0" w:color="auto"/>
            </w:tcBorders>
          </w:tcPr>
          <w:p w14:paraId="2AF22D6F" w14:textId="370964F9" w:rsidR="0098031C" w:rsidRPr="00515F08" w:rsidRDefault="0098031C" w:rsidP="005040D9">
            <w:pPr>
              <w:pStyle w:val="NoSpacing"/>
              <w:spacing w:line="276" w:lineRule="auto"/>
              <w:rPr>
                <w:rFonts w:ascii="Arial" w:hAnsi="Arial" w:cs="Arial"/>
                <w:sz w:val="20"/>
                <w:szCs w:val="20"/>
              </w:rPr>
            </w:pPr>
            <w:r>
              <w:rPr>
                <w:rStyle w:val="hps"/>
                <w:rFonts w:ascii="Arial" w:hAnsi="Arial"/>
                <w:sz w:val="20"/>
              </w:rPr>
              <w:t xml:space="preserve">Dështimi në zbatimin e një projekti të tillë do të vazhdojë të rrezikojë mjedisin. Më pas, </w:t>
            </w:r>
            <w:r>
              <w:rPr>
                <w:rFonts w:ascii="Arial" w:hAnsi="Arial"/>
                <w:sz w:val="20"/>
              </w:rPr>
              <w:t>rreziku i konsiderueshëm negativ për ajrin dhe shëndetin publik do të vazhdojë të përkeqësohet.</w:t>
            </w:r>
          </w:p>
        </w:tc>
      </w:tr>
    </w:tbl>
    <w:p w14:paraId="6B8F7DED" w14:textId="77777777" w:rsidR="0074067A" w:rsidRPr="00515F08" w:rsidRDefault="0074067A" w:rsidP="001C2CAF">
      <w:pPr>
        <w:pStyle w:val="Heading1"/>
        <w:spacing w:before="240" w:after="120"/>
        <w:jc w:val="center"/>
        <w:rPr>
          <w:rFonts w:ascii="Arial" w:hAnsi="Arial" w:cs="Arial"/>
          <w:color w:val="auto"/>
          <w:sz w:val="20"/>
          <w:szCs w:val="20"/>
        </w:rPr>
      </w:pPr>
      <w:r>
        <w:rPr>
          <w:rFonts w:ascii="Arial" w:hAnsi="Arial"/>
          <w:color w:val="auto"/>
          <w:sz w:val="20"/>
        </w:rPr>
        <w:t>Pjesa e dytë</w:t>
      </w:r>
    </w:p>
    <w:p w14:paraId="7ADEECD9" w14:textId="77777777" w:rsidR="0074067A" w:rsidRPr="00515F08" w:rsidRDefault="0074067A" w:rsidP="009E2624">
      <w:pPr>
        <w:pStyle w:val="ListParagraph"/>
        <w:numPr>
          <w:ilvl w:val="0"/>
          <w:numId w:val="2"/>
        </w:numPr>
        <w:spacing w:after="120"/>
        <w:rPr>
          <w:rFonts w:cs="Arial"/>
          <w:b/>
          <w:szCs w:val="20"/>
        </w:rPr>
      </w:pPr>
      <w:r>
        <w:rPr>
          <w:b/>
        </w:rPr>
        <w:t>MATURITETI</w:t>
      </w:r>
    </w:p>
    <w:tbl>
      <w:tblPr>
        <w:tblW w:w="4947"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5559"/>
        <w:gridCol w:w="1567"/>
        <w:gridCol w:w="1394"/>
        <w:gridCol w:w="1271"/>
      </w:tblGrid>
      <w:tr w:rsidR="0074067A" w:rsidRPr="00515F08" w14:paraId="02DFC780"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31357F" w14:textId="77777777" w:rsidR="0074067A" w:rsidRPr="00515F08" w:rsidRDefault="0074067A" w:rsidP="0074067A">
            <w:pPr>
              <w:spacing w:after="0" w:line="240" w:lineRule="auto"/>
              <w:rPr>
                <w:rFonts w:ascii="Arial" w:hAnsi="Arial" w:cs="Arial"/>
                <w:b/>
                <w:sz w:val="20"/>
                <w:szCs w:val="20"/>
              </w:rPr>
            </w:pPr>
            <w:r>
              <w:rPr>
                <w:rFonts w:ascii="Arial" w:hAnsi="Arial"/>
                <w:b/>
                <w:sz w:val="20"/>
              </w:rPr>
              <w:t>Studimet dhe dokumentet në dispozicion</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DE1BEE" w14:textId="77777777" w:rsidR="0074067A" w:rsidRPr="00515F08" w:rsidRDefault="0074067A" w:rsidP="0074067A">
            <w:pPr>
              <w:spacing w:after="0" w:line="240" w:lineRule="auto"/>
              <w:jc w:val="center"/>
              <w:rPr>
                <w:rFonts w:ascii="Arial" w:hAnsi="Arial" w:cs="Arial"/>
                <w:b/>
                <w:sz w:val="20"/>
                <w:szCs w:val="20"/>
              </w:rPr>
            </w:pPr>
            <w:r>
              <w:rPr>
                <w:rFonts w:ascii="Arial" w:hAnsi="Arial"/>
                <w:b/>
                <w:sz w:val="20"/>
              </w:rPr>
              <w:t>Gati dhe të miratuara</w:t>
            </w:r>
          </w:p>
        </w:tc>
        <w:tc>
          <w:tcPr>
            <w:tcW w:w="7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E26EA5" w14:textId="77777777" w:rsidR="0074067A" w:rsidRPr="00515F08" w:rsidRDefault="0074067A" w:rsidP="0074067A">
            <w:pPr>
              <w:spacing w:after="0" w:line="240" w:lineRule="auto"/>
              <w:jc w:val="center"/>
              <w:rPr>
                <w:rFonts w:ascii="Arial" w:hAnsi="Arial" w:cs="Arial"/>
                <w:b/>
                <w:sz w:val="20"/>
                <w:szCs w:val="20"/>
              </w:rPr>
            </w:pPr>
            <w:r>
              <w:rPr>
                <w:rFonts w:ascii="Arial" w:hAnsi="Arial"/>
                <w:b/>
                <w:sz w:val="20"/>
              </w:rPr>
              <w:t>Duke u punuar</w:t>
            </w:r>
          </w:p>
        </w:tc>
        <w:tc>
          <w:tcPr>
            <w:tcW w:w="6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BBB370" w14:textId="77777777" w:rsidR="0074067A" w:rsidRPr="00515F08" w:rsidRDefault="0074067A" w:rsidP="0074067A">
            <w:pPr>
              <w:spacing w:after="0" w:line="240" w:lineRule="auto"/>
              <w:jc w:val="center"/>
              <w:rPr>
                <w:rFonts w:ascii="Arial" w:hAnsi="Arial" w:cs="Arial"/>
                <w:b/>
                <w:sz w:val="20"/>
                <w:szCs w:val="20"/>
              </w:rPr>
            </w:pPr>
            <w:r>
              <w:rPr>
                <w:rFonts w:ascii="Arial" w:hAnsi="Arial"/>
                <w:b/>
                <w:sz w:val="20"/>
              </w:rPr>
              <w:t>Nuk ka filluar ende</w:t>
            </w:r>
          </w:p>
        </w:tc>
      </w:tr>
      <w:tr w:rsidR="0098031C" w:rsidRPr="00515F08" w14:paraId="2C87695E" w14:textId="77777777" w:rsidTr="00F3795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5DF53E0F" w14:textId="77777777" w:rsidR="0098031C" w:rsidRPr="00515F08" w:rsidRDefault="0098031C" w:rsidP="0074067A">
            <w:pPr>
              <w:spacing w:after="0" w:line="240" w:lineRule="auto"/>
              <w:rPr>
                <w:rFonts w:ascii="Arial" w:hAnsi="Arial" w:cs="Arial"/>
                <w:sz w:val="20"/>
                <w:szCs w:val="20"/>
              </w:rPr>
            </w:pPr>
            <w:r>
              <w:rPr>
                <w:rFonts w:ascii="Arial" w:hAnsi="Arial"/>
                <w:sz w:val="20"/>
              </w:rPr>
              <w:t>Idea konceptuale</w:t>
            </w:r>
          </w:p>
        </w:tc>
        <w:tc>
          <w:tcPr>
            <w:tcW w:w="800" w:type="pct"/>
            <w:tcBorders>
              <w:top w:val="single" w:sz="4" w:space="0" w:color="auto"/>
              <w:left w:val="single" w:sz="4" w:space="0" w:color="auto"/>
              <w:bottom w:val="single" w:sz="4" w:space="0" w:color="auto"/>
              <w:right w:val="single" w:sz="4" w:space="0" w:color="auto"/>
            </w:tcBorders>
          </w:tcPr>
          <w:p w14:paraId="245AA703" w14:textId="77777777" w:rsidR="0098031C" w:rsidRPr="00515F08" w:rsidRDefault="0098031C" w:rsidP="009E2624">
            <w:pPr>
              <w:pStyle w:val="ListParagraph"/>
              <w:numPr>
                <w:ilvl w:val="0"/>
                <w:numId w:val="9"/>
              </w:numPr>
              <w:jc w:val="center"/>
              <w:rPr>
                <w:rFonts w:cs="Arial"/>
                <w:szCs w:val="20"/>
              </w:rPr>
            </w:pPr>
          </w:p>
        </w:tc>
        <w:tc>
          <w:tcPr>
            <w:tcW w:w="712" w:type="pct"/>
            <w:tcBorders>
              <w:top w:val="single" w:sz="4" w:space="0" w:color="auto"/>
              <w:left w:val="single" w:sz="4" w:space="0" w:color="auto"/>
              <w:bottom w:val="single" w:sz="4" w:space="0" w:color="auto"/>
              <w:right w:val="single" w:sz="4" w:space="0" w:color="auto"/>
            </w:tcBorders>
          </w:tcPr>
          <w:p w14:paraId="44C5D53D" w14:textId="77777777" w:rsidR="0098031C" w:rsidRPr="00515F08" w:rsidRDefault="0098031C" w:rsidP="005040D9">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tcPr>
          <w:p w14:paraId="74925302" w14:textId="77777777" w:rsidR="0098031C" w:rsidRPr="00515F08" w:rsidRDefault="0098031C" w:rsidP="005040D9">
            <w:pPr>
              <w:jc w:val="center"/>
              <w:rPr>
                <w:rFonts w:ascii="Arial" w:hAnsi="Arial" w:cs="Arial"/>
                <w:sz w:val="20"/>
                <w:szCs w:val="20"/>
              </w:rPr>
            </w:pPr>
          </w:p>
        </w:tc>
      </w:tr>
      <w:tr w:rsidR="0098031C" w:rsidRPr="00515F08" w14:paraId="7697E544" w14:textId="77777777" w:rsidTr="00F3795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61E1F584" w14:textId="77777777" w:rsidR="0098031C" w:rsidRPr="00515F08" w:rsidRDefault="0098031C" w:rsidP="0074067A">
            <w:pPr>
              <w:spacing w:after="0" w:line="240" w:lineRule="auto"/>
              <w:rPr>
                <w:rFonts w:ascii="Arial" w:hAnsi="Arial" w:cs="Arial"/>
                <w:sz w:val="20"/>
                <w:szCs w:val="20"/>
              </w:rPr>
            </w:pPr>
            <w:r>
              <w:rPr>
                <w:rFonts w:ascii="Arial" w:hAnsi="Arial"/>
                <w:sz w:val="20"/>
              </w:rPr>
              <w:t>Studimi paraprak i fizibilitetit</w:t>
            </w:r>
          </w:p>
        </w:tc>
        <w:tc>
          <w:tcPr>
            <w:tcW w:w="800" w:type="pct"/>
            <w:tcBorders>
              <w:top w:val="single" w:sz="4" w:space="0" w:color="auto"/>
              <w:left w:val="single" w:sz="4" w:space="0" w:color="auto"/>
              <w:bottom w:val="single" w:sz="4" w:space="0" w:color="auto"/>
              <w:right w:val="single" w:sz="4" w:space="0" w:color="auto"/>
            </w:tcBorders>
          </w:tcPr>
          <w:p w14:paraId="3494B5E6" w14:textId="77777777" w:rsidR="0098031C" w:rsidRPr="00515F08" w:rsidRDefault="0098031C" w:rsidP="009E2624">
            <w:pPr>
              <w:pStyle w:val="ListParagraph"/>
              <w:numPr>
                <w:ilvl w:val="0"/>
                <w:numId w:val="9"/>
              </w:numPr>
              <w:jc w:val="center"/>
              <w:rPr>
                <w:rFonts w:cs="Arial"/>
                <w:szCs w:val="20"/>
              </w:rPr>
            </w:pPr>
          </w:p>
        </w:tc>
        <w:tc>
          <w:tcPr>
            <w:tcW w:w="712" w:type="pct"/>
            <w:tcBorders>
              <w:top w:val="single" w:sz="4" w:space="0" w:color="auto"/>
              <w:left w:val="single" w:sz="4" w:space="0" w:color="auto"/>
              <w:bottom w:val="single" w:sz="4" w:space="0" w:color="auto"/>
              <w:right w:val="single" w:sz="4" w:space="0" w:color="auto"/>
            </w:tcBorders>
          </w:tcPr>
          <w:p w14:paraId="48131671" w14:textId="77777777" w:rsidR="0098031C" w:rsidRPr="00515F08" w:rsidRDefault="0098031C" w:rsidP="005040D9">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tcPr>
          <w:p w14:paraId="1F50B762" w14:textId="77777777" w:rsidR="0098031C" w:rsidRPr="00515F08" w:rsidRDefault="0098031C" w:rsidP="005040D9">
            <w:pPr>
              <w:jc w:val="center"/>
              <w:rPr>
                <w:rFonts w:ascii="Arial" w:hAnsi="Arial" w:cs="Arial"/>
                <w:sz w:val="20"/>
                <w:szCs w:val="20"/>
              </w:rPr>
            </w:pPr>
          </w:p>
        </w:tc>
      </w:tr>
      <w:tr w:rsidR="0098031C" w:rsidRPr="00515F08" w14:paraId="61950070" w14:textId="77777777" w:rsidTr="00F3795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3C436A86" w14:textId="77777777" w:rsidR="0098031C" w:rsidRPr="00515F08" w:rsidRDefault="0098031C" w:rsidP="0074067A">
            <w:pPr>
              <w:spacing w:after="0" w:line="240" w:lineRule="auto"/>
              <w:rPr>
                <w:rFonts w:ascii="Arial" w:hAnsi="Arial" w:cs="Arial"/>
                <w:sz w:val="20"/>
                <w:szCs w:val="20"/>
              </w:rPr>
            </w:pPr>
            <w:r>
              <w:rPr>
                <w:rFonts w:ascii="Arial" w:hAnsi="Arial"/>
                <w:sz w:val="20"/>
              </w:rPr>
              <w:t>Projektimi konceptual</w:t>
            </w:r>
          </w:p>
        </w:tc>
        <w:tc>
          <w:tcPr>
            <w:tcW w:w="800" w:type="pct"/>
            <w:tcBorders>
              <w:top w:val="single" w:sz="4" w:space="0" w:color="auto"/>
              <w:left w:val="single" w:sz="4" w:space="0" w:color="auto"/>
              <w:bottom w:val="single" w:sz="4" w:space="0" w:color="auto"/>
              <w:right w:val="single" w:sz="4" w:space="0" w:color="auto"/>
            </w:tcBorders>
          </w:tcPr>
          <w:p w14:paraId="015A643C" w14:textId="77777777" w:rsidR="0098031C" w:rsidRPr="00515F08" w:rsidRDefault="0098031C" w:rsidP="009E2624">
            <w:pPr>
              <w:pStyle w:val="ListParagraph"/>
              <w:numPr>
                <w:ilvl w:val="0"/>
                <w:numId w:val="9"/>
              </w:numPr>
              <w:jc w:val="center"/>
              <w:rPr>
                <w:rFonts w:cs="Arial"/>
                <w:szCs w:val="20"/>
              </w:rPr>
            </w:pPr>
          </w:p>
        </w:tc>
        <w:tc>
          <w:tcPr>
            <w:tcW w:w="712" w:type="pct"/>
            <w:tcBorders>
              <w:top w:val="single" w:sz="4" w:space="0" w:color="auto"/>
              <w:left w:val="single" w:sz="4" w:space="0" w:color="auto"/>
              <w:bottom w:val="single" w:sz="4" w:space="0" w:color="auto"/>
              <w:right w:val="single" w:sz="4" w:space="0" w:color="auto"/>
            </w:tcBorders>
          </w:tcPr>
          <w:p w14:paraId="03C40534" w14:textId="77777777" w:rsidR="0098031C" w:rsidRPr="00515F08" w:rsidRDefault="0098031C" w:rsidP="005040D9">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tcPr>
          <w:p w14:paraId="1208403C" w14:textId="77777777" w:rsidR="0098031C" w:rsidRPr="00515F08" w:rsidRDefault="0098031C" w:rsidP="005040D9">
            <w:pPr>
              <w:jc w:val="center"/>
              <w:rPr>
                <w:rFonts w:ascii="Arial" w:hAnsi="Arial" w:cs="Arial"/>
                <w:sz w:val="20"/>
                <w:szCs w:val="20"/>
              </w:rPr>
            </w:pPr>
          </w:p>
        </w:tc>
      </w:tr>
      <w:tr w:rsidR="0098031C" w:rsidRPr="00515F08" w14:paraId="1A9D64B2" w14:textId="77777777" w:rsidTr="00F3795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2C3EC3ED" w14:textId="77777777" w:rsidR="0098031C" w:rsidRPr="00515F08" w:rsidRDefault="0098031C" w:rsidP="0074067A">
            <w:pPr>
              <w:spacing w:after="0" w:line="240" w:lineRule="auto"/>
              <w:rPr>
                <w:rFonts w:ascii="Arial" w:hAnsi="Arial" w:cs="Arial"/>
                <w:sz w:val="20"/>
                <w:szCs w:val="20"/>
              </w:rPr>
            </w:pPr>
            <w:r>
              <w:rPr>
                <w:rFonts w:ascii="Arial" w:hAnsi="Arial"/>
                <w:sz w:val="20"/>
              </w:rPr>
              <w:t>Studimi i fizibilitetit + AKP</w:t>
            </w:r>
          </w:p>
        </w:tc>
        <w:tc>
          <w:tcPr>
            <w:tcW w:w="800" w:type="pct"/>
            <w:tcBorders>
              <w:top w:val="single" w:sz="4" w:space="0" w:color="auto"/>
              <w:left w:val="single" w:sz="4" w:space="0" w:color="auto"/>
              <w:bottom w:val="single" w:sz="4" w:space="0" w:color="auto"/>
              <w:right w:val="single" w:sz="4" w:space="0" w:color="auto"/>
            </w:tcBorders>
          </w:tcPr>
          <w:p w14:paraId="7EEF3515" w14:textId="77777777" w:rsidR="0098031C" w:rsidRPr="00515F08" w:rsidRDefault="0098031C" w:rsidP="009E2624">
            <w:pPr>
              <w:pStyle w:val="ListParagraph"/>
              <w:numPr>
                <w:ilvl w:val="0"/>
                <w:numId w:val="9"/>
              </w:numPr>
              <w:jc w:val="center"/>
              <w:rPr>
                <w:rFonts w:cs="Arial"/>
                <w:szCs w:val="20"/>
              </w:rPr>
            </w:pPr>
          </w:p>
        </w:tc>
        <w:tc>
          <w:tcPr>
            <w:tcW w:w="712" w:type="pct"/>
            <w:tcBorders>
              <w:top w:val="single" w:sz="4" w:space="0" w:color="auto"/>
              <w:left w:val="single" w:sz="4" w:space="0" w:color="auto"/>
              <w:bottom w:val="single" w:sz="4" w:space="0" w:color="auto"/>
              <w:right w:val="single" w:sz="4" w:space="0" w:color="auto"/>
            </w:tcBorders>
          </w:tcPr>
          <w:p w14:paraId="39D46C9A" w14:textId="77777777" w:rsidR="0098031C" w:rsidRPr="00515F08" w:rsidRDefault="0098031C" w:rsidP="005040D9">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tcPr>
          <w:p w14:paraId="25572118" w14:textId="77777777" w:rsidR="0098031C" w:rsidRPr="00515F08" w:rsidRDefault="0098031C" w:rsidP="005040D9">
            <w:pPr>
              <w:jc w:val="center"/>
              <w:rPr>
                <w:rFonts w:ascii="Arial" w:hAnsi="Arial" w:cs="Arial"/>
                <w:sz w:val="20"/>
                <w:szCs w:val="20"/>
              </w:rPr>
            </w:pPr>
          </w:p>
        </w:tc>
      </w:tr>
      <w:tr w:rsidR="0098031C" w:rsidRPr="00515F08" w14:paraId="3F4F5AF5" w14:textId="77777777" w:rsidTr="00F3795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232CC560" w14:textId="77777777" w:rsidR="0098031C" w:rsidRPr="00515F08" w:rsidRDefault="0098031C" w:rsidP="0074067A">
            <w:pPr>
              <w:spacing w:after="0" w:line="240" w:lineRule="auto"/>
              <w:rPr>
                <w:rFonts w:ascii="Arial" w:hAnsi="Arial" w:cs="Arial"/>
                <w:sz w:val="20"/>
                <w:szCs w:val="20"/>
              </w:rPr>
            </w:pPr>
            <w:r>
              <w:rPr>
                <w:rFonts w:ascii="Arial" w:hAnsi="Arial"/>
                <w:sz w:val="20"/>
              </w:rPr>
              <w:t>Studimi i VNM (nëse nevojitet)</w:t>
            </w:r>
          </w:p>
        </w:tc>
        <w:tc>
          <w:tcPr>
            <w:tcW w:w="800" w:type="pct"/>
            <w:tcBorders>
              <w:top w:val="single" w:sz="4" w:space="0" w:color="auto"/>
              <w:left w:val="single" w:sz="4" w:space="0" w:color="auto"/>
              <w:bottom w:val="single" w:sz="4" w:space="0" w:color="auto"/>
              <w:right w:val="single" w:sz="4" w:space="0" w:color="auto"/>
            </w:tcBorders>
          </w:tcPr>
          <w:p w14:paraId="079CBD02" w14:textId="77777777" w:rsidR="0098031C" w:rsidRPr="00515F08" w:rsidRDefault="0098031C" w:rsidP="005040D9">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tcPr>
          <w:p w14:paraId="230BB3FE" w14:textId="77777777" w:rsidR="0098031C" w:rsidRPr="00515F08" w:rsidRDefault="0098031C" w:rsidP="005040D9">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tcPr>
          <w:p w14:paraId="1304EEF1" w14:textId="77777777" w:rsidR="0098031C" w:rsidRPr="00515F08" w:rsidRDefault="0098031C" w:rsidP="009E2624">
            <w:pPr>
              <w:pStyle w:val="ListParagraph"/>
              <w:numPr>
                <w:ilvl w:val="0"/>
                <w:numId w:val="9"/>
              </w:numPr>
              <w:jc w:val="center"/>
              <w:rPr>
                <w:rFonts w:cs="Arial"/>
                <w:szCs w:val="20"/>
              </w:rPr>
            </w:pPr>
          </w:p>
        </w:tc>
      </w:tr>
      <w:tr w:rsidR="0098031C" w:rsidRPr="00515F08" w14:paraId="79ED5F98" w14:textId="77777777" w:rsidTr="00F3795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626146D0" w14:textId="77777777" w:rsidR="0098031C" w:rsidRPr="00515F08" w:rsidRDefault="0098031C" w:rsidP="0074067A">
            <w:pPr>
              <w:spacing w:after="0" w:line="240" w:lineRule="auto"/>
              <w:rPr>
                <w:rFonts w:ascii="Arial" w:hAnsi="Arial" w:cs="Arial"/>
                <w:sz w:val="20"/>
                <w:szCs w:val="20"/>
              </w:rPr>
            </w:pPr>
            <w:r>
              <w:rPr>
                <w:rFonts w:ascii="Arial" w:hAnsi="Arial"/>
                <w:sz w:val="20"/>
              </w:rPr>
              <w:t>Dokumentet e vlefshme të planifikimit hapësinor</w:t>
            </w:r>
          </w:p>
        </w:tc>
        <w:tc>
          <w:tcPr>
            <w:tcW w:w="800" w:type="pct"/>
            <w:tcBorders>
              <w:top w:val="single" w:sz="4" w:space="0" w:color="auto"/>
              <w:left w:val="single" w:sz="4" w:space="0" w:color="auto"/>
              <w:bottom w:val="single" w:sz="4" w:space="0" w:color="auto"/>
              <w:right w:val="single" w:sz="4" w:space="0" w:color="auto"/>
            </w:tcBorders>
          </w:tcPr>
          <w:p w14:paraId="48E68349" w14:textId="77777777" w:rsidR="0098031C" w:rsidRPr="00515F08" w:rsidRDefault="0098031C" w:rsidP="009E2624">
            <w:pPr>
              <w:pStyle w:val="ListParagraph"/>
              <w:numPr>
                <w:ilvl w:val="0"/>
                <w:numId w:val="9"/>
              </w:numPr>
              <w:jc w:val="center"/>
              <w:rPr>
                <w:rFonts w:cs="Arial"/>
                <w:szCs w:val="20"/>
              </w:rPr>
            </w:pPr>
          </w:p>
        </w:tc>
        <w:tc>
          <w:tcPr>
            <w:tcW w:w="712" w:type="pct"/>
            <w:tcBorders>
              <w:top w:val="single" w:sz="4" w:space="0" w:color="auto"/>
              <w:left w:val="single" w:sz="4" w:space="0" w:color="auto"/>
              <w:bottom w:val="single" w:sz="4" w:space="0" w:color="auto"/>
              <w:right w:val="single" w:sz="4" w:space="0" w:color="auto"/>
            </w:tcBorders>
          </w:tcPr>
          <w:p w14:paraId="4E476CAC" w14:textId="77777777" w:rsidR="0098031C" w:rsidRPr="00515F08" w:rsidRDefault="0098031C" w:rsidP="005040D9">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tcPr>
          <w:p w14:paraId="2520E491" w14:textId="77777777" w:rsidR="0098031C" w:rsidRPr="00515F08" w:rsidRDefault="0098031C" w:rsidP="005040D9">
            <w:pPr>
              <w:jc w:val="center"/>
              <w:rPr>
                <w:rFonts w:ascii="Arial" w:hAnsi="Arial" w:cs="Arial"/>
                <w:sz w:val="20"/>
                <w:szCs w:val="20"/>
              </w:rPr>
            </w:pPr>
          </w:p>
        </w:tc>
      </w:tr>
      <w:tr w:rsidR="0098031C" w:rsidRPr="00515F08" w14:paraId="0061DDA0" w14:textId="77777777" w:rsidTr="00F3795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22795104" w14:textId="77777777" w:rsidR="0098031C" w:rsidRPr="00515F08" w:rsidRDefault="0098031C" w:rsidP="0074067A">
            <w:pPr>
              <w:spacing w:after="0" w:line="240" w:lineRule="auto"/>
              <w:rPr>
                <w:rFonts w:ascii="Arial" w:hAnsi="Arial" w:cs="Arial"/>
                <w:sz w:val="20"/>
                <w:szCs w:val="20"/>
              </w:rPr>
            </w:pPr>
            <w:r>
              <w:rPr>
                <w:rFonts w:ascii="Arial" w:hAnsi="Arial"/>
                <w:sz w:val="20"/>
              </w:rPr>
              <w:lastRenderedPageBreak/>
              <w:t>Prona tokë e zgjidhur</w:t>
            </w:r>
          </w:p>
        </w:tc>
        <w:tc>
          <w:tcPr>
            <w:tcW w:w="800" w:type="pct"/>
            <w:tcBorders>
              <w:top w:val="single" w:sz="4" w:space="0" w:color="auto"/>
              <w:left w:val="single" w:sz="4" w:space="0" w:color="auto"/>
              <w:bottom w:val="single" w:sz="4" w:space="0" w:color="auto"/>
              <w:right w:val="single" w:sz="4" w:space="0" w:color="auto"/>
            </w:tcBorders>
          </w:tcPr>
          <w:p w14:paraId="2325D79A" w14:textId="77777777" w:rsidR="0098031C" w:rsidRPr="00515F08" w:rsidRDefault="0098031C" w:rsidP="009E2624">
            <w:pPr>
              <w:pStyle w:val="ListParagraph"/>
              <w:numPr>
                <w:ilvl w:val="0"/>
                <w:numId w:val="9"/>
              </w:numPr>
              <w:jc w:val="center"/>
              <w:rPr>
                <w:rFonts w:cs="Arial"/>
                <w:szCs w:val="20"/>
              </w:rPr>
            </w:pPr>
          </w:p>
        </w:tc>
        <w:tc>
          <w:tcPr>
            <w:tcW w:w="712" w:type="pct"/>
            <w:tcBorders>
              <w:top w:val="single" w:sz="4" w:space="0" w:color="auto"/>
              <w:left w:val="single" w:sz="4" w:space="0" w:color="auto"/>
              <w:bottom w:val="single" w:sz="4" w:space="0" w:color="auto"/>
              <w:right w:val="single" w:sz="4" w:space="0" w:color="auto"/>
            </w:tcBorders>
          </w:tcPr>
          <w:p w14:paraId="7DCCFDEB" w14:textId="77777777" w:rsidR="0098031C" w:rsidRPr="00515F08" w:rsidRDefault="0098031C" w:rsidP="005040D9">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tcPr>
          <w:p w14:paraId="3C360B72" w14:textId="77777777" w:rsidR="0098031C" w:rsidRPr="00515F08" w:rsidRDefault="0098031C" w:rsidP="005040D9">
            <w:pPr>
              <w:jc w:val="center"/>
              <w:rPr>
                <w:rFonts w:ascii="Arial" w:hAnsi="Arial" w:cs="Arial"/>
                <w:sz w:val="20"/>
                <w:szCs w:val="20"/>
              </w:rPr>
            </w:pPr>
          </w:p>
        </w:tc>
      </w:tr>
      <w:tr w:rsidR="0098031C" w:rsidRPr="00515F08" w14:paraId="004CA8F6" w14:textId="77777777" w:rsidTr="00F3795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457FE1FF" w14:textId="77777777" w:rsidR="0098031C" w:rsidRPr="00515F08" w:rsidRDefault="0098031C" w:rsidP="0074067A">
            <w:pPr>
              <w:spacing w:after="0" w:line="240" w:lineRule="auto"/>
              <w:rPr>
                <w:rFonts w:ascii="Arial" w:hAnsi="Arial" w:cs="Arial"/>
                <w:sz w:val="20"/>
                <w:szCs w:val="20"/>
              </w:rPr>
            </w:pPr>
            <w:r>
              <w:rPr>
                <w:rFonts w:ascii="Arial" w:hAnsi="Arial"/>
                <w:sz w:val="20"/>
              </w:rPr>
              <w:t>Projektimi paraprak</w:t>
            </w:r>
          </w:p>
        </w:tc>
        <w:tc>
          <w:tcPr>
            <w:tcW w:w="800" w:type="pct"/>
            <w:tcBorders>
              <w:top w:val="single" w:sz="4" w:space="0" w:color="auto"/>
              <w:left w:val="single" w:sz="4" w:space="0" w:color="auto"/>
              <w:bottom w:val="single" w:sz="4" w:space="0" w:color="auto"/>
              <w:right w:val="single" w:sz="4" w:space="0" w:color="auto"/>
            </w:tcBorders>
          </w:tcPr>
          <w:p w14:paraId="560DC72F" w14:textId="77777777" w:rsidR="0098031C" w:rsidRPr="00515F08" w:rsidRDefault="0098031C" w:rsidP="005040D9">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tcPr>
          <w:p w14:paraId="699F2C3D" w14:textId="77777777" w:rsidR="0098031C" w:rsidRPr="00515F08" w:rsidRDefault="0098031C" w:rsidP="005040D9">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tcPr>
          <w:p w14:paraId="1A711C05" w14:textId="77777777" w:rsidR="0098031C" w:rsidRPr="00515F08" w:rsidRDefault="0098031C" w:rsidP="009E2624">
            <w:pPr>
              <w:pStyle w:val="ListParagraph"/>
              <w:numPr>
                <w:ilvl w:val="0"/>
                <w:numId w:val="9"/>
              </w:numPr>
              <w:jc w:val="center"/>
              <w:rPr>
                <w:rFonts w:cs="Arial"/>
                <w:szCs w:val="20"/>
              </w:rPr>
            </w:pPr>
          </w:p>
        </w:tc>
      </w:tr>
      <w:tr w:rsidR="0098031C" w:rsidRPr="00515F08" w14:paraId="4E0608EC" w14:textId="77777777" w:rsidTr="00F3795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17FAA13D" w14:textId="77777777" w:rsidR="0098031C" w:rsidRPr="00515F08" w:rsidRDefault="0098031C" w:rsidP="0074067A">
            <w:pPr>
              <w:spacing w:after="0" w:line="240" w:lineRule="auto"/>
              <w:rPr>
                <w:rFonts w:ascii="Arial" w:hAnsi="Arial" w:cs="Arial"/>
                <w:sz w:val="20"/>
                <w:szCs w:val="20"/>
              </w:rPr>
            </w:pPr>
            <w:r>
              <w:rPr>
                <w:rFonts w:ascii="Arial" w:hAnsi="Arial"/>
                <w:sz w:val="20"/>
              </w:rPr>
              <w:t>Projektimi kryesor/projektimi i detajuar</w:t>
            </w:r>
          </w:p>
        </w:tc>
        <w:tc>
          <w:tcPr>
            <w:tcW w:w="800" w:type="pct"/>
            <w:tcBorders>
              <w:top w:val="single" w:sz="4" w:space="0" w:color="auto"/>
              <w:left w:val="single" w:sz="4" w:space="0" w:color="auto"/>
              <w:bottom w:val="single" w:sz="4" w:space="0" w:color="auto"/>
              <w:right w:val="single" w:sz="4" w:space="0" w:color="auto"/>
            </w:tcBorders>
          </w:tcPr>
          <w:p w14:paraId="050859A9" w14:textId="77777777" w:rsidR="0098031C" w:rsidRPr="00515F08" w:rsidRDefault="0098031C" w:rsidP="005040D9">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tcPr>
          <w:p w14:paraId="2C646897" w14:textId="77777777" w:rsidR="0098031C" w:rsidRPr="00515F08" w:rsidRDefault="0098031C" w:rsidP="005040D9">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tcPr>
          <w:p w14:paraId="230D3DBC" w14:textId="77777777" w:rsidR="0098031C" w:rsidRPr="00515F08" w:rsidRDefault="0098031C" w:rsidP="009E2624">
            <w:pPr>
              <w:pStyle w:val="ListParagraph"/>
              <w:numPr>
                <w:ilvl w:val="0"/>
                <w:numId w:val="9"/>
              </w:numPr>
              <w:jc w:val="center"/>
              <w:rPr>
                <w:rFonts w:cs="Arial"/>
                <w:szCs w:val="20"/>
              </w:rPr>
            </w:pPr>
          </w:p>
        </w:tc>
      </w:tr>
      <w:tr w:rsidR="0098031C" w:rsidRPr="00515F08" w14:paraId="54C4021F" w14:textId="77777777" w:rsidTr="00F3795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58912557" w14:textId="77777777" w:rsidR="0098031C" w:rsidRPr="00515F08" w:rsidRDefault="0098031C" w:rsidP="0074067A">
            <w:pPr>
              <w:spacing w:after="0" w:line="240" w:lineRule="auto"/>
              <w:rPr>
                <w:rFonts w:ascii="Arial" w:hAnsi="Arial" w:cs="Arial"/>
                <w:sz w:val="20"/>
                <w:szCs w:val="20"/>
              </w:rPr>
            </w:pPr>
            <w:r>
              <w:rPr>
                <w:rFonts w:ascii="Arial" w:hAnsi="Arial"/>
                <w:sz w:val="20"/>
              </w:rPr>
              <w:t>Dokumentacioni i tenderit</w:t>
            </w:r>
          </w:p>
        </w:tc>
        <w:tc>
          <w:tcPr>
            <w:tcW w:w="800" w:type="pct"/>
            <w:tcBorders>
              <w:top w:val="single" w:sz="4" w:space="0" w:color="auto"/>
              <w:left w:val="single" w:sz="4" w:space="0" w:color="auto"/>
              <w:bottom w:val="single" w:sz="4" w:space="0" w:color="auto"/>
              <w:right w:val="single" w:sz="4" w:space="0" w:color="auto"/>
            </w:tcBorders>
          </w:tcPr>
          <w:p w14:paraId="5352721E" w14:textId="77777777" w:rsidR="0098031C" w:rsidRPr="00515F08" w:rsidRDefault="0098031C" w:rsidP="005040D9">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tcPr>
          <w:p w14:paraId="1CF0B7E0" w14:textId="77777777" w:rsidR="0098031C" w:rsidRPr="00515F08" w:rsidRDefault="0098031C" w:rsidP="005040D9">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tcPr>
          <w:p w14:paraId="59CAD115" w14:textId="77777777" w:rsidR="0098031C" w:rsidRPr="00515F08" w:rsidRDefault="0098031C" w:rsidP="009E2624">
            <w:pPr>
              <w:pStyle w:val="ListParagraph"/>
              <w:numPr>
                <w:ilvl w:val="0"/>
                <w:numId w:val="9"/>
              </w:numPr>
              <w:jc w:val="center"/>
              <w:rPr>
                <w:rFonts w:cs="Arial"/>
                <w:szCs w:val="20"/>
              </w:rPr>
            </w:pPr>
          </w:p>
        </w:tc>
      </w:tr>
      <w:tr w:rsidR="0098031C" w:rsidRPr="00515F08" w14:paraId="01F45BD8" w14:textId="77777777" w:rsidTr="00F3795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7E9243E3" w14:textId="77777777" w:rsidR="0098031C" w:rsidRPr="00515F08" w:rsidRDefault="0098031C" w:rsidP="0074067A">
            <w:pPr>
              <w:spacing w:after="0" w:line="240" w:lineRule="auto"/>
              <w:rPr>
                <w:rFonts w:ascii="Arial" w:hAnsi="Arial" w:cs="Arial"/>
                <w:sz w:val="20"/>
                <w:szCs w:val="20"/>
              </w:rPr>
            </w:pPr>
            <w:r>
              <w:rPr>
                <w:rFonts w:ascii="Arial" w:hAnsi="Arial"/>
                <w:sz w:val="20"/>
              </w:rPr>
              <w:t>Lejet e ndërtimit dhe të tjera</w:t>
            </w:r>
          </w:p>
        </w:tc>
        <w:tc>
          <w:tcPr>
            <w:tcW w:w="800" w:type="pct"/>
            <w:tcBorders>
              <w:top w:val="single" w:sz="4" w:space="0" w:color="auto"/>
              <w:left w:val="single" w:sz="4" w:space="0" w:color="auto"/>
              <w:bottom w:val="single" w:sz="4" w:space="0" w:color="auto"/>
              <w:right w:val="single" w:sz="4" w:space="0" w:color="auto"/>
            </w:tcBorders>
          </w:tcPr>
          <w:p w14:paraId="4C43597E" w14:textId="77777777" w:rsidR="0098031C" w:rsidRPr="00515F08" w:rsidRDefault="0098031C" w:rsidP="005040D9">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tcPr>
          <w:p w14:paraId="4ECD24B1" w14:textId="77777777" w:rsidR="0098031C" w:rsidRPr="00515F08" w:rsidRDefault="0098031C" w:rsidP="009E2624">
            <w:pPr>
              <w:pStyle w:val="ListParagraph"/>
              <w:numPr>
                <w:ilvl w:val="0"/>
                <w:numId w:val="9"/>
              </w:numPr>
              <w:jc w:val="center"/>
              <w:rPr>
                <w:rFonts w:cs="Arial"/>
                <w:szCs w:val="20"/>
              </w:rPr>
            </w:pPr>
          </w:p>
        </w:tc>
        <w:tc>
          <w:tcPr>
            <w:tcW w:w="649" w:type="pct"/>
            <w:tcBorders>
              <w:top w:val="single" w:sz="4" w:space="0" w:color="auto"/>
              <w:left w:val="single" w:sz="4" w:space="0" w:color="auto"/>
              <w:bottom w:val="single" w:sz="4" w:space="0" w:color="auto"/>
              <w:right w:val="single" w:sz="4" w:space="0" w:color="auto"/>
            </w:tcBorders>
          </w:tcPr>
          <w:p w14:paraId="2F05860D" w14:textId="77777777" w:rsidR="0098031C" w:rsidRPr="00515F08" w:rsidRDefault="0098031C" w:rsidP="005040D9">
            <w:pPr>
              <w:jc w:val="center"/>
              <w:rPr>
                <w:rFonts w:ascii="Arial" w:hAnsi="Arial" w:cs="Arial"/>
                <w:sz w:val="20"/>
                <w:szCs w:val="20"/>
              </w:rPr>
            </w:pPr>
          </w:p>
        </w:tc>
      </w:tr>
      <w:tr w:rsidR="0098031C" w:rsidRPr="00515F08" w14:paraId="5F3D181D" w14:textId="77777777" w:rsidTr="00F3795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16742D03" w14:textId="77777777" w:rsidR="0098031C" w:rsidRPr="00515F08" w:rsidRDefault="0098031C" w:rsidP="0074067A">
            <w:pPr>
              <w:spacing w:after="0" w:line="240" w:lineRule="auto"/>
              <w:rPr>
                <w:rFonts w:ascii="Arial" w:hAnsi="Arial" w:cs="Arial"/>
                <w:sz w:val="20"/>
                <w:szCs w:val="20"/>
              </w:rPr>
            </w:pPr>
            <w:r>
              <w:rPr>
                <w:rFonts w:ascii="Arial" w:hAnsi="Arial"/>
                <w:sz w:val="20"/>
              </w:rPr>
              <w:t>Kontrata e ndërtimit është nënshkruar</w:t>
            </w:r>
          </w:p>
        </w:tc>
        <w:tc>
          <w:tcPr>
            <w:tcW w:w="800" w:type="pct"/>
            <w:tcBorders>
              <w:top w:val="single" w:sz="4" w:space="0" w:color="auto"/>
              <w:left w:val="single" w:sz="4" w:space="0" w:color="auto"/>
              <w:bottom w:val="single" w:sz="4" w:space="0" w:color="auto"/>
              <w:right w:val="single" w:sz="4" w:space="0" w:color="auto"/>
            </w:tcBorders>
          </w:tcPr>
          <w:p w14:paraId="01EF80C5" w14:textId="77777777" w:rsidR="0098031C" w:rsidRPr="00515F08" w:rsidRDefault="0098031C" w:rsidP="005040D9">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tcPr>
          <w:p w14:paraId="5C2BC448" w14:textId="77777777" w:rsidR="0098031C" w:rsidRPr="00515F08" w:rsidRDefault="0098031C" w:rsidP="005040D9">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tcPr>
          <w:p w14:paraId="1615D946" w14:textId="77777777" w:rsidR="0098031C" w:rsidRPr="00515F08" w:rsidRDefault="0098031C" w:rsidP="009E2624">
            <w:pPr>
              <w:pStyle w:val="ListParagraph"/>
              <w:numPr>
                <w:ilvl w:val="0"/>
                <w:numId w:val="9"/>
              </w:numPr>
              <w:jc w:val="center"/>
              <w:rPr>
                <w:rFonts w:cs="Arial"/>
                <w:szCs w:val="20"/>
              </w:rPr>
            </w:pPr>
          </w:p>
        </w:tc>
      </w:tr>
    </w:tbl>
    <w:p w14:paraId="45D2E787" w14:textId="77777777" w:rsidR="0074067A" w:rsidRPr="00515F08" w:rsidRDefault="0074067A" w:rsidP="001C2CAF">
      <w:pPr>
        <w:spacing w:after="120"/>
        <w:rPr>
          <w:rFonts w:ascii="Arial" w:hAnsi="Arial" w:cs="Arial"/>
          <w:b/>
          <w:sz w:val="20"/>
          <w:szCs w:val="20"/>
        </w:rPr>
      </w:pPr>
    </w:p>
    <w:p w14:paraId="4708FB76" w14:textId="77777777" w:rsidR="001C2CAF" w:rsidRPr="00515F08" w:rsidRDefault="001C2CAF" w:rsidP="009E2624">
      <w:pPr>
        <w:pStyle w:val="ListParagraph"/>
        <w:numPr>
          <w:ilvl w:val="0"/>
          <w:numId w:val="2"/>
        </w:numPr>
        <w:spacing w:after="120"/>
        <w:rPr>
          <w:rFonts w:cs="Arial"/>
          <w:b/>
          <w:szCs w:val="20"/>
        </w:rPr>
      </w:pPr>
      <w:r>
        <w:rPr>
          <w:b/>
        </w:rPr>
        <w:t>PËRCAKTIMI I BURIMIT TË FINANCIMIT</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509"/>
        <w:gridCol w:w="673"/>
        <w:gridCol w:w="4154"/>
        <w:gridCol w:w="560"/>
      </w:tblGrid>
      <w:tr w:rsidR="001C2CAF" w:rsidRPr="00515F08" w14:paraId="5AA565C0" w14:textId="77777777" w:rsidTr="0098031C">
        <w:trPr>
          <w:trHeight w:val="417"/>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A3BA67" w14:textId="77777777" w:rsidR="001C2CAF" w:rsidRPr="00515F08" w:rsidRDefault="001C2CAF" w:rsidP="001C2CAF">
            <w:pPr>
              <w:spacing w:after="0" w:line="240" w:lineRule="auto"/>
              <w:rPr>
                <w:rFonts w:ascii="Arial" w:hAnsi="Arial" w:cs="Arial"/>
                <w:sz w:val="20"/>
                <w:szCs w:val="20"/>
              </w:rPr>
            </w:pPr>
          </w:p>
        </w:tc>
        <w:tc>
          <w:tcPr>
            <w:tcW w:w="3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32E7C6" w14:textId="77777777" w:rsidR="001C2CAF" w:rsidRPr="00515F08" w:rsidRDefault="001C2CAF" w:rsidP="001C2CAF">
            <w:pPr>
              <w:spacing w:after="0" w:line="240" w:lineRule="auto"/>
              <w:jc w:val="center"/>
              <w:rPr>
                <w:rFonts w:ascii="Arial" w:hAnsi="Arial" w:cs="Arial"/>
                <w:sz w:val="20"/>
                <w:szCs w:val="20"/>
              </w:rPr>
            </w:pPr>
            <w:r>
              <w:rPr>
                <w:rFonts w:ascii="Arial" w:hAnsi="Arial"/>
                <w:sz w:val="20"/>
              </w:rPr>
              <w:t>Po</w:t>
            </w:r>
          </w:p>
        </w:tc>
        <w:tc>
          <w:tcPr>
            <w:tcW w:w="20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24F0C" w14:textId="77777777" w:rsidR="001C2CAF" w:rsidRPr="00515F08" w:rsidRDefault="001C2CAF" w:rsidP="001C2CAF">
            <w:pPr>
              <w:spacing w:after="0" w:line="240" w:lineRule="auto"/>
              <w:jc w:val="center"/>
              <w:rPr>
                <w:rFonts w:ascii="Arial" w:hAnsi="Arial" w:cs="Arial"/>
                <w:sz w:val="20"/>
                <w:szCs w:val="20"/>
              </w:rPr>
            </w:pPr>
            <w:r>
              <w:rPr>
                <w:rFonts w:ascii="Arial" w:hAnsi="Arial"/>
                <w:sz w:val="20"/>
              </w:rPr>
              <w:t>Arsyetimi</w:t>
            </w:r>
          </w:p>
        </w:tc>
        <w:tc>
          <w:tcPr>
            <w:tcW w:w="2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CF816F" w14:textId="77777777" w:rsidR="001C2CAF" w:rsidRPr="00515F08" w:rsidRDefault="001C2CAF" w:rsidP="001C2CAF">
            <w:pPr>
              <w:spacing w:after="0" w:line="240" w:lineRule="auto"/>
              <w:jc w:val="center"/>
              <w:rPr>
                <w:rFonts w:ascii="Arial" w:hAnsi="Arial" w:cs="Arial"/>
                <w:sz w:val="20"/>
                <w:szCs w:val="20"/>
              </w:rPr>
            </w:pPr>
            <w:r>
              <w:rPr>
                <w:rFonts w:ascii="Arial" w:hAnsi="Arial"/>
                <w:sz w:val="20"/>
              </w:rPr>
              <w:t>Jo</w:t>
            </w:r>
          </w:p>
        </w:tc>
      </w:tr>
      <w:tr w:rsidR="0098031C" w:rsidRPr="00515F08" w14:paraId="7D92412B" w14:textId="77777777" w:rsidTr="0098031C">
        <w:trPr>
          <w:trHeight w:val="267"/>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vAlign w:val="center"/>
          </w:tcPr>
          <w:p w14:paraId="163D5C35" w14:textId="18D1739E" w:rsidR="0098031C" w:rsidRPr="00515F08" w:rsidRDefault="0098031C" w:rsidP="00BE75F9">
            <w:pPr>
              <w:spacing w:after="0" w:line="240" w:lineRule="auto"/>
              <w:rPr>
                <w:rFonts w:ascii="Arial" w:hAnsi="Arial" w:cs="Arial"/>
                <w:sz w:val="20"/>
                <w:szCs w:val="20"/>
              </w:rPr>
            </w:pPr>
            <w:r>
              <w:rPr>
                <w:rFonts w:ascii="Arial" w:hAnsi="Arial"/>
                <w:sz w:val="20"/>
              </w:rPr>
              <w:t xml:space="preserve">A e përmirëson projekti </w:t>
            </w:r>
            <w:r w:rsidR="00BE75F9">
              <w:rPr>
                <w:rFonts w:ascii="Arial" w:hAnsi="Arial"/>
                <w:sz w:val="20"/>
              </w:rPr>
              <w:t>ndërlidhshmërinë</w:t>
            </w:r>
            <w:r>
              <w:rPr>
                <w:rFonts w:ascii="Arial" w:hAnsi="Arial"/>
                <w:sz w:val="20"/>
              </w:rPr>
              <w:t>?</w:t>
            </w:r>
          </w:p>
        </w:tc>
        <w:tc>
          <w:tcPr>
            <w:tcW w:w="340" w:type="pct"/>
            <w:tcBorders>
              <w:top w:val="single" w:sz="4" w:space="0" w:color="auto"/>
              <w:left w:val="single" w:sz="4" w:space="0" w:color="auto"/>
              <w:bottom w:val="single" w:sz="4" w:space="0" w:color="auto"/>
              <w:right w:val="single" w:sz="4" w:space="0" w:color="auto"/>
            </w:tcBorders>
          </w:tcPr>
          <w:p w14:paraId="4B070E7B" w14:textId="77777777" w:rsidR="0098031C" w:rsidRPr="00515F08" w:rsidRDefault="0098031C" w:rsidP="005040D9">
            <w:pPr>
              <w:rPr>
                <w:rFonts w:ascii="Arial" w:hAnsi="Arial" w:cs="Arial"/>
                <w:sz w:val="20"/>
                <w:szCs w:val="20"/>
              </w:rPr>
            </w:pPr>
          </w:p>
        </w:tc>
        <w:tc>
          <w:tcPr>
            <w:tcW w:w="2099" w:type="pct"/>
            <w:tcBorders>
              <w:top w:val="single" w:sz="4" w:space="0" w:color="auto"/>
              <w:left w:val="single" w:sz="4" w:space="0" w:color="auto"/>
              <w:bottom w:val="single" w:sz="4" w:space="0" w:color="auto"/>
              <w:right w:val="single" w:sz="4" w:space="0" w:color="auto"/>
            </w:tcBorders>
          </w:tcPr>
          <w:p w14:paraId="68C36B7C" w14:textId="77777777" w:rsidR="0098031C" w:rsidRPr="00515F08" w:rsidRDefault="0098031C" w:rsidP="005040D9">
            <w:pPr>
              <w:rPr>
                <w:rFonts w:ascii="Arial" w:hAnsi="Arial" w:cs="Arial"/>
                <w:color w:val="548DD4"/>
                <w:sz w:val="20"/>
                <w:szCs w:val="20"/>
              </w:rPr>
            </w:pPr>
          </w:p>
        </w:tc>
        <w:tc>
          <w:tcPr>
            <w:tcW w:w="283" w:type="pct"/>
            <w:tcBorders>
              <w:top w:val="single" w:sz="4" w:space="0" w:color="auto"/>
              <w:left w:val="single" w:sz="4" w:space="0" w:color="auto"/>
              <w:bottom w:val="single" w:sz="4" w:space="0" w:color="auto"/>
              <w:right w:val="single" w:sz="4" w:space="0" w:color="auto"/>
            </w:tcBorders>
          </w:tcPr>
          <w:p w14:paraId="2BFF55FB" w14:textId="77777777" w:rsidR="0098031C" w:rsidRPr="00515F08" w:rsidRDefault="0098031C" w:rsidP="005040D9">
            <w:pPr>
              <w:rPr>
                <w:rFonts w:ascii="Arial" w:hAnsi="Arial" w:cs="Arial"/>
                <w:sz w:val="20"/>
                <w:szCs w:val="20"/>
              </w:rPr>
            </w:pPr>
            <w:r>
              <w:rPr>
                <w:rFonts w:ascii="Arial" w:hAnsi="Arial"/>
                <w:sz w:val="20"/>
              </w:rPr>
              <w:t>X</w:t>
            </w:r>
          </w:p>
        </w:tc>
      </w:tr>
      <w:tr w:rsidR="0098031C" w:rsidRPr="00515F08" w14:paraId="204CDE31" w14:textId="77777777" w:rsidTr="0098031C">
        <w:trPr>
          <w:trHeight w:val="417"/>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vAlign w:val="center"/>
          </w:tcPr>
          <w:p w14:paraId="6EDAF74B" w14:textId="77777777" w:rsidR="0098031C" w:rsidRPr="00515F08" w:rsidRDefault="0098031C" w:rsidP="001C2CAF">
            <w:pPr>
              <w:spacing w:after="0" w:line="240" w:lineRule="auto"/>
              <w:rPr>
                <w:rFonts w:ascii="Arial" w:hAnsi="Arial" w:cs="Arial"/>
                <w:sz w:val="20"/>
                <w:szCs w:val="20"/>
              </w:rPr>
            </w:pPr>
            <w:r>
              <w:rPr>
                <w:rFonts w:ascii="Arial" w:hAnsi="Arial"/>
                <w:sz w:val="20"/>
              </w:rPr>
              <w:t>A ka projekti ndikim ndërkufitar apo në vendet e tjera të rajonit?</w:t>
            </w:r>
          </w:p>
        </w:tc>
        <w:tc>
          <w:tcPr>
            <w:tcW w:w="340" w:type="pct"/>
            <w:tcBorders>
              <w:top w:val="single" w:sz="4" w:space="0" w:color="auto"/>
              <w:left w:val="single" w:sz="4" w:space="0" w:color="auto"/>
              <w:bottom w:val="single" w:sz="4" w:space="0" w:color="auto"/>
              <w:right w:val="single" w:sz="4" w:space="0" w:color="auto"/>
            </w:tcBorders>
          </w:tcPr>
          <w:p w14:paraId="614DEF01" w14:textId="77777777" w:rsidR="0098031C" w:rsidRPr="00515F08" w:rsidRDefault="0098031C" w:rsidP="005040D9">
            <w:pPr>
              <w:rPr>
                <w:rFonts w:ascii="Arial" w:hAnsi="Arial" w:cs="Arial"/>
                <w:sz w:val="20"/>
                <w:szCs w:val="20"/>
              </w:rPr>
            </w:pPr>
            <w:r>
              <w:rPr>
                <w:rFonts w:ascii="Arial" w:hAnsi="Arial"/>
                <w:sz w:val="20"/>
              </w:rPr>
              <w:t>X</w:t>
            </w:r>
          </w:p>
        </w:tc>
        <w:tc>
          <w:tcPr>
            <w:tcW w:w="2099" w:type="pct"/>
            <w:tcBorders>
              <w:top w:val="single" w:sz="4" w:space="0" w:color="auto"/>
              <w:left w:val="single" w:sz="4" w:space="0" w:color="auto"/>
              <w:bottom w:val="single" w:sz="4" w:space="0" w:color="auto"/>
              <w:right w:val="single" w:sz="4" w:space="0" w:color="auto"/>
            </w:tcBorders>
          </w:tcPr>
          <w:p w14:paraId="05D6F5D3" w14:textId="0B516963" w:rsidR="0098031C" w:rsidRPr="00515F08" w:rsidRDefault="0098031C" w:rsidP="005040D9">
            <w:pPr>
              <w:rPr>
                <w:rFonts w:ascii="Arial" w:hAnsi="Arial" w:cs="Arial"/>
                <w:sz w:val="20"/>
                <w:szCs w:val="20"/>
              </w:rPr>
            </w:pPr>
            <w:r>
              <w:rPr>
                <w:rFonts w:ascii="Arial" w:hAnsi="Arial"/>
                <w:sz w:val="20"/>
              </w:rPr>
              <w:t>Për shkak të madhësisë së vogël gjeografike të Kosovës, projekti do të ketë një ndikim pozitiv në të gjithë rajonin.</w:t>
            </w:r>
          </w:p>
        </w:tc>
        <w:tc>
          <w:tcPr>
            <w:tcW w:w="283" w:type="pct"/>
            <w:tcBorders>
              <w:top w:val="single" w:sz="4" w:space="0" w:color="auto"/>
              <w:left w:val="single" w:sz="4" w:space="0" w:color="auto"/>
              <w:bottom w:val="single" w:sz="4" w:space="0" w:color="auto"/>
              <w:right w:val="single" w:sz="4" w:space="0" w:color="auto"/>
            </w:tcBorders>
          </w:tcPr>
          <w:p w14:paraId="22A147D1" w14:textId="77777777" w:rsidR="0098031C" w:rsidRPr="00515F08" w:rsidRDefault="0098031C" w:rsidP="005040D9">
            <w:pPr>
              <w:rPr>
                <w:rFonts w:ascii="Arial" w:hAnsi="Arial" w:cs="Arial"/>
                <w:sz w:val="20"/>
                <w:szCs w:val="20"/>
              </w:rPr>
            </w:pPr>
          </w:p>
        </w:tc>
      </w:tr>
      <w:tr w:rsidR="0098031C" w:rsidRPr="00515F08" w14:paraId="04069F39" w14:textId="77777777" w:rsidTr="0098031C">
        <w:trPr>
          <w:trHeight w:val="417"/>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vAlign w:val="center"/>
          </w:tcPr>
          <w:p w14:paraId="3FF4B94B" w14:textId="77777777" w:rsidR="0098031C" w:rsidRPr="00515F08" w:rsidRDefault="0098031C" w:rsidP="001C2CAF">
            <w:pPr>
              <w:spacing w:after="0" w:line="240" w:lineRule="auto"/>
              <w:rPr>
                <w:rFonts w:ascii="Arial" w:hAnsi="Arial" w:cs="Arial"/>
                <w:sz w:val="20"/>
                <w:szCs w:val="20"/>
              </w:rPr>
            </w:pPr>
            <w:r>
              <w:rPr>
                <w:rFonts w:ascii="Arial" w:hAnsi="Arial"/>
                <w:sz w:val="20"/>
              </w:rPr>
              <w:t>A mundet projekti në ndonjë mënyrë tjetër të caktohet si projekt rajonal?</w:t>
            </w:r>
          </w:p>
        </w:tc>
        <w:tc>
          <w:tcPr>
            <w:tcW w:w="340" w:type="pct"/>
            <w:tcBorders>
              <w:top w:val="single" w:sz="4" w:space="0" w:color="auto"/>
              <w:left w:val="single" w:sz="4" w:space="0" w:color="auto"/>
              <w:bottom w:val="single" w:sz="4" w:space="0" w:color="auto"/>
              <w:right w:val="single" w:sz="4" w:space="0" w:color="auto"/>
            </w:tcBorders>
          </w:tcPr>
          <w:p w14:paraId="2A7554A1" w14:textId="77777777" w:rsidR="0098031C" w:rsidRPr="00515F08" w:rsidRDefault="0098031C" w:rsidP="005040D9">
            <w:pPr>
              <w:rPr>
                <w:rFonts w:ascii="Arial" w:hAnsi="Arial" w:cs="Arial"/>
                <w:sz w:val="20"/>
                <w:szCs w:val="20"/>
              </w:rPr>
            </w:pPr>
          </w:p>
        </w:tc>
        <w:tc>
          <w:tcPr>
            <w:tcW w:w="2099" w:type="pct"/>
            <w:tcBorders>
              <w:top w:val="single" w:sz="4" w:space="0" w:color="auto"/>
              <w:left w:val="single" w:sz="4" w:space="0" w:color="auto"/>
              <w:bottom w:val="single" w:sz="4" w:space="0" w:color="auto"/>
              <w:right w:val="single" w:sz="4" w:space="0" w:color="auto"/>
            </w:tcBorders>
          </w:tcPr>
          <w:p w14:paraId="723C6AEB" w14:textId="77777777" w:rsidR="0098031C" w:rsidRPr="00515F08" w:rsidRDefault="0098031C" w:rsidP="005040D9">
            <w:pPr>
              <w:rPr>
                <w:rFonts w:ascii="Arial" w:hAnsi="Arial" w:cs="Arial"/>
                <w:sz w:val="20"/>
                <w:szCs w:val="20"/>
              </w:rPr>
            </w:pPr>
            <w:r>
              <w:rPr>
                <w:rFonts w:ascii="Arial" w:hAnsi="Arial"/>
                <w:sz w:val="20"/>
              </w:rPr>
              <w:t>.</w:t>
            </w:r>
          </w:p>
        </w:tc>
        <w:tc>
          <w:tcPr>
            <w:tcW w:w="283" w:type="pct"/>
            <w:tcBorders>
              <w:top w:val="single" w:sz="4" w:space="0" w:color="auto"/>
              <w:left w:val="single" w:sz="4" w:space="0" w:color="auto"/>
              <w:bottom w:val="single" w:sz="4" w:space="0" w:color="auto"/>
              <w:right w:val="single" w:sz="4" w:space="0" w:color="auto"/>
            </w:tcBorders>
          </w:tcPr>
          <w:p w14:paraId="12DEAFB0" w14:textId="77777777" w:rsidR="0098031C" w:rsidRPr="00515F08" w:rsidRDefault="0098031C" w:rsidP="005040D9">
            <w:pPr>
              <w:rPr>
                <w:rFonts w:ascii="Arial" w:hAnsi="Arial" w:cs="Arial"/>
                <w:sz w:val="20"/>
                <w:szCs w:val="20"/>
              </w:rPr>
            </w:pPr>
            <w:r>
              <w:rPr>
                <w:rFonts w:ascii="Arial" w:hAnsi="Arial"/>
                <w:sz w:val="20"/>
              </w:rPr>
              <w:t>X</w:t>
            </w:r>
          </w:p>
        </w:tc>
      </w:tr>
    </w:tbl>
    <w:p w14:paraId="4897C299" w14:textId="77777777" w:rsidR="00026248" w:rsidRPr="00515F08" w:rsidRDefault="00026248" w:rsidP="001C2CAF">
      <w:pPr>
        <w:rPr>
          <w:rFonts w:ascii="Arial" w:hAnsi="Arial" w:cs="Arial"/>
          <w:b/>
          <w:sz w:val="20"/>
          <w:szCs w:val="20"/>
        </w:rPr>
      </w:pPr>
    </w:p>
    <w:p w14:paraId="01113836" w14:textId="77777777" w:rsidR="001C2CAF" w:rsidRPr="00515F08" w:rsidRDefault="001C2CAF" w:rsidP="009E2624">
      <w:pPr>
        <w:pStyle w:val="ListParagraph"/>
        <w:numPr>
          <w:ilvl w:val="0"/>
          <w:numId w:val="2"/>
        </w:numPr>
        <w:spacing w:after="120"/>
        <w:rPr>
          <w:rFonts w:cs="Arial"/>
          <w:b/>
          <w:szCs w:val="20"/>
        </w:rPr>
      </w:pPr>
      <w:r>
        <w:rPr>
          <w:b/>
        </w:rPr>
        <w:t>PLANIFIKIMI I SHPENZIMIT</w:t>
      </w:r>
    </w:p>
    <w:tbl>
      <w:tblPr>
        <w:tblW w:w="47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148"/>
        <w:gridCol w:w="661"/>
        <w:gridCol w:w="669"/>
        <w:gridCol w:w="669"/>
        <w:gridCol w:w="663"/>
        <w:gridCol w:w="663"/>
        <w:gridCol w:w="765"/>
        <w:gridCol w:w="765"/>
        <w:gridCol w:w="765"/>
        <w:gridCol w:w="765"/>
      </w:tblGrid>
      <w:tr w:rsidR="008F370E" w:rsidRPr="00515F08" w14:paraId="5068C999" w14:textId="23036B6E" w:rsidTr="008F370E">
        <w:tc>
          <w:tcPr>
            <w:tcW w:w="1011" w:type="pct"/>
            <w:shd w:val="clear" w:color="auto" w:fill="D9D9D9" w:themeFill="background1" w:themeFillShade="D9"/>
          </w:tcPr>
          <w:p w14:paraId="0CA60DD1" w14:textId="77777777" w:rsidR="008F370E" w:rsidRPr="00515F08" w:rsidRDefault="008F370E" w:rsidP="001C2CAF">
            <w:pPr>
              <w:spacing w:after="0" w:line="260" w:lineRule="atLeast"/>
              <w:rPr>
                <w:rFonts w:ascii="Arial" w:hAnsi="Arial" w:cs="Arial"/>
                <w:sz w:val="20"/>
                <w:szCs w:val="20"/>
                <w:highlight w:val="lightGray"/>
              </w:rPr>
            </w:pPr>
          </w:p>
        </w:tc>
        <w:tc>
          <w:tcPr>
            <w:tcW w:w="608" w:type="pct"/>
            <w:shd w:val="clear" w:color="auto" w:fill="D9D9D9" w:themeFill="background1" w:themeFillShade="D9"/>
          </w:tcPr>
          <w:p w14:paraId="596CC61E" w14:textId="77777777" w:rsidR="008F370E" w:rsidRPr="00515F08" w:rsidRDefault="008F370E" w:rsidP="001C2CAF">
            <w:pPr>
              <w:spacing w:after="0" w:line="260" w:lineRule="atLeast"/>
              <w:rPr>
                <w:rFonts w:ascii="Arial" w:hAnsi="Arial" w:cs="Arial"/>
                <w:sz w:val="20"/>
                <w:szCs w:val="20"/>
              </w:rPr>
            </w:pPr>
            <w:r>
              <w:rPr>
                <w:rFonts w:ascii="Arial" w:hAnsi="Arial"/>
                <w:sz w:val="20"/>
              </w:rPr>
              <w:t>2010-2015</w:t>
            </w:r>
          </w:p>
        </w:tc>
        <w:tc>
          <w:tcPr>
            <w:tcW w:w="350" w:type="pct"/>
            <w:shd w:val="clear" w:color="auto" w:fill="D9D9D9" w:themeFill="background1" w:themeFillShade="D9"/>
          </w:tcPr>
          <w:p w14:paraId="273324DE" w14:textId="685FF781" w:rsidR="008F370E" w:rsidRPr="00515F08" w:rsidRDefault="008C5DAC" w:rsidP="001C2CAF">
            <w:pPr>
              <w:spacing w:after="0" w:line="260" w:lineRule="atLeast"/>
              <w:rPr>
                <w:rFonts w:ascii="Arial" w:hAnsi="Arial" w:cs="Arial"/>
                <w:sz w:val="20"/>
                <w:szCs w:val="20"/>
              </w:rPr>
            </w:pPr>
            <w:r>
              <w:rPr>
                <w:rFonts w:ascii="Arial" w:hAnsi="Arial"/>
                <w:sz w:val="20"/>
              </w:rPr>
              <w:t>2020</w:t>
            </w:r>
          </w:p>
        </w:tc>
        <w:tc>
          <w:tcPr>
            <w:tcW w:w="354" w:type="pct"/>
            <w:shd w:val="clear" w:color="auto" w:fill="D9D9D9" w:themeFill="background1" w:themeFillShade="D9"/>
          </w:tcPr>
          <w:p w14:paraId="701A14F7" w14:textId="79D2DE04" w:rsidR="008F370E" w:rsidRPr="00515F08" w:rsidRDefault="008C5DAC" w:rsidP="001C2CAF">
            <w:pPr>
              <w:spacing w:after="0" w:line="260" w:lineRule="atLeast"/>
              <w:rPr>
                <w:rFonts w:ascii="Arial" w:hAnsi="Arial" w:cs="Arial"/>
                <w:sz w:val="20"/>
                <w:szCs w:val="20"/>
              </w:rPr>
            </w:pPr>
            <w:r>
              <w:rPr>
                <w:rFonts w:ascii="Arial" w:hAnsi="Arial"/>
                <w:sz w:val="20"/>
              </w:rPr>
              <w:t>2021</w:t>
            </w:r>
          </w:p>
        </w:tc>
        <w:tc>
          <w:tcPr>
            <w:tcW w:w="354" w:type="pct"/>
            <w:shd w:val="clear" w:color="auto" w:fill="D9D9D9" w:themeFill="background1" w:themeFillShade="D9"/>
          </w:tcPr>
          <w:p w14:paraId="33A32A0A" w14:textId="39B6477C" w:rsidR="008F370E" w:rsidRPr="00515F08" w:rsidRDefault="008C5DAC" w:rsidP="001C2CAF">
            <w:pPr>
              <w:spacing w:after="0" w:line="260" w:lineRule="atLeast"/>
              <w:rPr>
                <w:rFonts w:ascii="Arial" w:hAnsi="Arial" w:cs="Arial"/>
                <w:sz w:val="20"/>
                <w:szCs w:val="20"/>
              </w:rPr>
            </w:pPr>
            <w:r>
              <w:rPr>
                <w:rFonts w:ascii="Arial" w:hAnsi="Arial"/>
                <w:sz w:val="20"/>
              </w:rPr>
              <w:t>2022</w:t>
            </w:r>
          </w:p>
        </w:tc>
        <w:tc>
          <w:tcPr>
            <w:tcW w:w="351" w:type="pct"/>
            <w:shd w:val="clear" w:color="auto" w:fill="D9D9D9" w:themeFill="background1" w:themeFillShade="D9"/>
          </w:tcPr>
          <w:p w14:paraId="1590811A" w14:textId="6110FCE3" w:rsidR="008F370E" w:rsidRPr="00515F08" w:rsidRDefault="008C5DAC" w:rsidP="001C2CAF">
            <w:pPr>
              <w:spacing w:after="0" w:line="260" w:lineRule="atLeast"/>
              <w:rPr>
                <w:rFonts w:ascii="Arial" w:hAnsi="Arial" w:cs="Arial"/>
                <w:sz w:val="20"/>
                <w:szCs w:val="20"/>
              </w:rPr>
            </w:pPr>
            <w:r>
              <w:rPr>
                <w:rFonts w:ascii="Arial" w:hAnsi="Arial"/>
                <w:sz w:val="20"/>
              </w:rPr>
              <w:t>2023</w:t>
            </w:r>
          </w:p>
        </w:tc>
        <w:tc>
          <w:tcPr>
            <w:tcW w:w="351" w:type="pct"/>
            <w:shd w:val="clear" w:color="auto" w:fill="D9D9D9" w:themeFill="background1" w:themeFillShade="D9"/>
          </w:tcPr>
          <w:p w14:paraId="63B57026" w14:textId="1666F829" w:rsidR="008F370E" w:rsidRPr="00515F08" w:rsidRDefault="008C5DAC" w:rsidP="001C2CAF">
            <w:pPr>
              <w:spacing w:after="0" w:line="260" w:lineRule="atLeast"/>
              <w:rPr>
                <w:rFonts w:ascii="Arial" w:hAnsi="Arial" w:cs="Arial"/>
                <w:sz w:val="20"/>
                <w:szCs w:val="20"/>
              </w:rPr>
            </w:pPr>
            <w:r>
              <w:rPr>
                <w:rFonts w:ascii="Arial" w:hAnsi="Arial"/>
                <w:sz w:val="20"/>
              </w:rPr>
              <w:t>2024</w:t>
            </w:r>
          </w:p>
        </w:tc>
        <w:tc>
          <w:tcPr>
            <w:tcW w:w="405" w:type="pct"/>
            <w:shd w:val="clear" w:color="auto" w:fill="D9D9D9" w:themeFill="background1" w:themeFillShade="D9"/>
          </w:tcPr>
          <w:p w14:paraId="429C5A5D" w14:textId="1595423E" w:rsidR="008F370E" w:rsidRPr="00515F08" w:rsidRDefault="008C5DAC" w:rsidP="001C2CAF">
            <w:pPr>
              <w:spacing w:after="0" w:line="260" w:lineRule="atLeast"/>
              <w:rPr>
                <w:rFonts w:ascii="Arial" w:hAnsi="Arial" w:cs="Arial"/>
                <w:sz w:val="20"/>
                <w:szCs w:val="20"/>
              </w:rPr>
            </w:pPr>
            <w:r>
              <w:rPr>
                <w:rFonts w:ascii="Arial" w:hAnsi="Arial"/>
                <w:sz w:val="20"/>
              </w:rPr>
              <w:t>2025</w:t>
            </w:r>
          </w:p>
        </w:tc>
        <w:tc>
          <w:tcPr>
            <w:tcW w:w="405" w:type="pct"/>
            <w:shd w:val="clear" w:color="auto" w:fill="D9D9D9" w:themeFill="background1" w:themeFillShade="D9"/>
          </w:tcPr>
          <w:p w14:paraId="03438598" w14:textId="187237D2" w:rsidR="008F370E" w:rsidRPr="00515F08" w:rsidRDefault="008C5DAC" w:rsidP="001C2CAF">
            <w:pPr>
              <w:spacing w:after="0" w:line="260" w:lineRule="atLeast"/>
              <w:rPr>
                <w:rFonts w:ascii="Arial" w:hAnsi="Arial" w:cs="Arial"/>
                <w:sz w:val="20"/>
                <w:szCs w:val="20"/>
              </w:rPr>
            </w:pPr>
            <w:r>
              <w:rPr>
                <w:rFonts w:ascii="Arial" w:hAnsi="Arial"/>
                <w:sz w:val="20"/>
              </w:rPr>
              <w:t>2026</w:t>
            </w:r>
          </w:p>
        </w:tc>
        <w:tc>
          <w:tcPr>
            <w:tcW w:w="405" w:type="pct"/>
            <w:shd w:val="clear" w:color="auto" w:fill="D9D9D9" w:themeFill="background1" w:themeFillShade="D9"/>
          </w:tcPr>
          <w:p w14:paraId="553D206C" w14:textId="53C0407D" w:rsidR="008F370E" w:rsidRPr="00515F08" w:rsidRDefault="008C5DAC" w:rsidP="001C2CAF">
            <w:pPr>
              <w:spacing w:after="0" w:line="260" w:lineRule="atLeast"/>
              <w:rPr>
                <w:rFonts w:ascii="Arial" w:hAnsi="Arial" w:cs="Arial"/>
                <w:sz w:val="20"/>
                <w:szCs w:val="20"/>
              </w:rPr>
            </w:pPr>
            <w:r>
              <w:rPr>
                <w:rFonts w:ascii="Arial" w:hAnsi="Arial"/>
                <w:sz w:val="20"/>
              </w:rPr>
              <w:t>2027</w:t>
            </w:r>
          </w:p>
        </w:tc>
        <w:tc>
          <w:tcPr>
            <w:tcW w:w="405" w:type="pct"/>
            <w:shd w:val="clear" w:color="auto" w:fill="D9D9D9" w:themeFill="background1" w:themeFillShade="D9"/>
          </w:tcPr>
          <w:p w14:paraId="2511A853" w14:textId="31A6A475" w:rsidR="008F370E" w:rsidRPr="00515F08" w:rsidRDefault="008C5DAC" w:rsidP="001C2CAF">
            <w:pPr>
              <w:spacing w:after="0" w:line="260" w:lineRule="atLeast"/>
              <w:rPr>
                <w:rFonts w:ascii="Arial" w:hAnsi="Arial" w:cs="Arial"/>
                <w:sz w:val="20"/>
                <w:szCs w:val="20"/>
              </w:rPr>
            </w:pPr>
            <w:r>
              <w:rPr>
                <w:rFonts w:ascii="Arial" w:hAnsi="Arial"/>
                <w:sz w:val="20"/>
              </w:rPr>
              <w:t>2028</w:t>
            </w:r>
          </w:p>
        </w:tc>
      </w:tr>
      <w:tr w:rsidR="008F370E" w:rsidRPr="00515F08" w14:paraId="73E77948" w14:textId="317350DE" w:rsidTr="008F370E">
        <w:tc>
          <w:tcPr>
            <w:tcW w:w="1011" w:type="pct"/>
            <w:shd w:val="clear" w:color="auto" w:fill="D9D9D9" w:themeFill="background1" w:themeFillShade="D9"/>
          </w:tcPr>
          <w:p w14:paraId="5F0AC0F5" w14:textId="663B3648" w:rsidR="008F370E" w:rsidRPr="00515F08" w:rsidRDefault="008F370E" w:rsidP="008F370E">
            <w:pPr>
              <w:spacing w:after="0" w:line="260" w:lineRule="atLeast"/>
              <w:rPr>
                <w:rFonts w:ascii="Arial" w:hAnsi="Arial" w:cs="Arial"/>
                <w:b/>
                <w:sz w:val="20"/>
                <w:szCs w:val="20"/>
              </w:rPr>
            </w:pPr>
            <w:r>
              <w:rPr>
                <w:rFonts w:ascii="Arial" w:hAnsi="Arial"/>
                <w:b/>
                <w:sz w:val="20"/>
              </w:rPr>
              <w:t>Kostot (në milion euro) të:</w:t>
            </w:r>
          </w:p>
        </w:tc>
        <w:tc>
          <w:tcPr>
            <w:tcW w:w="608" w:type="pct"/>
            <w:shd w:val="clear" w:color="auto" w:fill="auto"/>
          </w:tcPr>
          <w:p w14:paraId="3A9967B2" w14:textId="77777777" w:rsidR="008F370E" w:rsidRPr="00515F08" w:rsidRDefault="008F370E" w:rsidP="008F370E">
            <w:pPr>
              <w:spacing w:line="260" w:lineRule="atLeast"/>
              <w:rPr>
                <w:rFonts w:ascii="Arial" w:hAnsi="Arial" w:cs="Arial"/>
                <w:b/>
                <w:sz w:val="20"/>
                <w:szCs w:val="20"/>
              </w:rPr>
            </w:pPr>
          </w:p>
        </w:tc>
        <w:tc>
          <w:tcPr>
            <w:tcW w:w="350" w:type="pct"/>
            <w:shd w:val="clear" w:color="auto" w:fill="auto"/>
          </w:tcPr>
          <w:p w14:paraId="53A6CEA9" w14:textId="77777777" w:rsidR="008F370E" w:rsidRPr="00515F08" w:rsidRDefault="008F370E" w:rsidP="008F370E">
            <w:pPr>
              <w:spacing w:after="0" w:line="260" w:lineRule="atLeast"/>
              <w:rPr>
                <w:rFonts w:ascii="Arial" w:hAnsi="Arial" w:cs="Arial"/>
                <w:b/>
                <w:sz w:val="20"/>
                <w:szCs w:val="20"/>
              </w:rPr>
            </w:pPr>
          </w:p>
        </w:tc>
        <w:tc>
          <w:tcPr>
            <w:tcW w:w="354" w:type="pct"/>
            <w:shd w:val="clear" w:color="auto" w:fill="auto"/>
          </w:tcPr>
          <w:p w14:paraId="41530362" w14:textId="77777777" w:rsidR="008F370E" w:rsidRPr="00515F08" w:rsidRDefault="008F370E" w:rsidP="008F370E">
            <w:pPr>
              <w:spacing w:after="0" w:line="260" w:lineRule="atLeast"/>
              <w:rPr>
                <w:rFonts w:ascii="Arial" w:hAnsi="Arial" w:cs="Arial"/>
                <w:b/>
                <w:sz w:val="20"/>
                <w:szCs w:val="20"/>
              </w:rPr>
            </w:pPr>
          </w:p>
        </w:tc>
        <w:tc>
          <w:tcPr>
            <w:tcW w:w="354" w:type="pct"/>
            <w:shd w:val="clear" w:color="auto" w:fill="auto"/>
          </w:tcPr>
          <w:p w14:paraId="28B5A636" w14:textId="77777777" w:rsidR="008F370E" w:rsidRPr="00515F08" w:rsidRDefault="008F370E" w:rsidP="008F370E">
            <w:pPr>
              <w:spacing w:after="0" w:line="260" w:lineRule="atLeast"/>
              <w:rPr>
                <w:rFonts w:ascii="Arial" w:hAnsi="Arial" w:cs="Arial"/>
                <w:b/>
                <w:sz w:val="20"/>
                <w:szCs w:val="20"/>
              </w:rPr>
            </w:pPr>
          </w:p>
        </w:tc>
        <w:tc>
          <w:tcPr>
            <w:tcW w:w="351" w:type="pct"/>
            <w:shd w:val="clear" w:color="auto" w:fill="auto"/>
          </w:tcPr>
          <w:p w14:paraId="5BB636C3" w14:textId="77777777" w:rsidR="008F370E" w:rsidRPr="00515F08" w:rsidRDefault="008F370E" w:rsidP="008F370E">
            <w:pPr>
              <w:spacing w:after="0" w:line="260" w:lineRule="atLeast"/>
              <w:rPr>
                <w:rFonts w:ascii="Arial" w:hAnsi="Arial" w:cs="Arial"/>
                <w:b/>
                <w:sz w:val="20"/>
                <w:szCs w:val="20"/>
              </w:rPr>
            </w:pPr>
          </w:p>
        </w:tc>
        <w:tc>
          <w:tcPr>
            <w:tcW w:w="351" w:type="pct"/>
            <w:shd w:val="clear" w:color="auto" w:fill="auto"/>
          </w:tcPr>
          <w:p w14:paraId="785FCC2D" w14:textId="688CDF9E" w:rsidR="008F370E" w:rsidRPr="00614FEF" w:rsidRDefault="008F370E" w:rsidP="008F370E">
            <w:pPr>
              <w:spacing w:after="0" w:line="260" w:lineRule="atLeast"/>
              <w:rPr>
                <w:rFonts w:ascii="Arial" w:hAnsi="Arial" w:cs="Arial"/>
                <w:b/>
                <w:sz w:val="20"/>
                <w:szCs w:val="20"/>
              </w:rPr>
            </w:pPr>
          </w:p>
        </w:tc>
        <w:tc>
          <w:tcPr>
            <w:tcW w:w="405" w:type="pct"/>
            <w:shd w:val="clear" w:color="auto" w:fill="auto"/>
          </w:tcPr>
          <w:p w14:paraId="0E28C56C" w14:textId="3585C96B" w:rsidR="008F370E" w:rsidRPr="00614FEF" w:rsidRDefault="008F370E" w:rsidP="008F370E">
            <w:pPr>
              <w:spacing w:after="0" w:line="260" w:lineRule="atLeast"/>
              <w:rPr>
                <w:rFonts w:ascii="Arial" w:hAnsi="Arial" w:cs="Arial"/>
                <w:b/>
                <w:sz w:val="20"/>
                <w:szCs w:val="20"/>
              </w:rPr>
            </w:pPr>
          </w:p>
        </w:tc>
        <w:tc>
          <w:tcPr>
            <w:tcW w:w="405" w:type="pct"/>
            <w:shd w:val="clear" w:color="auto" w:fill="auto"/>
          </w:tcPr>
          <w:p w14:paraId="4D2A8970" w14:textId="302BF4BD" w:rsidR="008F370E" w:rsidRPr="00614FEF" w:rsidRDefault="008F370E" w:rsidP="008F370E">
            <w:pPr>
              <w:spacing w:after="0" w:line="260" w:lineRule="atLeast"/>
              <w:rPr>
                <w:rFonts w:ascii="Arial" w:hAnsi="Arial" w:cs="Arial"/>
                <w:b/>
                <w:sz w:val="20"/>
                <w:szCs w:val="20"/>
              </w:rPr>
            </w:pPr>
            <w:r>
              <w:rPr>
                <w:rFonts w:ascii="Arial" w:hAnsi="Arial"/>
                <w:b/>
                <w:sz w:val="20"/>
              </w:rPr>
              <w:t>3.3</w:t>
            </w:r>
          </w:p>
        </w:tc>
        <w:tc>
          <w:tcPr>
            <w:tcW w:w="405" w:type="pct"/>
            <w:shd w:val="clear" w:color="auto" w:fill="auto"/>
          </w:tcPr>
          <w:p w14:paraId="2FF230E3" w14:textId="2158B394" w:rsidR="008F370E" w:rsidRPr="00614FEF" w:rsidRDefault="008F370E" w:rsidP="008F370E">
            <w:pPr>
              <w:spacing w:after="0" w:line="260" w:lineRule="atLeast"/>
              <w:rPr>
                <w:rFonts w:ascii="Arial" w:hAnsi="Arial" w:cs="Arial"/>
                <w:b/>
                <w:sz w:val="20"/>
                <w:szCs w:val="20"/>
              </w:rPr>
            </w:pPr>
            <w:r>
              <w:rPr>
                <w:rFonts w:ascii="Arial" w:hAnsi="Arial"/>
                <w:b/>
                <w:sz w:val="20"/>
              </w:rPr>
              <w:t>50.85</w:t>
            </w:r>
          </w:p>
        </w:tc>
        <w:tc>
          <w:tcPr>
            <w:tcW w:w="405" w:type="pct"/>
            <w:shd w:val="clear" w:color="auto" w:fill="auto"/>
          </w:tcPr>
          <w:p w14:paraId="794A3EF1" w14:textId="62EE0217" w:rsidR="008F370E" w:rsidRPr="00614FEF" w:rsidRDefault="008F370E" w:rsidP="008F370E">
            <w:pPr>
              <w:spacing w:after="0" w:line="260" w:lineRule="atLeast"/>
              <w:rPr>
                <w:rFonts w:ascii="Arial" w:hAnsi="Arial" w:cs="Arial"/>
                <w:b/>
                <w:sz w:val="20"/>
                <w:szCs w:val="20"/>
              </w:rPr>
            </w:pPr>
            <w:r>
              <w:rPr>
                <w:rFonts w:ascii="Arial" w:hAnsi="Arial"/>
                <w:b/>
                <w:sz w:val="20"/>
              </w:rPr>
              <w:t>50.85</w:t>
            </w:r>
          </w:p>
        </w:tc>
      </w:tr>
      <w:tr w:rsidR="008F370E" w:rsidRPr="00515F08" w14:paraId="692B325B" w14:textId="305D9285" w:rsidTr="008F370E">
        <w:tc>
          <w:tcPr>
            <w:tcW w:w="1011" w:type="pct"/>
            <w:shd w:val="clear" w:color="auto" w:fill="D9D9D9" w:themeFill="background1" w:themeFillShade="D9"/>
          </w:tcPr>
          <w:p w14:paraId="1224B911" w14:textId="77777777" w:rsidR="008F370E" w:rsidRPr="00515F08" w:rsidRDefault="008F370E" w:rsidP="008F370E">
            <w:pPr>
              <w:spacing w:after="0" w:line="260" w:lineRule="atLeast"/>
              <w:rPr>
                <w:rFonts w:ascii="Arial" w:hAnsi="Arial" w:cs="Arial"/>
                <w:sz w:val="20"/>
                <w:szCs w:val="20"/>
              </w:rPr>
            </w:pPr>
            <w:r>
              <w:rPr>
                <w:rFonts w:ascii="Arial" w:hAnsi="Arial"/>
                <w:sz w:val="20"/>
              </w:rPr>
              <w:t>Përgatitja e projektit (TA)</w:t>
            </w:r>
          </w:p>
        </w:tc>
        <w:tc>
          <w:tcPr>
            <w:tcW w:w="608" w:type="pct"/>
            <w:shd w:val="clear" w:color="auto" w:fill="auto"/>
          </w:tcPr>
          <w:p w14:paraId="25DC8909" w14:textId="77777777" w:rsidR="008F370E" w:rsidRPr="00515F08" w:rsidRDefault="008F370E" w:rsidP="008F370E">
            <w:pPr>
              <w:spacing w:line="260" w:lineRule="atLeast"/>
              <w:rPr>
                <w:rFonts w:ascii="Arial" w:hAnsi="Arial" w:cs="Arial"/>
                <w:sz w:val="20"/>
                <w:szCs w:val="20"/>
              </w:rPr>
            </w:pPr>
          </w:p>
        </w:tc>
        <w:tc>
          <w:tcPr>
            <w:tcW w:w="350" w:type="pct"/>
            <w:shd w:val="clear" w:color="auto" w:fill="auto"/>
          </w:tcPr>
          <w:p w14:paraId="57839067" w14:textId="77777777" w:rsidR="008F370E" w:rsidRPr="00515F08" w:rsidRDefault="008F370E" w:rsidP="008F370E">
            <w:pPr>
              <w:spacing w:after="0" w:line="260" w:lineRule="atLeast"/>
              <w:rPr>
                <w:rFonts w:ascii="Arial" w:hAnsi="Arial" w:cs="Arial"/>
                <w:sz w:val="20"/>
                <w:szCs w:val="20"/>
                <w:vertAlign w:val="superscript"/>
              </w:rPr>
            </w:pPr>
          </w:p>
        </w:tc>
        <w:tc>
          <w:tcPr>
            <w:tcW w:w="354" w:type="pct"/>
            <w:shd w:val="clear" w:color="auto" w:fill="auto"/>
          </w:tcPr>
          <w:p w14:paraId="6D47AE29" w14:textId="77777777" w:rsidR="008F370E" w:rsidRPr="00515F08" w:rsidRDefault="008F370E" w:rsidP="008F370E">
            <w:pPr>
              <w:spacing w:after="0" w:line="260" w:lineRule="atLeast"/>
              <w:rPr>
                <w:rFonts w:ascii="Arial" w:hAnsi="Arial" w:cs="Arial"/>
                <w:sz w:val="20"/>
                <w:szCs w:val="20"/>
                <w:vertAlign w:val="superscript"/>
              </w:rPr>
            </w:pPr>
          </w:p>
        </w:tc>
        <w:tc>
          <w:tcPr>
            <w:tcW w:w="354" w:type="pct"/>
            <w:shd w:val="clear" w:color="auto" w:fill="auto"/>
          </w:tcPr>
          <w:p w14:paraId="71F14690" w14:textId="77777777" w:rsidR="008F370E" w:rsidRPr="00515F08" w:rsidRDefault="008F370E" w:rsidP="008F370E">
            <w:pPr>
              <w:spacing w:after="0" w:line="260" w:lineRule="atLeast"/>
              <w:rPr>
                <w:rFonts w:ascii="Arial" w:hAnsi="Arial" w:cs="Arial"/>
                <w:sz w:val="20"/>
                <w:szCs w:val="20"/>
                <w:vertAlign w:val="superscript"/>
              </w:rPr>
            </w:pPr>
          </w:p>
        </w:tc>
        <w:tc>
          <w:tcPr>
            <w:tcW w:w="351" w:type="pct"/>
            <w:shd w:val="clear" w:color="auto" w:fill="auto"/>
          </w:tcPr>
          <w:p w14:paraId="502D0343" w14:textId="77777777" w:rsidR="008F370E" w:rsidRPr="00515F08" w:rsidRDefault="008F370E" w:rsidP="008F370E">
            <w:pPr>
              <w:spacing w:after="0" w:line="260" w:lineRule="atLeast"/>
              <w:rPr>
                <w:rFonts w:ascii="Arial" w:hAnsi="Arial" w:cs="Arial"/>
                <w:sz w:val="20"/>
                <w:szCs w:val="20"/>
              </w:rPr>
            </w:pPr>
          </w:p>
        </w:tc>
        <w:tc>
          <w:tcPr>
            <w:tcW w:w="351" w:type="pct"/>
            <w:shd w:val="clear" w:color="auto" w:fill="auto"/>
          </w:tcPr>
          <w:p w14:paraId="69E31268" w14:textId="14C41C55" w:rsidR="008F370E" w:rsidRPr="00614FEF" w:rsidRDefault="008F370E" w:rsidP="008F370E">
            <w:pPr>
              <w:spacing w:after="0" w:line="260" w:lineRule="atLeast"/>
              <w:rPr>
                <w:rFonts w:ascii="Arial" w:hAnsi="Arial" w:cs="Arial"/>
                <w:sz w:val="20"/>
                <w:szCs w:val="20"/>
                <w:vertAlign w:val="superscript"/>
              </w:rPr>
            </w:pPr>
          </w:p>
        </w:tc>
        <w:tc>
          <w:tcPr>
            <w:tcW w:w="405" w:type="pct"/>
            <w:shd w:val="clear" w:color="auto" w:fill="auto"/>
          </w:tcPr>
          <w:p w14:paraId="4745FD4B" w14:textId="5C9D2C94" w:rsidR="008F370E" w:rsidRPr="00614FEF" w:rsidRDefault="008F370E" w:rsidP="008F370E">
            <w:pPr>
              <w:spacing w:after="0" w:line="260" w:lineRule="atLeast"/>
              <w:rPr>
                <w:rFonts w:ascii="Arial" w:hAnsi="Arial" w:cs="Arial"/>
                <w:sz w:val="20"/>
                <w:szCs w:val="20"/>
                <w:vertAlign w:val="superscript"/>
              </w:rPr>
            </w:pPr>
          </w:p>
        </w:tc>
        <w:tc>
          <w:tcPr>
            <w:tcW w:w="405" w:type="pct"/>
            <w:shd w:val="clear" w:color="auto" w:fill="auto"/>
          </w:tcPr>
          <w:p w14:paraId="6312F418" w14:textId="5FD31794" w:rsidR="008F370E" w:rsidRPr="00614FEF" w:rsidRDefault="008F370E" w:rsidP="008F370E">
            <w:pPr>
              <w:spacing w:after="0" w:line="260" w:lineRule="atLeast"/>
              <w:rPr>
                <w:rFonts w:ascii="Arial" w:hAnsi="Arial" w:cs="Arial"/>
                <w:sz w:val="20"/>
                <w:szCs w:val="20"/>
                <w:vertAlign w:val="superscript"/>
              </w:rPr>
            </w:pPr>
            <w:r>
              <w:rPr>
                <w:rFonts w:ascii="Arial" w:hAnsi="Arial"/>
                <w:sz w:val="20"/>
              </w:rPr>
              <w:t>3.3</w:t>
            </w:r>
            <w:r>
              <w:rPr>
                <w:rFonts w:ascii="Arial" w:hAnsi="Arial"/>
                <w:sz w:val="20"/>
                <w:vertAlign w:val="superscript"/>
              </w:rPr>
              <w:t>(2)</w:t>
            </w:r>
          </w:p>
        </w:tc>
        <w:tc>
          <w:tcPr>
            <w:tcW w:w="405" w:type="pct"/>
            <w:shd w:val="clear" w:color="auto" w:fill="auto"/>
          </w:tcPr>
          <w:p w14:paraId="10CAD29C" w14:textId="403C5FD5" w:rsidR="008F370E" w:rsidRPr="00614FEF" w:rsidRDefault="008F370E" w:rsidP="008F370E">
            <w:pPr>
              <w:spacing w:after="0" w:line="260" w:lineRule="atLeast"/>
              <w:rPr>
                <w:rFonts w:ascii="Arial" w:hAnsi="Arial" w:cs="Arial"/>
                <w:sz w:val="20"/>
                <w:szCs w:val="20"/>
              </w:rPr>
            </w:pPr>
            <w:r>
              <w:rPr>
                <w:rFonts w:ascii="Arial" w:hAnsi="Arial"/>
                <w:sz w:val="20"/>
              </w:rPr>
              <w:t>0.85</w:t>
            </w:r>
            <w:r>
              <w:rPr>
                <w:rFonts w:ascii="Arial" w:hAnsi="Arial"/>
                <w:sz w:val="20"/>
                <w:vertAlign w:val="superscript"/>
              </w:rPr>
              <w:t>(3)</w:t>
            </w:r>
          </w:p>
        </w:tc>
        <w:tc>
          <w:tcPr>
            <w:tcW w:w="405" w:type="pct"/>
            <w:shd w:val="clear" w:color="auto" w:fill="auto"/>
          </w:tcPr>
          <w:p w14:paraId="4FFE596D" w14:textId="67354AC3" w:rsidR="008F370E" w:rsidRPr="00614FEF" w:rsidRDefault="008F370E" w:rsidP="008F370E">
            <w:pPr>
              <w:spacing w:after="0" w:line="260" w:lineRule="atLeast"/>
              <w:rPr>
                <w:rFonts w:ascii="Arial" w:hAnsi="Arial" w:cs="Arial"/>
                <w:sz w:val="20"/>
                <w:szCs w:val="20"/>
              </w:rPr>
            </w:pPr>
            <w:r>
              <w:rPr>
                <w:rFonts w:ascii="Arial" w:hAnsi="Arial"/>
                <w:sz w:val="20"/>
              </w:rPr>
              <w:t>0.85</w:t>
            </w:r>
            <w:r>
              <w:rPr>
                <w:rFonts w:ascii="Arial" w:hAnsi="Arial"/>
                <w:sz w:val="20"/>
                <w:vertAlign w:val="superscript"/>
              </w:rPr>
              <w:t>(3)</w:t>
            </w:r>
          </w:p>
        </w:tc>
      </w:tr>
      <w:tr w:rsidR="008F370E" w:rsidRPr="00515F08" w14:paraId="1FE21CB1" w14:textId="6BB9919F" w:rsidTr="008F370E">
        <w:tc>
          <w:tcPr>
            <w:tcW w:w="1011" w:type="pct"/>
            <w:shd w:val="clear" w:color="auto" w:fill="D9D9D9" w:themeFill="background1" w:themeFillShade="D9"/>
          </w:tcPr>
          <w:p w14:paraId="3937ADA4" w14:textId="77777777" w:rsidR="008F370E" w:rsidRPr="00515F08" w:rsidRDefault="008F370E" w:rsidP="008F370E">
            <w:pPr>
              <w:spacing w:after="0" w:line="260" w:lineRule="atLeast"/>
              <w:rPr>
                <w:rFonts w:ascii="Arial" w:hAnsi="Arial" w:cs="Arial"/>
                <w:sz w:val="20"/>
                <w:szCs w:val="20"/>
              </w:rPr>
            </w:pPr>
            <w:r>
              <w:rPr>
                <w:rFonts w:ascii="Arial" w:hAnsi="Arial"/>
                <w:sz w:val="20"/>
              </w:rPr>
              <w:t xml:space="preserve">Investimi </w:t>
            </w:r>
          </w:p>
        </w:tc>
        <w:tc>
          <w:tcPr>
            <w:tcW w:w="608" w:type="pct"/>
            <w:shd w:val="clear" w:color="auto" w:fill="auto"/>
          </w:tcPr>
          <w:p w14:paraId="280D4B97" w14:textId="77777777" w:rsidR="008F370E" w:rsidRPr="00515F08" w:rsidRDefault="008F370E" w:rsidP="008F370E">
            <w:pPr>
              <w:spacing w:line="260" w:lineRule="atLeast"/>
              <w:rPr>
                <w:rFonts w:ascii="Arial" w:hAnsi="Arial" w:cs="Arial"/>
                <w:sz w:val="20"/>
                <w:szCs w:val="20"/>
              </w:rPr>
            </w:pPr>
          </w:p>
        </w:tc>
        <w:tc>
          <w:tcPr>
            <w:tcW w:w="350" w:type="pct"/>
            <w:shd w:val="clear" w:color="auto" w:fill="auto"/>
          </w:tcPr>
          <w:p w14:paraId="7EB9E596" w14:textId="77777777" w:rsidR="008F370E" w:rsidRPr="00515F08" w:rsidRDefault="008F370E" w:rsidP="008F370E">
            <w:pPr>
              <w:spacing w:after="0" w:line="260" w:lineRule="atLeast"/>
              <w:rPr>
                <w:rFonts w:ascii="Arial" w:hAnsi="Arial" w:cs="Arial"/>
                <w:sz w:val="20"/>
                <w:szCs w:val="20"/>
              </w:rPr>
            </w:pPr>
          </w:p>
        </w:tc>
        <w:tc>
          <w:tcPr>
            <w:tcW w:w="354" w:type="pct"/>
            <w:shd w:val="clear" w:color="auto" w:fill="auto"/>
          </w:tcPr>
          <w:p w14:paraId="3CA9A28E" w14:textId="77777777" w:rsidR="008F370E" w:rsidRPr="00515F08" w:rsidRDefault="008F370E" w:rsidP="008F370E">
            <w:pPr>
              <w:spacing w:after="0" w:line="260" w:lineRule="atLeast"/>
              <w:rPr>
                <w:rFonts w:ascii="Arial" w:hAnsi="Arial" w:cs="Arial"/>
                <w:sz w:val="20"/>
                <w:szCs w:val="20"/>
                <w:vertAlign w:val="superscript"/>
              </w:rPr>
            </w:pPr>
          </w:p>
        </w:tc>
        <w:tc>
          <w:tcPr>
            <w:tcW w:w="354" w:type="pct"/>
            <w:shd w:val="clear" w:color="auto" w:fill="auto"/>
          </w:tcPr>
          <w:p w14:paraId="52CDED30" w14:textId="77777777" w:rsidR="008F370E" w:rsidRPr="00515F08" w:rsidRDefault="008F370E" w:rsidP="008F370E">
            <w:pPr>
              <w:spacing w:after="0" w:line="260" w:lineRule="atLeast"/>
              <w:rPr>
                <w:rFonts w:ascii="Arial" w:hAnsi="Arial" w:cs="Arial"/>
                <w:sz w:val="20"/>
                <w:szCs w:val="20"/>
                <w:vertAlign w:val="superscript"/>
              </w:rPr>
            </w:pPr>
          </w:p>
        </w:tc>
        <w:tc>
          <w:tcPr>
            <w:tcW w:w="351" w:type="pct"/>
            <w:shd w:val="clear" w:color="auto" w:fill="auto"/>
          </w:tcPr>
          <w:p w14:paraId="41112ED7" w14:textId="77777777" w:rsidR="008F370E" w:rsidRPr="00515F08" w:rsidRDefault="008F370E" w:rsidP="008F370E">
            <w:pPr>
              <w:spacing w:after="0" w:line="260" w:lineRule="atLeast"/>
              <w:rPr>
                <w:rFonts w:ascii="Arial" w:hAnsi="Arial" w:cs="Arial"/>
                <w:sz w:val="20"/>
                <w:szCs w:val="20"/>
              </w:rPr>
            </w:pPr>
          </w:p>
        </w:tc>
        <w:tc>
          <w:tcPr>
            <w:tcW w:w="351" w:type="pct"/>
            <w:shd w:val="clear" w:color="auto" w:fill="auto"/>
          </w:tcPr>
          <w:p w14:paraId="4B3ED73B" w14:textId="77777777" w:rsidR="008F370E" w:rsidRPr="00614FEF" w:rsidRDefault="008F370E" w:rsidP="008F370E">
            <w:pPr>
              <w:spacing w:after="0" w:line="260" w:lineRule="atLeast"/>
              <w:rPr>
                <w:rFonts w:ascii="Arial" w:hAnsi="Arial" w:cs="Arial"/>
                <w:sz w:val="20"/>
                <w:szCs w:val="20"/>
              </w:rPr>
            </w:pPr>
          </w:p>
        </w:tc>
        <w:tc>
          <w:tcPr>
            <w:tcW w:w="405" w:type="pct"/>
            <w:shd w:val="clear" w:color="auto" w:fill="auto"/>
          </w:tcPr>
          <w:p w14:paraId="44D3C634" w14:textId="38CE507E" w:rsidR="008F370E" w:rsidRPr="00614FEF" w:rsidRDefault="008F370E" w:rsidP="008F370E">
            <w:pPr>
              <w:spacing w:after="0" w:line="260" w:lineRule="atLeast"/>
              <w:rPr>
                <w:rFonts w:ascii="Arial" w:hAnsi="Arial" w:cs="Arial"/>
                <w:sz w:val="20"/>
                <w:szCs w:val="20"/>
                <w:vertAlign w:val="superscript"/>
              </w:rPr>
            </w:pPr>
          </w:p>
        </w:tc>
        <w:tc>
          <w:tcPr>
            <w:tcW w:w="405" w:type="pct"/>
            <w:shd w:val="clear" w:color="auto" w:fill="auto"/>
          </w:tcPr>
          <w:p w14:paraId="0B679595" w14:textId="427FB84E" w:rsidR="008F370E" w:rsidRPr="00614FEF" w:rsidRDefault="008F370E" w:rsidP="008F370E">
            <w:pPr>
              <w:spacing w:after="0" w:line="260" w:lineRule="atLeast"/>
              <w:rPr>
                <w:rFonts w:ascii="Arial" w:hAnsi="Arial" w:cs="Arial"/>
                <w:sz w:val="20"/>
                <w:szCs w:val="20"/>
                <w:vertAlign w:val="superscript"/>
              </w:rPr>
            </w:pPr>
          </w:p>
        </w:tc>
        <w:tc>
          <w:tcPr>
            <w:tcW w:w="405" w:type="pct"/>
            <w:shd w:val="clear" w:color="auto" w:fill="auto"/>
          </w:tcPr>
          <w:p w14:paraId="49147799" w14:textId="0282199F" w:rsidR="008F370E" w:rsidRPr="00614FEF" w:rsidRDefault="008F370E" w:rsidP="008F370E">
            <w:pPr>
              <w:spacing w:after="0" w:line="260" w:lineRule="atLeast"/>
              <w:rPr>
                <w:rFonts w:ascii="Arial" w:hAnsi="Arial" w:cs="Arial"/>
                <w:sz w:val="20"/>
                <w:szCs w:val="20"/>
              </w:rPr>
            </w:pPr>
            <w:r>
              <w:rPr>
                <w:rFonts w:ascii="Arial" w:hAnsi="Arial"/>
                <w:sz w:val="20"/>
              </w:rPr>
              <w:t>50</w:t>
            </w:r>
            <w:r>
              <w:rPr>
                <w:rFonts w:ascii="Arial" w:hAnsi="Arial"/>
                <w:sz w:val="20"/>
                <w:vertAlign w:val="superscript"/>
              </w:rPr>
              <w:t>(1)</w:t>
            </w:r>
          </w:p>
        </w:tc>
        <w:tc>
          <w:tcPr>
            <w:tcW w:w="405" w:type="pct"/>
            <w:shd w:val="clear" w:color="auto" w:fill="auto"/>
          </w:tcPr>
          <w:p w14:paraId="313D05B8" w14:textId="541DA920" w:rsidR="008F370E" w:rsidRPr="00614FEF" w:rsidRDefault="008F370E" w:rsidP="008F370E">
            <w:pPr>
              <w:spacing w:after="0" w:line="260" w:lineRule="atLeast"/>
              <w:rPr>
                <w:rFonts w:ascii="Arial" w:hAnsi="Arial" w:cs="Arial"/>
                <w:sz w:val="20"/>
                <w:szCs w:val="20"/>
              </w:rPr>
            </w:pPr>
            <w:r>
              <w:rPr>
                <w:rFonts w:ascii="Arial" w:hAnsi="Arial"/>
                <w:sz w:val="20"/>
              </w:rPr>
              <w:t>50</w:t>
            </w:r>
            <w:r>
              <w:rPr>
                <w:rFonts w:ascii="Arial" w:hAnsi="Arial"/>
                <w:sz w:val="20"/>
                <w:vertAlign w:val="superscript"/>
              </w:rPr>
              <w:t>(1)</w:t>
            </w:r>
          </w:p>
        </w:tc>
      </w:tr>
    </w:tbl>
    <w:p w14:paraId="4073888B" w14:textId="77777777" w:rsidR="007628EF" w:rsidRPr="00515F08" w:rsidRDefault="007628EF">
      <w:pPr>
        <w:spacing w:after="0" w:line="240" w:lineRule="auto"/>
        <w:rPr>
          <w:rFonts w:ascii="Arial" w:hAnsi="Arial" w:cs="Arial"/>
          <w:sz w:val="20"/>
          <w:szCs w:val="20"/>
        </w:rPr>
      </w:pPr>
    </w:p>
    <w:p w14:paraId="2B4A18F6" w14:textId="77777777" w:rsidR="00F32945" w:rsidRPr="00515F08" w:rsidRDefault="00F32945" w:rsidP="00F32945">
      <w:pPr>
        <w:pStyle w:val="ListParagraph"/>
        <w:numPr>
          <w:ilvl w:val="0"/>
          <w:numId w:val="20"/>
        </w:numPr>
        <w:spacing w:line="240" w:lineRule="auto"/>
        <w:rPr>
          <w:rFonts w:cs="Arial"/>
          <w:bCs/>
          <w:szCs w:val="20"/>
        </w:rPr>
      </w:pPr>
      <w:r>
        <w:t>Punimet ndërtimore</w:t>
      </w:r>
    </w:p>
    <w:p w14:paraId="54AC4E63" w14:textId="77777777" w:rsidR="00F32945" w:rsidRPr="00515F08" w:rsidRDefault="00F32945" w:rsidP="00F32945">
      <w:pPr>
        <w:pStyle w:val="ListParagraph"/>
        <w:numPr>
          <w:ilvl w:val="0"/>
          <w:numId w:val="20"/>
        </w:numPr>
        <w:spacing w:line="240" w:lineRule="auto"/>
        <w:rPr>
          <w:rFonts w:cs="Arial"/>
          <w:szCs w:val="20"/>
        </w:rPr>
      </w:pPr>
      <w:r>
        <w:t>Aktivitetet përgatitore</w:t>
      </w:r>
    </w:p>
    <w:p w14:paraId="71480E91" w14:textId="77777777" w:rsidR="00F32945" w:rsidRPr="00515F08" w:rsidRDefault="00F32945" w:rsidP="00F32945">
      <w:pPr>
        <w:pStyle w:val="ListParagraph"/>
        <w:numPr>
          <w:ilvl w:val="0"/>
          <w:numId w:val="20"/>
        </w:numPr>
        <w:spacing w:line="240" w:lineRule="auto"/>
        <w:rPr>
          <w:rFonts w:cs="Arial"/>
          <w:szCs w:val="20"/>
        </w:rPr>
      </w:pPr>
      <w:r>
        <w:t>Mbikëqyrja dhe komisionimi</w:t>
      </w:r>
    </w:p>
    <w:p w14:paraId="0343619E" w14:textId="77777777" w:rsidR="0019538C" w:rsidRPr="00742887" w:rsidRDefault="0019538C" w:rsidP="005149F7">
      <w:pPr>
        <w:rPr>
          <w:rFonts w:ascii="Times New Roman" w:hAnsi="Times New Roman"/>
          <w:sz w:val="20"/>
          <w:szCs w:val="20"/>
        </w:rPr>
      </w:pPr>
    </w:p>
    <w:sectPr w:rsidR="0019538C" w:rsidRPr="00742887" w:rsidSect="00FC644F">
      <w:headerReference w:type="default" r:id="rId10"/>
      <w:footerReference w:type="default" r:id="rId11"/>
      <w:headerReference w:type="first" r:id="rId12"/>
      <w:footerReference w:type="first" r:id="rId13"/>
      <w:pgSz w:w="11913" w:h="16834" w:code="9"/>
      <w:pgMar w:top="720" w:right="720" w:bottom="720" w:left="720" w:header="397" w:footer="0" w:gutter="567"/>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4FAA9" w16cex:dateUtc="2023-01-20T10:34:00Z"/>
  <w16cex:commentExtensible w16cex:durableId="2774FABE" w16cex:dateUtc="2023-01-20T10:34:00Z"/>
  <w16cex:commentExtensible w16cex:durableId="2774FAF8" w16cex:dateUtc="2023-01-20T10:35:00Z"/>
  <w16cex:commentExtensible w16cex:durableId="2774FD4B" w16cex:dateUtc="2023-01-20T10:45:00Z"/>
  <w16cex:commentExtensible w16cex:durableId="277502C3" w16cex:dateUtc="2023-01-20T11:08:00Z"/>
  <w16cex:commentExtensible w16cex:durableId="27751781" w16cex:dateUtc="2023-01-20T12:37:00Z"/>
  <w16cex:commentExtensible w16cex:durableId="27783F45" w16cex:dateUtc="2023-01-22T22:03:00Z"/>
  <w16cex:commentExtensible w16cex:durableId="27783F5D" w16cex:dateUtc="2023-01-22T22:03:00Z"/>
  <w16cex:commentExtensible w16cex:durableId="27783F50" w16cex:dateUtc="2023-01-22T22:03:00Z"/>
  <w16cex:commentExtensible w16cex:durableId="277517C9" w16cex:dateUtc="2023-01-20T12:38:00Z"/>
  <w16cex:commentExtensible w16cex:durableId="277516FA" w16cex:dateUtc="2023-01-20T12:34:00Z"/>
  <w16cex:commentExtensible w16cex:durableId="2775167E" w16cex:dateUtc="2023-01-20T12:32:00Z"/>
  <w16cex:commentExtensible w16cex:durableId="277516A1" w16cex:dateUtc="2023-01-20T12:33:00Z"/>
  <w16cex:commentExtensible w16cex:durableId="27751B6C" w16cex:dateUtc="2023-01-20T12:53:00Z"/>
  <w16cex:commentExtensible w16cex:durableId="277520ED" w16cex:dateUtc="2023-01-20T13:17:00Z"/>
  <w16cex:commentExtensible w16cex:durableId="27750536" w16cex:dateUtc="2023-01-20T11:19:00Z"/>
  <w16cex:commentExtensible w16cex:durableId="27781452" w16cex:dateUtc="2023-01-22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84C589" w16cid:durableId="2774FAA9"/>
  <w16cid:commentId w16cid:paraId="4D0E7F81" w16cid:durableId="2774FABE"/>
  <w16cid:commentId w16cid:paraId="1ECFAB3B" w16cid:durableId="2774FAF8"/>
  <w16cid:commentId w16cid:paraId="7D1A4146" w16cid:durableId="2774FD4B"/>
  <w16cid:commentId w16cid:paraId="4607AB54" w16cid:durableId="277502C3"/>
  <w16cid:commentId w16cid:paraId="0F6C3B76" w16cid:durableId="27751781"/>
  <w16cid:commentId w16cid:paraId="1B2328F5" w16cid:durableId="27783F45"/>
  <w16cid:commentId w16cid:paraId="0224FD55" w16cid:durableId="27783F5D"/>
  <w16cid:commentId w16cid:paraId="1DCFB005" w16cid:durableId="27783F50"/>
  <w16cid:commentId w16cid:paraId="46D32FCF" w16cid:durableId="277517C9"/>
  <w16cid:commentId w16cid:paraId="0379C848" w16cid:durableId="277516FA"/>
  <w16cid:commentId w16cid:paraId="1C2F5D23" w16cid:durableId="2775167E"/>
  <w16cid:commentId w16cid:paraId="1B6B949D" w16cid:durableId="277516A1"/>
  <w16cid:commentId w16cid:paraId="5C06D21E" w16cid:durableId="27751B6C"/>
  <w16cid:commentId w16cid:paraId="2E16870C" w16cid:durableId="277520ED"/>
  <w16cid:commentId w16cid:paraId="34DCE2D2" w16cid:durableId="27750536"/>
  <w16cid:commentId w16cid:paraId="6E908EED" w16cid:durableId="2778145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8DFD3" w14:textId="77777777" w:rsidR="00CF66D7" w:rsidRDefault="00CF66D7" w:rsidP="00CE33CC">
      <w:pPr>
        <w:spacing w:after="0" w:line="240" w:lineRule="auto"/>
      </w:pPr>
      <w:r>
        <w:separator/>
      </w:r>
    </w:p>
  </w:endnote>
  <w:endnote w:type="continuationSeparator" w:id="0">
    <w:p w14:paraId="5EE32433" w14:textId="77777777" w:rsidR="00CF66D7" w:rsidRDefault="00CF66D7" w:rsidP="00CE3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panose1 w:val="00000000000000000000"/>
    <w:charset w:val="00"/>
    <w:family w:val="roman"/>
    <w:notTrueType/>
    <w:pitch w:val="default"/>
    <w:sig w:usb0="00000003" w:usb1="00000000" w:usb2="00000000" w:usb3="00000000" w:csb0="00000001" w:csb1="00000000"/>
  </w:font>
  <w:font w:name="EUAlbertina-Bold-Identity-H">
    <w:altName w:val="MS Mincho"/>
    <w:charset w:val="00"/>
    <w:family w:val="auto"/>
    <w:pitch w:val="variable"/>
    <w:sig w:usb0="00000001" w:usb1="08070000" w:usb2="00000010" w:usb3="00000000" w:csb0="00020000" w:csb1="00000000"/>
  </w:font>
  <w:font w:name="EUAlbertina-Regular-Identity-H">
    <w:altName w:val="MS Mincho"/>
    <w:charset w:val="0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430954772"/>
      <w:docPartObj>
        <w:docPartGallery w:val="Page Numbers (Bottom of Page)"/>
        <w:docPartUnique/>
      </w:docPartObj>
    </w:sdtPr>
    <w:sdtEndPr>
      <w:rPr>
        <w:rFonts w:ascii="Calibri" w:hAnsi="Calibri" w:cs="Times New Roman"/>
        <w:color w:val="auto"/>
        <w:sz w:val="22"/>
        <w:szCs w:val="22"/>
      </w:rPr>
    </w:sdtEndPr>
    <w:sdtContent>
      <w:p w14:paraId="184B5817" w14:textId="1FCE595D" w:rsidR="0083451C" w:rsidRPr="0083451C" w:rsidRDefault="0083451C">
        <w:pPr>
          <w:pStyle w:val="Footer"/>
          <w:jc w:val="right"/>
          <w:rPr>
            <w:rFonts w:ascii="Arial" w:hAnsi="Arial" w:cs="Arial"/>
            <w:noProof/>
            <w:color w:val="003870"/>
            <w:sz w:val="17"/>
            <w:szCs w:val="17"/>
          </w:rPr>
        </w:pPr>
      </w:p>
      <w:p w14:paraId="1D7F2913" w14:textId="77777777" w:rsidR="0083451C" w:rsidRDefault="00CF66D7">
        <w:pPr>
          <w:pStyle w:val="Footer"/>
          <w:jc w:val="right"/>
        </w:pPr>
      </w:p>
    </w:sdtContent>
  </w:sdt>
  <w:p w14:paraId="325772A7" w14:textId="77777777" w:rsidR="00DB4132" w:rsidRDefault="00DB413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430954773"/>
      <w:docPartObj>
        <w:docPartGallery w:val="Page Numbers (Bottom of Page)"/>
        <w:docPartUnique/>
      </w:docPartObj>
    </w:sdtPr>
    <w:sdtEndPr>
      <w:rPr>
        <w:rFonts w:ascii="Calibri" w:hAnsi="Calibri" w:cs="Times New Roman"/>
        <w:color w:val="auto"/>
        <w:sz w:val="22"/>
        <w:szCs w:val="22"/>
      </w:rPr>
    </w:sdtEndPr>
    <w:sdtContent>
      <w:p w14:paraId="4DA43329" w14:textId="2C50DD5F" w:rsidR="00FC644F" w:rsidRPr="0083451C" w:rsidRDefault="00EA0570" w:rsidP="00FC644F">
        <w:pPr>
          <w:pStyle w:val="Footer"/>
          <w:jc w:val="right"/>
          <w:rPr>
            <w:rFonts w:ascii="Arial" w:hAnsi="Arial" w:cs="Arial"/>
            <w:noProof/>
            <w:color w:val="003870"/>
            <w:sz w:val="17"/>
            <w:szCs w:val="17"/>
          </w:rPr>
        </w:pPr>
        <w:r>
          <w:rPr>
            <w:rFonts w:ascii="Arial" w:hAnsi="Arial"/>
            <w:color w:val="003870"/>
            <w:sz w:val="17"/>
          </w:rPr>
          <w:br/>
        </w:r>
        <w:r w:rsidR="00766EFF" w:rsidRPr="0083451C">
          <w:rPr>
            <w:rFonts w:ascii="Arial" w:hAnsi="Arial" w:cs="Arial"/>
            <w:color w:val="003870"/>
            <w:sz w:val="17"/>
          </w:rPr>
          <w:fldChar w:fldCharType="begin"/>
        </w:r>
        <w:r w:rsidR="00FC644F" w:rsidRPr="0083451C">
          <w:rPr>
            <w:rFonts w:ascii="Arial" w:hAnsi="Arial" w:cs="Arial"/>
            <w:color w:val="003870"/>
            <w:sz w:val="17"/>
          </w:rPr>
          <w:instrText xml:space="preserve"> PAGE   \* MERGEFORMAT </w:instrText>
        </w:r>
        <w:r w:rsidR="00766EFF" w:rsidRPr="0083451C">
          <w:rPr>
            <w:rFonts w:ascii="Arial" w:hAnsi="Arial" w:cs="Arial"/>
            <w:color w:val="003870"/>
            <w:sz w:val="17"/>
          </w:rPr>
          <w:fldChar w:fldCharType="separate"/>
        </w:r>
        <w:r w:rsidR="005E7B02">
          <w:rPr>
            <w:rFonts w:ascii="Arial" w:hAnsi="Arial" w:cs="Arial"/>
            <w:noProof/>
            <w:color w:val="003870"/>
            <w:sz w:val="17"/>
          </w:rPr>
          <w:t>1</w:t>
        </w:r>
        <w:r w:rsidR="00766EFF" w:rsidRPr="0083451C">
          <w:rPr>
            <w:rFonts w:ascii="Arial" w:hAnsi="Arial" w:cs="Arial"/>
            <w:color w:val="003870"/>
            <w:sz w:val="17"/>
          </w:rPr>
          <w:fldChar w:fldCharType="end"/>
        </w:r>
      </w:p>
      <w:p w14:paraId="2F4B9937" w14:textId="77777777" w:rsidR="00FC644F" w:rsidRDefault="00CF66D7" w:rsidP="00FC644F">
        <w:pPr>
          <w:pStyle w:val="Footer"/>
          <w:jc w:val="right"/>
          <w:rPr>
            <w:noProof/>
          </w:rPr>
        </w:pPr>
      </w:p>
    </w:sdtContent>
  </w:sdt>
  <w:p w14:paraId="0241AD59" w14:textId="77777777" w:rsidR="00CE33CC" w:rsidRPr="00CE33CC" w:rsidRDefault="00CE33CC" w:rsidP="00931F30">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DD705" w14:textId="77777777" w:rsidR="00CF66D7" w:rsidRDefault="00CF66D7" w:rsidP="00CE33CC">
      <w:pPr>
        <w:spacing w:after="0" w:line="240" w:lineRule="auto"/>
      </w:pPr>
      <w:r>
        <w:separator/>
      </w:r>
    </w:p>
  </w:footnote>
  <w:footnote w:type="continuationSeparator" w:id="0">
    <w:p w14:paraId="16C8A5E6" w14:textId="77777777" w:rsidR="00CF66D7" w:rsidRDefault="00CF66D7" w:rsidP="00CE3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F2A38" w14:textId="5DCCC5B1" w:rsidR="00743564" w:rsidRDefault="00743564" w:rsidP="009B5FF0">
    <w:pPr>
      <w:pStyle w:val="Header"/>
      <w:jc w:val="center"/>
      <w:rPr>
        <w:noProof/>
        <w:lang w:eastAsia="en-GB"/>
      </w:rPr>
    </w:pPr>
  </w:p>
  <w:p w14:paraId="19935E65" w14:textId="77777777" w:rsidR="00667E55" w:rsidRDefault="00667E55" w:rsidP="00F87596">
    <w:pPr>
      <w:pStyle w:val="Header"/>
      <w:rPr>
        <w:noProof/>
        <w:lang w:eastAsia="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D372D" w14:textId="77777777" w:rsidR="00141AD3" w:rsidRDefault="00141AD3" w:rsidP="00FC644F">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61F1"/>
    <w:multiLevelType w:val="hybridMultilevel"/>
    <w:tmpl w:val="8A2070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22605"/>
    <w:multiLevelType w:val="hybridMultilevel"/>
    <w:tmpl w:val="9BEE8C90"/>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0F53029"/>
    <w:multiLevelType w:val="hybridMultilevel"/>
    <w:tmpl w:val="B9765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6175B"/>
    <w:multiLevelType w:val="multilevel"/>
    <w:tmpl w:val="8B1A0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991623"/>
    <w:multiLevelType w:val="hybridMultilevel"/>
    <w:tmpl w:val="021A051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5D11D9F"/>
    <w:multiLevelType w:val="hybridMultilevel"/>
    <w:tmpl w:val="83B67036"/>
    <w:lvl w:ilvl="0" w:tplc="579A23D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pStyle w:val="Bullet2"/>
      <w:lvlText w:val=""/>
      <w:lvlJc w:val="left"/>
      <w:pPr>
        <w:tabs>
          <w:tab w:val="num" w:pos="567"/>
        </w:tabs>
        <w:ind w:left="567" w:hanging="283"/>
      </w:pPr>
      <w:rPr>
        <w:rFonts w:ascii="Symbol" w:hAnsi="Symbol" w:cs="Times New Roman" w:hint="default"/>
        <w:color w:val="auto"/>
        <w:szCs w:val="24"/>
      </w:rPr>
    </w:lvl>
    <w:lvl w:ilvl="2">
      <w:start w:val="1"/>
      <w:numFmt w:val="bullet"/>
      <w:pStyle w:val="Bullet3"/>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31B07B3A"/>
    <w:multiLevelType w:val="hybridMultilevel"/>
    <w:tmpl w:val="4F586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2232E3"/>
    <w:multiLevelType w:val="hybridMultilevel"/>
    <w:tmpl w:val="B36A899A"/>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9D97EBC"/>
    <w:multiLevelType w:val="hybridMultilevel"/>
    <w:tmpl w:val="9D3E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F1405"/>
    <w:multiLevelType w:val="hybridMultilevel"/>
    <w:tmpl w:val="F7F03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4076BC"/>
    <w:multiLevelType w:val="hybridMultilevel"/>
    <w:tmpl w:val="E3CCCFEE"/>
    <w:lvl w:ilvl="0" w:tplc="29C23CA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8F3189"/>
    <w:multiLevelType w:val="hybridMultilevel"/>
    <w:tmpl w:val="BD2E1CC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8331B01"/>
    <w:multiLevelType w:val="hybridMultilevel"/>
    <w:tmpl w:val="314A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D5526E"/>
    <w:multiLevelType w:val="hybridMultilevel"/>
    <w:tmpl w:val="945E4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23556A"/>
    <w:multiLevelType w:val="hybridMultilevel"/>
    <w:tmpl w:val="25D85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6E1490"/>
    <w:multiLevelType w:val="hybridMultilevel"/>
    <w:tmpl w:val="AD2CE302"/>
    <w:lvl w:ilvl="0" w:tplc="5A48D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216F6D"/>
    <w:multiLevelType w:val="hybridMultilevel"/>
    <w:tmpl w:val="C952E0E2"/>
    <w:lvl w:ilvl="0" w:tplc="EC5ACA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045112"/>
    <w:multiLevelType w:val="hybridMultilevel"/>
    <w:tmpl w:val="F2BA7A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7F2032A2"/>
    <w:multiLevelType w:val="hybridMultilevel"/>
    <w:tmpl w:val="E056F65A"/>
    <w:lvl w:ilvl="0" w:tplc="8E12C91A">
      <w:start w:val="1"/>
      <w:numFmt w:val="decimal"/>
      <w:lvlText w:val="%1."/>
      <w:lvlJc w:val="center"/>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9"/>
  </w:num>
  <w:num w:numId="3">
    <w:abstractNumId w:val="9"/>
  </w:num>
  <w:num w:numId="4">
    <w:abstractNumId w:val="2"/>
  </w:num>
  <w:num w:numId="5">
    <w:abstractNumId w:val="5"/>
  </w:num>
  <w:num w:numId="6">
    <w:abstractNumId w:val="17"/>
  </w:num>
  <w:num w:numId="7">
    <w:abstractNumId w:val="14"/>
  </w:num>
  <w:num w:numId="8">
    <w:abstractNumId w:val="10"/>
  </w:num>
  <w:num w:numId="9">
    <w:abstractNumId w:val="0"/>
  </w:num>
  <w:num w:numId="10">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3"/>
  </w:num>
  <w:num w:numId="18">
    <w:abstractNumId w:val="15"/>
  </w:num>
  <w:num w:numId="19">
    <w:abstractNumId w:val="16"/>
  </w:num>
  <w:num w:numId="20">
    <w:abstractNumId w:val="11"/>
  </w:num>
  <w:num w:numId="21">
    <w:abstractNumId w:val="10"/>
  </w:num>
  <w:num w:numId="2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CC"/>
    <w:rsid w:val="00002E32"/>
    <w:rsid w:val="0000347E"/>
    <w:rsid w:val="00007990"/>
    <w:rsid w:val="00024F00"/>
    <w:rsid w:val="00026248"/>
    <w:rsid w:val="0002646B"/>
    <w:rsid w:val="00045F63"/>
    <w:rsid w:val="000525F5"/>
    <w:rsid w:val="000704EF"/>
    <w:rsid w:val="00072D3B"/>
    <w:rsid w:val="000757F4"/>
    <w:rsid w:val="000772F0"/>
    <w:rsid w:val="00077EBE"/>
    <w:rsid w:val="000A4E3E"/>
    <w:rsid w:val="000B021F"/>
    <w:rsid w:val="000D1DA8"/>
    <w:rsid w:val="000D68A9"/>
    <w:rsid w:val="000E16B9"/>
    <w:rsid w:val="000F1CBB"/>
    <w:rsid w:val="0012661D"/>
    <w:rsid w:val="001401F3"/>
    <w:rsid w:val="00141AD3"/>
    <w:rsid w:val="001542DE"/>
    <w:rsid w:val="00164336"/>
    <w:rsid w:val="0016703E"/>
    <w:rsid w:val="00170C0C"/>
    <w:rsid w:val="0018576E"/>
    <w:rsid w:val="00187EBD"/>
    <w:rsid w:val="001910F8"/>
    <w:rsid w:val="001913E5"/>
    <w:rsid w:val="0019538C"/>
    <w:rsid w:val="00197CB7"/>
    <w:rsid w:val="001A129D"/>
    <w:rsid w:val="001A1984"/>
    <w:rsid w:val="001B41CF"/>
    <w:rsid w:val="001C2CAF"/>
    <w:rsid w:val="001E21A8"/>
    <w:rsid w:val="001E4412"/>
    <w:rsid w:val="001E7213"/>
    <w:rsid w:val="001F18C8"/>
    <w:rsid w:val="001F405F"/>
    <w:rsid w:val="001F66ED"/>
    <w:rsid w:val="002146EA"/>
    <w:rsid w:val="00216A63"/>
    <w:rsid w:val="00230229"/>
    <w:rsid w:val="00232D59"/>
    <w:rsid w:val="00252717"/>
    <w:rsid w:val="00252A19"/>
    <w:rsid w:val="00254927"/>
    <w:rsid w:val="00255D1A"/>
    <w:rsid w:val="00262929"/>
    <w:rsid w:val="0026664D"/>
    <w:rsid w:val="00267781"/>
    <w:rsid w:val="00272021"/>
    <w:rsid w:val="002729A3"/>
    <w:rsid w:val="00275286"/>
    <w:rsid w:val="0027612F"/>
    <w:rsid w:val="00286652"/>
    <w:rsid w:val="002A2F50"/>
    <w:rsid w:val="002B15FF"/>
    <w:rsid w:val="002C4558"/>
    <w:rsid w:val="002C4575"/>
    <w:rsid w:val="002D29A8"/>
    <w:rsid w:val="002E173C"/>
    <w:rsid w:val="002F395B"/>
    <w:rsid w:val="003040D6"/>
    <w:rsid w:val="00305FA9"/>
    <w:rsid w:val="00312F2B"/>
    <w:rsid w:val="00313AB5"/>
    <w:rsid w:val="00320721"/>
    <w:rsid w:val="00321366"/>
    <w:rsid w:val="00321DFE"/>
    <w:rsid w:val="003234A2"/>
    <w:rsid w:val="003332E9"/>
    <w:rsid w:val="00334098"/>
    <w:rsid w:val="003345D0"/>
    <w:rsid w:val="00334D1A"/>
    <w:rsid w:val="00340FD2"/>
    <w:rsid w:val="00346C75"/>
    <w:rsid w:val="003540DB"/>
    <w:rsid w:val="00362F25"/>
    <w:rsid w:val="003717A2"/>
    <w:rsid w:val="003800E5"/>
    <w:rsid w:val="00393D13"/>
    <w:rsid w:val="00397383"/>
    <w:rsid w:val="003B2BCA"/>
    <w:rsid w:val="003B5729"/>
    <w:rsid w:val="003D3939"/>
    <w:rsid w:val="003D5EA8"/>
    <w:rsid w:val="003E5133"/>
    <w:rsid w:val="003F72F1"/>
    <w:rsid w:val="003F7620"/>
    <w:rsid w:val="00404FB0"/>
    <w:rsid w:val="00406B9C"/>
    <w:rsid w:val="00415FC4"/>
    <w:rsid w:val="00427491"/>
    <w:rsid w:val="00427C6D"/>
    <w:rsid w:val="0043684E"/>
    <w:rsid w:val="00440157"/>
    <w:rsid w:val="004436D3"/>
    <w:rsid w:val="00460312"/>
    <w:rsid w:val="00461529"/>
    <w:rsid w:val="00465050"/>
    <w:rsid w:val="00470EC3"/>
    <w:rsid w:val="004968F3"/>
    <w:rsid w:val="004969CD"/>
    <w:rsid w:val="004974EC"/>
    <w:rsid w:val="004B21C7"/>
    <w:rsid w:val="004B3BC0"/>
    <w:rsid w:val="004F2FA0"/>
    <w:rsid w:val="00501A11"/>
    <w:rsid w:val="005148BB"/>
    <w:rsid w:val="005149F7"/>
    <w:rsid w:val="00515F08"/>
    <w:rsid w:val="005221BC"/>
    <w:rsid w:val="00530277"/>
    <w:rsid w:val="005336C1"/>
    <w:rsid w:val="005421C3"/>
    <w:rsid w:val="00542768"/>
    <w:rsid w:val="00543B35"/>
    <w:rsid w:val="00550501"/>
    <w:rsid w:val="005531AD"/>
    <w:rsid w:val="005906D3"/>
    <w:rsid w:val="0059785E"/>
    <w:rsid w:val="005A38A0"/>
    <w:rsid w:val="005A3F39"/>
    <w:rsid w:val="005B145C"/>
    <w:rsid w:val="005B2834"/>
    <w:rsid w:val="005D1B97"/>
    <w:rsid w:val="005D6532"/>
    <w:rsid w:val="005E7B02"/>
    <w:rsid w:val="005F496F"/>
    <w:rsid w:val="005F7AA0"/>
    <w:rsid w:val="00602E39"/>
    <w:rsid w:val="00604089"/>
    <w:rsid w:val="00604247"/>
    <w:rsid w:val="006149B7"/>
    <w:rsid w:val="00614FEF"/>
    <w:rsid w:val="0062444C"/>
    <w:rsid w:val="00631B88"/>
    <w:rsid w:val="006338CB"/>
    <w:rsid w:val="006419D2"/>
    <w:rsid w:val="00641CE4"/>
    <w:rsid w:val="0065147C"/>
    <w:rsid w:val="00666B30"/>
    <w:rsid w:val="00667E55"/>
    <w:rsid w:val="00685929"/>
    <w:rsid w:val="006D222A"/>
    <w:rsid w:val="006D2384"/>
    <w:rsid w:val="006D5800"/>
    <w:rsid w:val="006E23C6"/>
    <w:rsid w:val="006E31AC"/>
    <w:rsid w:val="006E585A"/>
    <w:rsid w:val="006F1611"/>
    <w:rsid w:val="006F471F"/>
    <w:rsid w:val="0070491D"/>
    <w:rsid w:val="007054F7"/>
    <w:rsid w:val="007112D4"/>
    <w:rsid w:val="00712D73"/>
    <w:rsid w:val="00721D19"/>
    <w:rsid w:val="00721F9F"/>
    <w:rsid w:val="00732239"/>
    <w:rsid w:val="0073320A"/>
    <w:rsid w:val="007340E6"/>
    <w:rsid w:val="00735156"/>
    <w:rsid w:val="0074067A"/>
    <w:rsid w:val="00742887"/>
    <w:rsid w:val="00743564"/>
    <w:rsid w:val="0074694B"/>
    <w:rsid w:val="007516A6"/>
    <w:rsid w:val="00757994"/>
    <w:rsid w:val="007615F1"/>
    <w:rsid w:val="007628EF"/>
    <w:rsid w:val="00766EFF"/>
    <w:rsid w:val="00770D7A"/>
    <w:rsid w:val="00770F2D"/>
    <w:rsid w:val="0077188D"/>
    <w:rsid w:val="00773D1D"/>
    <w:rsid w:val="00775C29"/>
    <w:rsid w:val="00775DB1"/>
    <w:rsid w:val="00780E16"/>
    <w:rsid w:val="0079176B"/>
    <w:rsid w:val="007A679C"/>
    <w:rsid w:val="007B0787"/>
    <w:rsid w:val="007C19A0"/>
    <w:rsid w:val="007E2343"/>
    <w:rsid w:val="008015C2"/>
    <w:rsid w:val="00806E9A"/>
    <w:rsid w:val="00824F89"/>
    <w:rsid w:val="00832D07"/>
    <w:rsid w:val="0083451C"/>
    <w:rsid w:val="00863719"/>
    <w:rsid w:val="00886B8D"/>
    <w:rsid w:val="00891052"/>
    <w:rsid w:val="00892750"/>
    <w:rsid w:val="00893DEE"/>
    <w:rsid w:val="00894A10"/>
    <w:rsid w:val="00895BC5"/>
    <w:rsid w:val="008C49D1"/>
    <w:rsid w:val="008C5DAC"/>
    <w:rsid w:val="008C79BD"/>
    <w:rsid w:val="008C7C9A"/>
    <w:rsid w:val="008D3560"/>
    <w:rsid w:val="008E21D7"/>
    <w:rsid w:val="008F370E"/>
    <w:rsid w:val="008F59D1"/>
    <w:rsid w:val="009035F0"/>
    <w:rsid w:val="0091306D"/>
    <w:rsid w:val="00917E54"/>
    <w:rsid w:val="00921990"/>
    <w:rsid w:val="00922308"/>
    <w:rsid w:val="0092632B"/>
    <w:rsid w:val="00931F30"/>
    <w:rsid w:val="0095455F"/>
    <w:rsid w:val="00970066"/>
    <w:rsid w:val="0098031C"/>
    <w:rsid w:val="00995582"/>
    <w:rsid w:val="009A0C14"/>
    <w:rsid w:val="009B5FF0"/>
    <w:rsid w:val="009C541E"/>
    <w:rsid w:val="009E2624"/>
    <w:rsid w:val="00A03573"/>
    <w:rsid w:val="00A03D2F"/>
    <w:rsid w:val="00A05E36"/>
    <w:rsid w:val="00A43076"/>
    <w:rsid w:val="00A44AC8"/>
    <w:rsid w:val="00A50015"/>
    <w:rsid w:val="00A603CF"/>
    <w:rsid w:val="00A62A5E"/>
    <w:rsid w:val="00A67A70"/>
    <w:rsid w:val="00A7304A"/>
    <w:rsid w:val="00A746C9"/>
    <w:rsid w:val="00A77BA8"/>
    <w:rsid w:val="00A8031B"/>
    <w:rsid w:val="00A8114B"/>
    <w:rsid w:val="00A86B40"/>
    <w:rsid w:val="00A931A6"/>
    <w:rsid w:val="00A94EC3"/>
    <w:rsid w:val="00A95CF8"/>
    <w:rsid w:val="00A96713"/>
    <w:rsid w:val="00A96A22"/>
    <w:rsid w:val="00AD0409"/>
    <w:rsid w:val="00AE0D8D"/>
    <w:rsid w:val="00AE1E85"/>
    <w:rsid w:val="00B05E49"/>
    <w:rsid w:val="00B24345"/>
    <w:rsid w:val="00B30CAF"/>
    <w:rsid w:val="00B32D17"/>
    <w:rsid w:val="00B37BBF"/>
    <w:rsid w:val="00B55BCF"/>
    <w:rsid w:val="00B7041B"/>
    <w:rsid w:val="00B82EF8"/>
    <w:rsid w:val="00B841ED"/>
    <w:rsid w:val="00B9360E"/>
    <w:rsid w:val="00B944D4"/>
    <w:rsid w:val="00BA1CB5"/>
    <w:rsid w:val="00BA50FA"/>
    <w:rsid w:val="00BA5857"/>
    <w:rsid w:val="00BB0E06"/>
    <w:rsid w:val="00BC158F"/>
    <w:rsid w:val="00BD20EE"/>
    <w:rsid w:val="00BD2A57"/>
    <w:rsid w:val="00BD3A3E"/>
    <w:rsid w:val="00BD6023"/>
    <w:rsid w:val="00BE11CE"/>
    <w:rsid w:val="00BE2A05"/>
    <w:rsid w:val="00BE75F9"/>
    <w:rsid w:val="00C264B7"/>
    <w:rsid w:val="00C30A2A"/>
    <w:rsid w:val="00C37FCD"/>
    <w:rsid w:val="00C45D34"/>
    <w:rsid w:val="00C51EFA"/>
    <w:rsid w:val="00C621E6"/>
    <w:rsid w:val="00C64DD6"/>
    <w:rsid w:val="00C67527"/>
    <w:rsid w:val="00C70D30"/>
    <w:rsid w:val="00C714CE"/>
    <w:rsid w:val="00CA77CF"/>
    <w:rsid w:val="00CC0407"/>
    <w:rsid w:val="00CD3BA4"/>
    <w:rsid w:val="00CE33CC"/>
    <w:rsid w:val="00CE6131"/>
    <w:rsid w:val="00CE64A2"/>
    <w:rsid w:val="00CF1732"/>
    <w:rsid w:val="00CF66D7"/>
    <w:rsid w:val="00CF7AE6"/>
    <w:rsid w:val="00D00B16"/>
    <w:rsid w:val="00D02A43"/>
    <w:rsid w:val="00D11779"/>
    <w:rsid w:val="00D30FE0"/>
    <w:rsid w:val="00D427A9"/>
    <w:rsid w:val="00D61F1E"/>
    <w:rsid w:val="00D81321"/>
    <w:rsid w:val="00DA0925"/>
    <w:rsid w:val="00DA5F0A"/>
    <w:rsid w:val="00DA73EE"/>
    <w:rsid w:val="00DB4132"/>
    <w:rsid w:val="00DB49E7"/>
    <w:rsid w:val="00DB5E86"/>
    <w:rsid w:val="00DD3C66"/>
    <w:rsid w:val="00DD7030"/>
    <w:rsid w:val="00DD7856"/>
    <w:rsid w:val="00DE330A"/>
    <w:rsid w:val="00DF6060"/>
    <w:rsid w:val="00E0470F"/>
    <w:rsid w:val="00E05F2D"/>
    <w:rsid w:val="00E1318A"/>
    <w:rsid w:val="00E220AF"/>
    <w:rsid w:val="00E23A03"/>
    <w:rsid w:val="00E272A8"/>
    <w:rsid w:val="00E35384"/>
    <w:rsid w:val="00E417C4"/>
    <w:rsid w:val="00E54449"/>
    <w:rsid w:val="00E548AE"/>
    <w:rsid w:val="00E553BB"/>
    <w:rsid w:val="00E60AA4"/>
    <w:rsid w:val="00E747B6"/>
    <w:rsid w:val="00E755DC"/>
    <w:rsid w:val="00E852D2"/>
    <w:rsid w:val="00E93354"/>
    <w:rsid w:val="00E93910"/>
    <w:rsid w:val="00E96673"/>
    <w:rsid w:val="00EA0570"/>
    <w:rsid w:val="00EA63DC"/>
    <w:rsid w:val="00EB222A"/>
    <w:rsid w:val="00EC05EA"/>
    <w:rsid w:val="00ED4AEF"/>
    <w:rsid w:val="00EE09C9"/>
    <w:rsid w:val="00EE0F41"/>
    <w:rsid w:val="00EE6582"/>
    <w:rsid w:val="00EF4549"/>
    <w:rsid w:val="00EF48D7"/>
    <w:rsid w:val="00EF7F46"/>
    <w:rsid w:val="00F02D24"/>
    <w:rsid w:val="00F07384"/>
    <w:rsid w:val="00F130E3"/>
    <w:rsid w:val="00F17A7B"/>
    <w:rsid w:val="00F22C89"/>
    <w:rsid w:val="00F24721"/>
    <w:rsid w:val="00F32945"/>
    <w:rsid w:val="00F363FE"/>
    <w:rsid w:val="00F6479A"/>
    <w:rsid w:val="00F666E9"/>
    <w:rsid w:val="00F666F3"/>
    <w:rsid w:val="00F87596"/>
    <w:rsid w:val="00F90065"/>
    <w:rsid w:val="00FA1119"/>
    <w:rsid w:val="00FA5C50"/>
    <w:rsid w:val="00FC2FCC"/>
    <w:rsid w:val="00FC5BA6"/>
    <w:rsid w:val="00FC644F"/>
    <w:rsid w:val="00FD0196"/>
    <w:rsid w:val="00FD4579"/>
    <w:rsid w:val="00FE527C"/>
    <w:rsid w:val="00FE6B03"/>
    <w:rsid w:val="00FF00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BF79F"/>
  <w15:docId w15:val="{035BFE65-8BD9-44B6-AF45-83BE238C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q-AL"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3CC"/>
    <w:pPr>
      <w:spacing w:after="200" w:line="276" w:lineRule="auto"/>
    </w:pPr>
    <w:rPr>
      <w:sz w:val="22"/>
      <w:szCs w:val="22"/>
      <w:lang w:eastAsia="en-US"/>
    </w:rPr>
  </w:style>
  <w:style w:type="paragraph" w:styleId="Heading1">
    <w:name w:val="heading 1"/>
    <w:aliases w:val="~SectionHeading"/>
    <w:basedOn w:val="Normal"/>
    <w:next w:val="Normal"/>
    <w:link w:val="Heading1Char"/>
    <w:uiPriority w:val="9"/>
    <w:qFormat/>
    <w:rsid w:val="00CE33CC"/>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CE33CC"/>
    <w:pPr>
      <w:keepNext/>
      <w:keepLines/>
      <w:spacing w:before="200" w:after="0"/>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CE33CC"/>
    <w:pPr>
      <w:keepNext/>
      <w:keepLines/>
      <w:spacing w:before="200" w:after="0"/>
      <w:outlineLvl w:val="2"/>
    </w:pPr>
    <w:rPr>
      <w:rFonts w:ascii="Calibri Light" w:hAnsi="Calibri Light"/>
      <w:b/>
      <w:bCs/>
      <w:color w:val="5B9BD5"/>
      <w:sz w:val="20"/>
      <w:szCs w:val="20"/>
    </w:rPr>
  </w:style>
  <w:style w:type="paragraph" w:styleId="Heading4">
    <w:name w:val="heading 4"/>
    <w:basedOn w:val="Normal"/>
    <w:next w:val="Normal"/>
    <w:link w:val="Heading4Char"/>
    <w:uiPriority w:val="9"/>
    <w:semiHidden/>
    <w:unhideWhenUsed/>
    <w:qFormat/>
    <w:rsid w:val="00CE33CC"/>
    <w:pPr>
      <w:keepNext/>
      <w:keepLines/>
      <w:spacing w:before="200" w:after="0"/>
      <w:outlineLvl w:val="3"/>
    </w:pPr>
    <w:rPr>
      <w:rFonts w:ascii="Calibri Light" w:hAnsi="Calibri Light"/>
      <w:b/>
      <w:bCs/>
      <w:i/>
      <w:iCs/>
      <w:color w:val="5B9BD5"/>
      <w:sz w:val="20"/>
      <w:szCs w:val="20"/>
    </w:rPr>
  </w:style>
  <w:style w:type="paragraph" w:styleId="Heading5">
    <w:name w:val="heading 5"/>
    <w:basedOn w:val="Normal"/>
    <w:next w:val="Normal"/>
    <w:link w:val="Heading5Char"/>
    <w:uiPriority w:val="9"/>
    <w:semiHidden/>
    <w:unhideWhenUsed/>
    <w:qFormat/>
    <w:rsid w:val="00CE33CC"/>
    <w:pPr>
      <w:keepNext/>
      <w:keepLines/>
      <w:spacing w:before="200" w:after="0"/>
      <w:outlineLvl w:val="4"/>
    </w:pPr>
    <w:rPr>
      <w:rFonts w:ascii="Calibri Light" w:hAnsi="Calibri Light"/>
      <w:color w:val="1F4D78"/>
      <w:sz w:val="20"/>
      <w:szCs w:val="20"/>
    </w:rPr>
  </w:style>
  <w:style w:type="paragraph" w:styleId="Heading6">
    <w:name w:val="heading 6"/>
    <w:basedOn w:val="Normal"/>
    <w:next w:val="Normal"/>
    <w:link w:val="Heading6Char"/>
    <w:uiPriority w:val="9"/>
    <w:semiHidden/>
    <w:unhideWhenUsed/>
    <w:qFormat/>
    <w:rsid w:val="00CE33CC"/>
    <w:pPr>
      <w:keepNext/>
      <w:keepLines/>
      <w:spacing w:before="200" w:after="0"/>
      <w:outlineLvl w:val="5"/>
    </w:pPr>
    <w:rPr>
      <w:rFonts w:ascii="Calibri Light" w:hAnsi="Calibri Light"/>
      <w:i/>
      <w:iCs/>
      <w:color w:val="1F4D78"/>
      <w:sz w:val="20"/>
      <w:szCs w:val="20"/>
    </w:rPr>
  </w:style>
  <w:style w:type="paragraph" w:styleId="Heading7">
    <w:name w:val="heading 7"/>
    <w:basedOn w:val="Normal"/>
    <w:next w:val="Normal"/>
    <w:link w:val="Heading7Char"/>
    <w:uiPriority w:val="9"/>
    <w:semiHidden/>
    <w:unhideWhenUsed/>
    <w:qFormat/>
    <w:rsid w:val="00CE33CC"/>
    <w:pPr>
      <w:keepNext/>
      <w:keepLines/>
      <w:spacing w:before="200" w:after="0"/>
      <w:outlineLvl w:val="6"/>
    </w:pPr>
    <w:rPr>
      <w:rFonts w:ascii="Calibri Light" w:hAnsi="Calibri Light"/>
      <w:i/>
      <w:iCs/>
      <w:color w:val="404040"/>
      <w:sz w:val="20"/>
      <w:szCs w:val="20"/>
    </w:rPr>
  </w:style>
  <w:style w:type="paragraph" w:styleId="Heading8">
    <w:name w:val="heading 8"/>
    <w:basedOn w:val="Normal"/>
    <w:next w:val="Normal"/>
    <w:link w:val="Heading8Char"/>
    <w:uiPriority w:val="9"/>
    <w:semiHidden/>
    <w:unhideWhenUsed/>
    <w:qFormat/>
    <w:rsid w:val="00CE33CC"/>
    <w:pPr>
      <w:keepNext/>
      <w:keepLines/>
      <w:spacing w:before="200" w:after="0"/>
      <w:outlineLvl w:val="7"/>
    </w:pPr>
    <w:rPr>
      <w:rFonts w:ascii="Calibri Light" w:hAnsi="Calibri Light"/>
      <w:color w:val="5B9BD5"/>
      <w:sz w:val="20"/>
      <w:szCs w:val="20"/>
    </w:rPr>
  </w:style>
  <w:style w:type="paragraph" w:styleId="Heading9">
    <w:name w:val="heading 9"/>
    <w:basedOn w:val="Normal"/>
    <w:next w:val="Normal"/>
    <w:link w:val="Heading9Char"/>
    <w:uiPriority w:val="9"/>
    <w:semiHidden/>
    <w:unhideWhenUsed/>
    <w:qFormat/>
    <w:rsid w:val="00CE33CC"/>
    <w:pPr>
      <w:keepNext/>
      <w:keepLines/>
      <w:spacing w:before="200" w:after="0"/>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uiPriority w:val="9"/>
    <w:rsid w:val="00CE33CC"/>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CE33CC"/>
    <w:rPr>
      <w:rFonts w:ascii="Calibri Light" w:eastAsia="Times New Roman" w:hAnsi="Calibri Light" w:cs="Times New Roman"/>
      <w:b/>
      <w:bCs/>
      <w:color w:val="5B9BD5"/>
      <w:sz w:val="26"/>
      <w:szCs w:val="26"/>
    </w:rPr>
  </w:style>
  <w:style w:type="character" w:customStyle="1" w:styleId="Heading3Char">
    <w:name w:val="Heading 3 Char"/>
    <w:link w:val="Heading3"/>
    <w:uiPriority w:val="9"/>
    <w:rsid w:val="00CE33CC"/>
    <w:rPr>
      <w:rFonts w:ascii="Calibri Light" w:eastAsia="Times New Roman" w:hAnsi="Calibri Light" w:cs="Times New Roman"/>
      <w:b/>
      <w:bCs/>
      <w:color w:val="5B9BD5"/>
    </w:rPr>
  </w:style>
  <w:style w:type="character" w:customStyle="1" w:styleId="Heading4Char">
    <w:name w:val="Heading 4 Char"/>
    <w:link w:val="Heading4"/>
    <w:uiPriority w:val="9"/>
    <w:semiHidden/>
    <w:rsid w:val="00CE33CC"/>
    <w:rPr>
      <w:rFonts w:ascii="Calibri Light" w:eastAsia="Times New Roman" w:hAnsi="Calibri Light" w:cs="Times New Roman"/>
      <w:b/>
      <w:bCs/>
      <w:i/>
      <w:iCs/>
      <w:color w:val="5B9BD5"/>
    </w:rPr>
  </w:style>
  <w:style w:type="character" w:customStyle="1" w:styleId="Heading5Char">
    <w:name w:val="Heading 5 Char"/>
    <w:link w:val="Heading5"/>
    <w:uiPriority w:val="9"/>
    <w:semiHidden/>
    <w:rsid w:val="00CE33CC"/>
    <w:rPr>
      <w:rFonts w:ascii="Calibri Light" w:eastAsia="Times New Roman" w:hAnsi="Calibri Light" w:cs="Times New Roman"/>
      <w:color w:val="1F4D78"/>
    </w:rPr>
  </w:style>
  <w:style w:type="character" w:customStyle="1" w:styleId="Heading6Char">
    <w:name w:val="Heading 6 Char"/>
    <w:link w:val="Heading6"/>
    <w:uiPriority w:val="9"/>
    <w:semiHidden/>
    <w:rsid w:val="00CE33CC"/>
    <w:rPr>
      <w:rFonts w:ascii="Calibri Light" w:eastAsia="Times New Roman" w:hAnsi="Calibri Light" w:cs="Times New Roman"/>
      <w:i/>
      <w:iCs/>
      <w:color w:val="1F4D78"/>
    </w:rPr>
  </w:style>
  <w:style w:type="character" w:customStyle="1" w:styleId="Heading7Char">
    <w:name w:val="Heading 7 Char"/>
    <w:link w:val="Heading7"/>
    <w:uiPriority w:val="9"/>
    <w:semiHidden/>
    <w:rsid w:val="00CE33CC"/>
    <w:rPr>
      <w:rFonts w:ascii="Calibri Light" w:eastAsia="Times New Roman" w:hAnsi="Calibri Light" w:cs="Times New Roman"/>
      <w:i/>
      <w:iCs/>
      <w:color w:val="404040"/>
    </w:rPr>
  </w:style>
  <w:style w:type="character" w:customStyle="1" w:styleId="Heading8Char">
    <w:name w:val="Heading 8 Char"/>
    <w:link w:val="Heading8"/>
    <w:uiPriority w:val="9"/>
    <w:semiHidden/>
    <w:rsid w:val="00CE33CC"/>
    <w:rPr>
      <w:rFonts w:ascii="Calibri Light" w:eastAsia="Times New Roman" w:hAnsi="Calibri Light" w:cs="Times New Roman"/>
      <w:color w:val="5B9BD5"/>
      <w:sz w:val="20"/>
      <w:szCs w:val="20"/>
    </w:rPr>
  </w:style>
  <w:style w:type="character" w:customStyle="1" w:styleId="Heading9Char">
    <w:name w:val="Heading 9 Char"/>
    <w:link w:val="Heading9"/>
    <w:uiPriority w:val="9"/>
    <w:semiHidden/>
    <w:rsid w:val="00CE33CC"/>
    <w:rPr>
      <w:rFonts w:ascii="Calibri Light" w:eastAsia="Times New Roman" w:hAnsi="Calibri Light" w:cs="Times New Roman"/>
      <w:i/>
      <w:iCs/>
      <w:color w:val="404040"/>
      <w:sz w:val="20"/>
      <w:szCs w:val="20"/>
    </w:rPr>
  </w:style>
  <w:style w:type="paragraph" w:styleId="Caption">
    <w:name w:val="caption"/>
    <w:aliases w:val="~Caption"/>
    <w:basedOn w:val="Normal"/>
    <w:next w:val="Normal"/>
    <w:link w:val="CaptionChar"/>
    <w:unhideWhenUsed/>
    <w:qFormat/>
    <w:rsid w:val="00CE33CC"/>
    <w:pPr>
      <w:spacing w:line="240" w:lineRule="auto"/>
    </w:pPr>
    <w:rPr>
      <w:b/>
      <w:bCs/>
      <w:color w:val="5B9BD5"/>
      <w:sz w:val="18"/>
      <w:szCs w:val="18"/>
    </w:rPr>
  </w:style>
  <w:style w:type="paragraph" w:styleId="Title">
    <w:name w:val="Title"/>
    <w:basedOn w:val="Normal"/>
    <w:next w:val="Normal"/>
    <w:link w:val="TitleChar"/>
    <w:uiPriority w:val="10"/>
    <w:qFormat/>
    <w:rsid w:val="00CE33CC"/>
    <w:pPr>
      <w:pBdr>
        <w:bottom w:val="single" w:sz="8" w:space="4" w:color="5B9BD5"/>
      </w:pBdr>
      <w:spacing w:after="300" w:line="240" w:lineRule="auto"/>
      <w:contextualSpacing/>
    </w:pPr>
    <w:rPr>
      <w:rFonts w:ascii="Calibri Light" w:hAnsi="Calibri Light"/>
      <w:color w:val="323E4F"/>
      <w:spacing w:val="5"/>
      <w:sz w:val="52"/>
      <w:szCs w:val="52"/>
    </w:rPr>
  </w:style>
  <w:style w:type="character" w:customStyle="1" w:styleId="TitleChar">
    <w:name w:val="Title Char"/>
    <w:link w:val="Title"/>
    <w:uiPriority w:val="10"/>
    <w:rsid w:val="00CE33CC"/>
    <w:rPr>
      <w:rFonts w:ascii="Calibri Light" w:eastAsia="Times New Roman" w:hAnsi="Calibri Light" w:cs="Times New Roman"/>
      <w:color w:val="323E4F"/>
      <w:spacing w:val="5"/>
      <w:sz w:val="52"/>
      <w:szCs w:val="52"/>
    </w:rPr>
  </w:style>
  <w:style w:type="paragraph" w:styleId="Subtitle">
    <w:name w:val="Subtitle"/>
    <w:basedOn w:val="Normal"/>
    <w:next w:val="Normal"/>
    <w:link w:val="SubtitleChar"/>
    <w:uiPriority w:val="11"/>
    <w:qFormat/>
    <w:rsid w:val="00CE33CC"/>
    <w:pPr>
      <w:numPr>
        <w:ilvl w:val="1"/>
      </w:numPr>
    </w:pPr>
    <w:rPr>
      <w:rFonts w:ascii="Calibri Light" w:hAnsi="Calibri Light"/>
      <w:i/>
      <w:iCs/>
      <w:color w:val="5B9BD5"/>
      <w:spacing w:val="15"/>
      <w:sz w:val="24"/>
      <w:szCs w:val="24"/>
    </w:rPr>
  </w:style>
  <w:style w:type="character" w:customStyle="1" w:styleId="SubtitleChar">
    <w:name w:val="Subtitle Char"/>
    <w:link w:val="Subtitle"/>
    <w:uiPriority w:val="11"/>
    <w:rsid w:val="00CE33CC"/>
    <w:rPr>
      <w:rFonts w:ascii="Calibri Light" w:eastAsia="Times New Roman" w:hAnsi="Calibri Light" w:cs="Times New Roman"/>
      <w:i/>
      <w:iCs/>
      <w:color w:val="5B9BD5"/>
      <w:spacing w:val="15"/>
      <w:sz w:val="24"/>
      <w:szCs w:val="24"/>
    </w:rPr>
  </w:style>
  <w:style w:type="character" w:styleId="Strong">
    <w:name w:val="Strong"/>
    <w:uiPriority w:val="22"/>
    <w:qFormat/>
    <w:rsid w:val="00CE33CC"/>
    <w:rPr>
      <w:b/>
      <w:bCs/>
    </w:rPr>
  </w:style>
  <w:style w:type="character" w:styleId="Emphasis">
    <w:name w:val="Emphasis"/>
    <w:uiPriority w:val="20"/>
    <w:qFormat/>
    <w:rsid w:val="00CE33CC"/>
    <w:rPr>
      <w:i/>
      <w:iCs/>
    </w:rPr>
  </w:style>
  <w:style w:type="paragraph" w:styleId="NoSpacing">
    <w:name w:val="No Spacing"/>
    <w:uiPriority w:val="1"/>
    <w:qFormat/>
    <w:rsid w:val="00CE33CC"/>
    <w:rPr>
      <w:sz w:val="22"/>
      <w:szCs w:val="22"/>
      <w:lang w:eastAsia="en-US"/>
    </w:rPr>
  </w:style>
  <w:style w:type="paragraph" w:styleId="Quote">
    <w:name w:val="Quote"/>
    <w:basedOn w:val="Normal"/>
    <w:next w:val="Normal"/>
    <w:link w:val="QuoteChar"/>
    <w:uiPriority w:val="29"/>
    <w:qFormat/>
    <w:rsid w:val="00CE33CC"/>
    <w:rPr>
      <w:i/>
      <w:iCs/>
      <w:color w:val="000000"/>
      <w:sz w:val="20"/>
      <w:szCs w:val="20"/>
    </w:rPr>
  </w:style>
  <w:style w:type="character" w:customStyle="1" w:styleId="QuoteChar">
    <w:name w:val="Quote Char"/>
    <w:link w:val="Quote"/>
    <w:uiPriority w:val="29"/>
    <w:rsid w:val="00CE33CC"/>
    <w:rPr>
      <w:i/>
      <w:iCs/>
      <w:color w:val="000000"/>
    </w:rPr>
  </w:style>
  <w:style w:type="paragraph" w:styleId="IntenseQuote">
    <w:name w:val="Intense Quote"/>
    <w:basedOn w:val="Normal"/>
    <w:next w:val="Normal"/>
    <w:link w:val="IntenseQuoteChar"/>
    <w:uiPriority w:val="30"/>
    <w:qFormat/>
    <w:rsid w:val="00CE33CC"/>
    <w:pPr>
      <w:pBdr>
        <w:bottom w:val="single" w:sz="4" w:space="4" w:color="5B9BD5"/>
      </w:pBdr>
      <w:spacing w:before="200" w:after="280"/>
      <w:ind w:left="936" w:right="936"/>
    </w:pPr>
    <w:rPr>
      <w:b/>
      <w:bCs/>
      <w:i/>
      <w:iCs/>
      <w:color w:val="5B9BD5"/>
      <w:sz w:val="20"/>
      <w:szCs w:val="20"/>
    </w:rPr>
  </w:style>
  <w:style w:type="character" w:customStyle="1" w:styleId="IntenseQuoteChar">
    <w:name w:val="Intense Quote Char"/>
    <w:link w:val="IntenseQuote"/>
    <w:uiPriority w:val="30"/>
    <w:rsid w:val="00CE33CC"/>
    <w:rPr>
      <w:b/>
      <w:bCs/>
      <w:i/>
      <w:iCs/>
      <w:color w:val="5B9BD5"/>
    </w:rPr>
  </w:style>
  <w:style w:type="character" w:styleId="SubtleEmphasis">
    <w:name w:val="Subtle Emphasis"/>
    <w:uiPriority w:val="19"/>
    <w:qFormat/>
    <w:rsid w:val="00CE33CC"/>
    <w:rPr>
      <w:i/>
      <w:iCs/>
      <w:color w:val="808080"/>
    </w:rPr>
  </w:style>
  <w:style w:type="character" w:styleId="IntenseEmphasis">
    <w:name w:val="Intense Emphasis"/>
    <w:uiPriority w:val="21"/>
    <w:qFormat/>
    <w:rsid w:val="00CE33CC"/>
    <w:rPr>
      <w:b/>
      <w:bCs/>
      <w:i/>
      <w:iCs/>
      <w:color w:val="5B9BD5"/>
    </w:rPr>
  </w:style>
  <w:style w:type="character" w:styleId="SubtleReference">
    <w:name w:val="Subtle Reference"/>
    <w:uiPriority w:val="31"/>
    <w:qFormat/>
    <w:rsid w:val="00CE33CC"/>
    <w:rPr>
      <w:smallCaps/>
      <w:color w:val="ED7D31"/>
      <w:u w:val="single"/>
    </w:rPr>
  </w:style>
  <w:style w:type="character" w:styleId="IntenseReference">
    <w:name w:val="Intense Reference"/>
    <w:uiPriority w:val="32"/>
    <w:qFormat/>
    <w:rsid w:val="00CE33CC"/>
    <w:rPr>
      <w:b/>
      <w:bCs/>
      <w:smallCaps/>
      <w:color w:val="ED7D31"/>
      <w:spacing w:val="5"/>
      <w:u w:val="single"/>
    </w:rPr>
  </w:style>
  <w:style w:type="character" w:styleId="BookTitle">
    <w:name w:val="Book Title"/>
    <w:uiPriority w:val="33"/>
    <w:qFormat/>
    <w:rsid w:val="00CE33CC"/>
    <w:rPr>
      <w:b/>
      <w:bCs/>
      <w:smallCaps/>
      <w:spacing w:val="5"/>
    </w:rPr>
  </w:style>
  <w:style w:type="paragraph" w:styleId="TOCHeading">
    <w:name w:val="TOC Heading"/>
    <w:basedOn w:val="Heading1"/>
    <w:next w:val="Normal"/>
    <w:uiPriority w:val="39"/>
    <w:semiHidden/>
    <w:unhideWhenUsed/>
    <w:qFormat/>
    <w:rsid w:val="00CE33CC"/>
    <w:pPr>
      <w:outlineLvl w:val="9"/>
    </w:pPr>
  </w:style>
  <w:style w:type="paragraph" w:styleId="Header">
    <w:name w:val="header"/>
    <w:basedOn w:val="Normal"/>
    <w:link w:val="HeaderChar"/>
    <w:uiPriority w:val="99"/>
    <w:unhideWhenUsed/>
    <w:rsid w:val="00CE3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3CC"/>
  </w:style>
  <w:style w:type="paragraph" w:styleId="Footer">
    <w:name w:val="footer"/>
    <w:basedOn w:val="Normal"/>
    <w:link w:val="FooterChar"/>
    <w:uiPriority w:val="99"/>
    <w:unhideWhenUsed/>
    <w:rsid w:val="00CE3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3CC"/>
  </w:style>
  <w:style w:type="paragraph" w:styleId="BalloonText">
    <w:name w:val="Balloon Text"/>
    <w:basedOn w:val="Normal"/>
    <w:link w:val="BalloonTextChar"/>
    <w:uiPriority w:val="99"/>
    <w:semiHidden/>
    <w:unhideWhenUsed/>
    <w:rsid w:val="00DB4132"/>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DB4132"/>
    <w:rPr>
      <w:rFonts w:ascii="Segoe UI" w:hAnsi="Segoe UI" w:cs="Segoe UI"/>
      <w:sz w:val="18"/>
      <w:szCs w:val="18"/>
    </w:rPr>
  </w:style>
  <w:style w:type="character" w:styleId="PlaceholderText">
    <w:name w:val="Placeholder Text"/>
    <w:uiPriority w:val="99"/>
    <w:semiHidden/>
    <w:rsid w:val="00743564"/>
    <w:rPr>
      <w:color w:val="808080"/>
    </w:rPr>
  </w:style>
  <w:style w:type="paragraph" w:customStyle="1" w:styleId="Disclaimer">
    <w:name w:val="~Disclaimer"/>
    <w:basedOn w:val="Normal"/>
    <w:rsid w:val="0019538C"/>
    <w:pPr>
      <w:spacing w:before="200" w:after="120" w:line="200" w:lineRule="exact"/>
    </w:pPr>
    <w:rPr>
      <w:rFonts w:ascii="Arial" w:hAnsi="Arial" w:cs="Arial"/>
      <w:sz w:val="16"/>
      <w:szCs w:val="16"/>
      <w:lang w:eastAsia="en-GB"/>
    </w:rPr>
  </w:style>
  <w:style w:type="table" w:customStyle="1" w:styleId="MottMacTable1">
    <w:name w:val="~MottMacTable1"/>
    <w:basedOn w:val="TableNormal"/>
    <w:uiPriority w:val="99"/>
    <w:rsid w:val="00D61F1E"/>
    <w:rPr>
      <w:rFonts w:eastAsia="Arial"/>
    </w:rPr>
    <w:tblPr>
      <w:tblBorders>
        <w:top w:val="single" w:sz="4" w:space="0" w:color="80A1B6"/>
        <w:bottom w:val="single" w:sz="4" w:space="0" w:color="80A1B6"/>
        <w:insideH w:val="single" w:sz="4" w:space="0" w:color="80A1B6"/>
      </w:tblBorders>
    </w:tblPr>
    <w:tcPr>
      <w:shd w:val="clear" w:color="auto" w:fill="FFFFFF"/>
    </w:tcPr>
    <w:tblStylePr w:type="firstRow">
      <w:tblPr/>
      <w:tcPr>
        <w:shd w:val="clear" w:color="auto" w:fill="80A1B6"/>
      </w:tcPr>
    </w:tblStylePr>
  </w:style>
  <w:style w:type="paragraph" w:customStyle="1" w:styleId="BodyTextNumbered1">
    <w:name w:val="~BodyTextNumbered1"/>
    <w:basedOn w:val="NoSpacing"/>
    <w:qFormat/>
    <w:rsid w:val="00D61F1E"/>
    <w:pPr>
      <w:tabs>
        <w:tab w:val="num" w:pos="0"/>
      </w:tabs>
      <w:spacing w:before="260" w:line="276" w:lineRule="auto"/>
      <w:ind w:hanging="1134"/>
    </w:pPr>
    <w:rPr>
      <w:rFonts w:ascii="Arial" w:eastAsia="Calibri" w:hAnsi="Arial" w:cs="Arial"/>
      <w:color w:val="000000"/>
      <w:sz w:val="20"/>
      <w:szCs w:val="20"/>
    </w:rPr>
  </w:style>
  <w:style w:type="paragraph" w:customStyle="1" w:styleId="BodyTextNumbered2">
    <w:name w:val="~BodyTextNumbered2"/>
    <w:basedOn w:val="BodyTextNumbered1"/>
    <w:qFormat/>
    <w:rsid w:val="00D61F1E"/>
  </w:style>
  <w:style w:type="paragraph" w:styleId="FootnoteText">
    <w:name w:val="footnote text"/>
    <w:basedOn w:val="Normal"/>
    <w:link w:val="FootnoteTextChar"/>
    <w:unhideWhenUsed/>
    <w:rsid w:val="00197CB7"/>
    <w:pPr>
      <w:spacing w:after="0" w:line="240" w:lineRule="auto"/>
    </w:pPr>
    <w:rPr>
      <w:rFonts w:ascii="Arial" w:eastAsia="Calibri" w:hAnsi="Arial"/>
      <w:sz w:val="20"/>
      <w:szCs w:val="20"/>
    </w:rPr>
  </w:style>
  <w:style w:type="character" w:customStyle="1" w:styleId="FootnoteTextChar">
    <w:name w:val="Footnote Text Char"/>
    <w:link w:val="FootnoteText"/>
    <w:rsid w:val="00197CB7"/>
    <w:rPr>
      <w:rFonts w:ascii="Arial" w:eastAsia="Calibri" w:hAnsi="Arial"/>
      <w:lang w:val="sq-AL" w:eastAsia="en-US"/>
    </w:rPr>
  </w:style>
  <w:style w:type="character" w:styleId="FootnoteReference">
    <w:name w:val="footnote reference"/>
    <w:unhideWhenUsed/>
    <w:rsid w:val="00197CB7"/>
    <w:rPr>
      <w:vertAlign w:val="superscript"/>
    </w:rPr>
  </w:style>
  <w:style w:type="paragraph" w:styleId="ListParagraph">
    <w:name w:val="List Paragraph"/>
    <w:basedOn w:val="Normal"/>
    <w:link w:val="ListParagraphChar"/>
    <w:uiPriority w:val="34"/>
    <w:qFormat/>
    <w:rsid w:val="00197CB7"/>
    <w:pPr>
      <w:spacing w:after="0"/>
      <w:ind w:left="720"/>
      <w:contextualSpacing/>
    </w:pPr>
    <w:rPr>
      <w:rFonts w:ascii="Arial" w:eastAsia="Calibri" w:hAnsi="Arial"/>
      <w:sz w:val="20"/>
    </w:rPr>
  </w:style>
  <w:style w:type="character" w:customStyle="1" w:styleId="ListParagraphChar">
    <w:name w:val="List Paragraph Char"/>
    <w:link w:val="ListParagraph"/>
    <w:uiPriority w:val="34"/>
    <w:rsid w:val="00197CB7"/>
    <w:rPr>
      <w:rFonts w:ascii="Arial" w:eastAsia="Calibri" w:hAnsi="Arial"/>
      <w:szCs w:val="22"/>
      <w:lang w:val="sq-AL" w:eastAsia="en-US"/>
    </w:rPr>
  </w:style>
  <w:style w:type="character" w:customStyle="1" w:styleId="CaptionChar">
    <w:name w:val="Caption Char"/>
    <w:aliases w:val="~Caption Char"/>
    <w:link w:val="Caption"/>
    <w:rsid w:val="00631B88"/>
    <w:rPr>
      <w:b/>
      <w:bCs/>
      <w:color w:val="5B9BD5"/>
      <w:sz w:val="18"/>
      <w:szCs w:val="18"/>
      <w:lang w:eastAsia="en-US"/>
    </w:rPr>
  </w:style>
  <w:style w:type="paragraph" w:customStyle="1" w:styleId="GraphicLeft">
    <w:name w:val="~GraphicLeft"/>
    <w:basedOn w:val="Normal"/>
    <w:rsid w:val="00631B88"/>
    <w:pPr>
      <w:spacing w:after="0" w:line="240" w:lineRule="auto"/>
      <w:ind w:right="11"/>
    </w:pPr>
    <w:rPr>
      <w:rFonts w:eastAsia="Calibri"/>
      <w:sz w:val="18"/>
      <w:szCs w:val="20"/>
    </w:rPr>
  </w:style>
  <w:style w:type="paragraph" w:customStyle="1" w:styleId="Bullet1">
    <w:name w:val="~Bullet1"/>
    <w:basedOn w:val="Normal"/>
    <w:rsid w:val="00631B88"/>
    <w:pPr>
      <w:numPr>
        <w:numId w:val="1"/>
      </w:numPr>
      <w:spacing w:after="0" w:line="260" w:lineRule="exact"/>
    </w:pPr>
    <w:rPr>
      <w:rFonts w:ascii="Arial" w:hAnsi="Arial" w:cs="Arial"/>
      <w:sz w:val="20"/>
      <w:szCs w:val="24"/>
      <w:lang w:eastAsia="en-GB"/>
    </w:rPr>
  </w:style>
  <w:style w:type="paragraph" w:customStyle="1" w:styleId="Bullet2">
    <w:name w:val="~Bullet2"/>
    <w:basedOn w:val="Bullet1"/>
    <w:rsid w:val="00631B88"/>
    <w:pPr>
      <w:numPr>
        <w:ilvl w:val="1"/>
      </w:numPr>
      <w:tabs>
        <w:tab w:val="num" w:pos="2727"/>
      </w:tabs>
    </w:pPr>
  </w:style>
  <w:style w:type="paragraph" w:customStyle="1" w:styleId="Bullet3">
    <w:name w:val="~Bullet3"/>
    <w:basedOn w:val="Bullet2"/>
    <w:rsid w:val="00631B88"/>
    <w:pPr>
      <w:numPr>
        <w:ilvl w:val="2"/>
      </w:numPr>
      <w:tabs>
        <w:tab w:val="clear" w:pos="2727"/>
        <w:tab w:val="num" w:pos="3011"/>
      </w:tabs>
    </w:pPr>
  </w:style>
  <w:style w:type="character" w:customStyle="1" w:styleId="TableTextLeftChar">
    <w:name w:val="~TableTextLeft Char"/>
    <w:link w:val="TableTextLeft"/>
    <w:rsid w:val="00E747B6"/>
    <w:rPr>
      <w:rFonts w:ascii="Arial" w:hAnsi="Arial" w:cs="Arial"/>
      <w:sz w:val="17"/>
      <w:szCs w:val="24"/>
    </w:rPr>
  </w:style>
  <w:style w:type="paragraph" w:customStyle="1" w:styleId="TableTextLeft">
    <w:name w:val="~TableTextLeft"/>
    <w:basedOn w:val="Normal"/>
    <w:link w:val="TableTextLeftChar"/>
    <w:qFormat/>
    <w:rsid w:val="00E747B6"/>
    <w:pPr>
      <w:spacing w:before="60" w:after="20" w:line="240" w:lineRule="auto"/>
    </w:pPr>
    <w:rPr>
      <w:rFonts w:ascii="Arial" w:hAnsi="Arial" w:cs="Arial"/>
      <w:sz w:val="17"/>
      <w:szCs w:val="24"/>
      <w:lang w:eastAsia="en-GB"/>
    </w:rPr>
  </w:style>
  <w:style w:type="paragraph" w:customStyle="1" w:styleId="TableHeadingLeft">
    <w:name w:val="~TableHeadingLeft"/>
    <w:basedOn w:val="TableTextLeft"/>
    <w:qFormat/>
    <w:rsid w:val="00E747B6"/>
    <w:pPr>
      <w:keepNext/>
      <w:spacing w:before="80" w:after="40"/>
    </w:pPr>
    <w:rPr>
      <w:rFonts w:eastAsia="Calibri"/>
      <w:b/>
      <w:color w:val="FFFFFF"/>
    </w:rPr>
  </w:style>
  <w:style w:type="paragraph" w:customStyle="1" w:styleId="TableHeadingRight">
    <w:name w:val="~TableHeadingRight"/>
    <w:basedOn w:val="TableHeadingLeft"/>
    <w:qFormat/>
    <w:rsid w:val="00E747B6"/>
    <w:pPr>
      <w:jc w:val="right"/>
    </w:pPr>
  </w:style>
  <w:style w:type="paragraph" w:customStyle="1" w:styleId="TableTextRight">
    <w:name w:val="~TableTextRight"/>
    <w:basedOn w:val="TableTextLeft"/>
    <w:qFormat/>
    <w:rsid w:val="00E747B6"/>
    <w:pPr>
      <w:jc w:val="right"/>
    </w:pPr>
    <w:rPr>
      <w:rFonts w:eastAsia="Calibri"/>
    </w:rPr>
  </w:style>
  <w:style w:type="table" w:customStyle="1" w:styleId="MottMacTable">
    <w:name w:val="~MottMacTable"/>
    <w:basedOn w:val="TableNormal"/>
    <w:uiPriority w:val="99"/>
    <w:rsid w:val="00E747B6"/>
    <w:rPr>
      <w:rFonts w:eastAsia="Calibri"/>
      <w:lang w:eastAsia="en-US"/>
    </w:rPr>
    <w:tblPr>
      <w:tblBorders>
        <w:top w:val="single" w:sz="4" w:space="0" w:color="4F81BD"/>
        <w:bottom w:val="single" w:sz="4" w:space="0" w:color="4F81BD"/>
        <w:insideH w:val="single" w:sz="4" w:space="0" w:color="4F81BD"/>
      </w:tblBorders>
    </w:tblPr>
    <w:tcPr>
      <w:shd w:val="clear" w:color="auto" w:fill="FFFFFF"/>
    </w:tcPr>
    <w:tblStylePr w:type="firstRow">
      <w:tblPr/>
      <w:tcPr>
        <w:shd w:val="clear" w:color="auto" w:fill="4F81BD"/>
      </w:tcPr>
    </w:tblStylePr>
  </w:style>
  <w:style w:type="paragraph" w:styleId="BodyText">
    <w:name w:val="Body Text"/>
    <w:basedOn w:val="Normal"/>
    <w:link w:val="BodyTextChar"/>
    <w:uiPriority w:val="1"/>
    <w:qFormat/>
    <w:rsid w:val="000757F4"/>
    <w:pPr>
      <w:widowControl w:val="0"/>
      <w:spacing w:after="0" w:line="240" w:lineRule="auto"/>
      <w:ind w:left="471" w:hanging="356"/>
    </w:pPr>
    <w:rPr>
      <w:rFonts w:ascii="Times New Roman" w:hAnsi="Times New Roman"/>
      <w:sz w:val="24"/>
      <w:szCs w:val="24"/>
    </w:rPr>
  </w:style>
  <w:style w:type="character" w:customStyle="1" w:styleId="BodyTextChar">
    <w:name w:val="Body Text Char"/>
    <w:link w:val="BodyText"/>
    <w:uiPriority w:val="1"/>
    <w:rsid w:val="000757F4"/>
    <w:rPr>
      <w:rFonts w:ascii="Times New Roman" w:hAnsi="Times New Roman"/>
      <w:sz w:val="24"/>
      <w:szCs w:val="24"/>
      <w:lang w:val="sq-AL" w:eastAsia="en-US"/>
    </w:rPr>
  </w:style>
  <w:style w:type="paragraph" w:customStyle="1" w:styleId="Text">
    <w:name w:val="Text"/>
    <w:basedOn w:val="Normal"/>
    <w:rsid w:val="0043684E"/>
    <w:pPr>
      <w:spacing w:before="120" w:after="120" w:line="240" w:lineRule="auto"/>
      <w:jc w:val="both"/>
    </w:pPr>
    <w:rPr>
      <w:rFonts w:ascii="Arial" w:hAnsi="Arial"/>
      <w:szCs w:val="20"/>
      <w:lang w:eastAsia="en-GB"/>
    </w:rPr>
  </w:style>
  <w:style w:type="paragraph" w:customStyle="1" w:styleId="BodyText0">
    <w:name w:val="~BodyText"/>
    <w:basedOn w:val="Normal"/>
    <w:rsid w:val="00A50015"/>
    <w:pPr>
      <w:spacing w:before="260" w:after="120" w:line="260" w:lineRule="exact"/>
    </w:pPr>
    <w:rPr>
      <w:rFonts w:ascii="Arial" w:hAnsi="Arial" w:cs="Arial"/>
      <w:sz w:val="20"/>
      <w:szCs w:val="24"/>
      <w:lang w:eastAsia="en-GB"/>
    </w:rPr>
  </w:style>
  <w:style w:type="table" w:customStyle="1" w:styleId="GridTable1Light-Accent51">
    <w:name w:val="Grid Table 1 Light - Accent 51"/>
    <w:basedOn w:val="TableNormal"/>
    <w:uiPriority w:val="46"/>
    <w:rsid w:val="00170C0C"/>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67E55"/>
    <w:rPr>
      <w:rFonts w:eastAsia="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667E55"/>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6F1611"/>
    <w:rPr>
      <w:rFonts w:eastAsia="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2">
    <w:name w:val="Grid Table 1 Light - Accent 512"/>
    <w:basedOn w:val="TableNormal"/>
    <w:uiPriority w:val="46"/>
    <w:rsid w:val="006F1611"/>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styleId="Hyperlink">
    <w:name w:val="Hyperlink"/>
    <w:rsid w:val="0098031C"/>
    <w:rPr>
      <w:color w:val="0000FF"/>
      <w:u w:val="single"/>
    </w:rPr>
  </w:style>
  <w:style w:type="character" w:customStyle="1" w:styleId="apple-converted-space">
    <w:name w:val="apple-converted-space"/>
    <w:basedOn w:val="DefaultParagraphFont"/>
    <w:rsid w:val="0098031C"/>
  </w:style>
  <w:style w:type="character" w:customStyle="1" w:styleId="ListParagraphChar2">
    <w:name w:val="List Paragraph Char2"/>
    <w:uiPriority w:val="34"/>
    <w:rsid w:val="0098031C"/>
    <w:rPr>
      <w:rFonts w:ascii="Calibri" w:eastAsia="Calibri" w:hAnsi="Calibri"/>
      <w:sz w:val="22"/>
      <w:szCs w:val="22"/>
    </w:rPr>
  </w:style>
  <w:style w:type="paragraph" w:customStyle="1" w:styleId="Default">
    <w:name w:val="Default"/>
    <w:rsid w:val="0098031C"/>
    <w:pPr>
      <w:autoSpaceDE w:val="0"/>
      <w:autoSpaceDN w:val="0"/>
      <w:adjustRightInd w:val="0"/>
    </w:pPr>
    <w:rPr>
      <w:rFonts w:ascii="EUAlbertina" w:hAnsi="EUAlbertina" w:cs="EUAlbertina"/>
      <w:color w:val="000000"/>
      <w:sz w:val="24"/>
      <w:szCs w:val="24"/>
      <w:lang w:eastAsia="en-US"/>
    </w:rPr>
  </w:style>
  <w:style w:type="character" w:customStyle="1" w:styleId="hps">
    <w:name w:val="hps"/>
    <w:basedOn w:val="DefaultParagraphFont"/>
    <w:rsid w:val="0098031C"/>
  </w:style>
  <w:style w:type="table" w:styleId="TableGrid">
    <w:name w:val="Table Grid"/>
    <w:basedOn w:val="TableNormal"/>
    <w:uiPriority w:val="39"/>
    <w:rsid w:val="00597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4558"/>
    <w:rPr>
      <w:sz w:val="16"/>
      <w:szCs w:val="16"/>
    </w:rPr>
  </w:style>
  <w:style w:type="paragraph" w:styleId="CommentText">
    <w:name w:val="annotation text"/>
    <w:basedOn w:val="Normal"/>
    <w:link w:val="CommentTextChar"/>
    <w:uiPriority w:val="99"/>
    <w:unhideWhenUsed/>
    <w:rsid w:val="002C4558"/>
    <w:pPr>
      <w:spacing w:line="240" w:lineRule="auto"/>
    </w:pPr>
    <w:rPr>
      <w:sz w:val="20"/>
      <w:szCs w:val="20"/>
    </w:rPr>
  </w:style>
  <w:style w:type="character" w:customStyle="1" w:styleId="CommentTextChar">
    <w:name w:val="Comment Text Char"/>
    <w:basedOn w:val="DefaultParagraphFont"/>
    <w:link w:val="CommentText"/>
    <w:uiPriority w:val="99"/>
    <w:rsid w:val="002C4558"/>
    <w:rPr>
      <w:lang w:eastAsia="en-US"/>
    </w:rPr>
  </w:style>
  <w:style w:type="paragraph" w:styleId="CommentSubject">
    <w:name w:val="annotation subject"/>
    <w:basedOn w:val="CommentText"/>
    <w:next w:val="CommentText"/>
    <w:link w:val="CommentSubjectChar"/>
    <w:uiPriority w:val="99"/>
    <w:semiHidden/>
    <w:unhideWhenUsed/>
    <w:rsid w:val="002C4558"/>
    <w:rPr>
      <w:b/>
      <w:bCs/>
    </w:rPr>
  </w:style>
  <w:style w:type="character" w:customStyle="1" w:styleId="CommentSubjectChar">
    <w:name w:val="Comment Subject Char"/>
    <w:basedOn w:val="CommentTextChar"/>
    <w:link w:val="CommentSubject"/>
    <w:uiPriority w:val="99"/>
    <w:semiHidden/>
    <w:rsid w:val="002C4558"/>
    <w:rPr>
      <w:b/>
      <w:bCs/>
      <w:lang w:eastAsia="en-US"/>
    </w:rPr>
  </w:style>
  <w:style w:type="paragraph" w:styleId="Revision">
    <w:name w:val="Revision"/>
    <w:hidden/>
    <w:uiPriority w:val="99"/>
    <w:semiHidden/>
    <w:rsid w:val="002C455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56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edin.kabashi@kek-energ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E93B1-F0FA-49FB-82CB-79F43AC80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1719</Words>
  <Characters>9799</Characters>
  <Application>Microsoft Office Word</Application>
  <DocSecurity>0</DocSecurity>
  <Lines>81</Lines>
  <Paragraphs>22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Workshop Summary Report</vt:lpstr>
      <vt:lpstr>Workshop Summary Report</vt:lpstr>
      <vt:lpstr>Workshop Summary Report</vt:lpstr>
    </vt:vector>
  </TitlesOfParts>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Summary Report</dc:title>
  <dc:creator>Postolache, Elena</dc:creator>
  <cp:lastModifiedBy>Tringe Sokoli</cp:lastModifiedBy>
  <cp:revision>11</cp:revision>
  <cp:lastPrinted>2015-01-05T12:29:00Z</cp:lastPrinted>
  <dcterms:created xsi:type="dcterms:W3CDTF">2024-07-24T08:31:00Z</dcterms:created>
  <dcterms:modified xsi:type="dcterms:W3CDTF">2024-10-28T13:34:00Z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a9fa7411a25d5fad2f9ee7669996c54c727aa86a2c0421a2f713390906ba7d23</vt:lpwstr>
  </property>
</Properties>
</file>