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7A9DE" w14:textId="70CF4E61" w:rsidR="00B72A26" w:rsidRPr="00781F2E" w:rsidRDefault="00B72A26" w:rsidP="003A4F6C">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Energjisë</w:t>
      </w:r>
    </w:p>
    <w:p w14:paraId="606C84AF" w14:textId="77777777" w:rsidR="00DA5F0A" w:rsidRPr="001B44CE" w:rsidRDefault="0074067A" w:rsidP="0074067A">
      <w:pPr>
        <w:pStyle w:val="Heading1"/>
        <w:spacing w:before="240" w:after="120"/>
        <w:jc w:val="center"/>
        <w:rPr>
          <w:rFonts w:ascii="Arial" w:hAnsi="Arial" w:cs="Arial"/>
          <w:color w:val="000000" w:themeColor="text1"/>
          <w:sz w:val="20"/>
          <w:szCs w:val="20"/>
        </w:rPr>
      </w:pPr>
      <w:r>
        <w:rPr>
          <w:rFonts w:ascii="Arial" w:hAnsi="Arial"/>
          <w:color w:val="000000" w:themeColor="text1"/>
          <w:sz w:val="20"/>
        </w:rPr>
        <w:t>Pjesa e parë</w:t>
      </w:r>
    </w:p>
    <w:p w14:paraId="3E2B2203" w14:textId="257C439A" w:rsidR="0074067A" w:rsidRPr="002136A1" w:rsidRDefault="0074067A" w:rsidP="002136A1">
      <w:pPr>
        <w:pStyle w:val="ListParagraph"/>
        <w:numPr>
          <w:ilvl w:val="0"/>
          <w:numId w:val="37"/>
        </w:numPr>
        <w:spacing w:before="200" w:after="120"/>
        <w:rPr>
          <w:rFonts w:cs="Arial"/>
          <w:b/>
          <w:color w:val="000000" w:themeColor="text1"/>
          <w:szCs w:val="20"/>
        </w:rPr>
      </w:pPr>
      <w:r>
        <w:rPr>
          <w:b/>
          <w:bCs/>
          <w:color w:val="000000" w:themeColor="text1"/>
        </w:rPr>
        <w:t>INFORMACIONE TË PËRGJITHSHME</w:t>
      </w:r>
    </w:p>
    <w:tbl>
      <w:tblPr>
        <w:tblW w:w="5000" w:type="pct"/>
        <w:jc w:val="center"/>
        <w:tblLook w:val="01E0" w:firstRow="1" w:lastRow="1" w:firstColumn="1" w:lastColumn="1" w:noHBand="0" w:noVBand="0"/>
      </w:tblPr>
      <w:tblGrid>
        <w:gridCol w:w="3939"/>
        <w:gridCol w:w="5962"/>
      </w:tblGrid>
      <w:tr w:rsidR="00310010" w:rsidRPr="00781F2E" w14:paraId="520068A7"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17C4B146" w14:textId="701A8B00" w:rsidR="00310010" w:rsidRPr="00781F2E" w:rsidRDefault="009239C5" w:rsidP="0074067A">
            <w:pPr>
              <w:spacing w:before="60" w:after="60" w:line="260" w:lineRule="atLeast"/>
              <w:rPr>
                <w:rFonts w:ascii="Arial" w:hAnsi="Arial" w:cs="Arial"/>
                <w:b/>
                <w:bCs/>
                <w:sz w:val="20"/>
                <w:szCs w:val="20"/>
              </w:rPr>
            </w:pPr>
            <w:r>
              <w:rPr>
                <w:rFonts w:ascii="Arial" w:hAnsi="Arial"/>
                <w:b/>
                <w:sz w:val="20"/>
              </w:rPr>
              <w:t>Titulli i projektit</w:t>
            </w:r>
          </w:p>
        </w:tc>
        <w:tc>
          <w:tcPr>
            <w:tcW w:w="3011" w:type="pct"/>
            <w:tcBorders>
              <w:top w:val="single" w:sz="4" w:space="0" w:color="auto"/>
              <w:left w:val="single" w:sz="4" w:space="0" w:color="auto"/>
              <w:bottom w:val="single" w:sz="4" w:space="0" w:color="auto"/>
              <w:right w:val="single" w:sz="4" w:space="0" w:color="auto"/>
            </w:tcBorders>
            <w:vAlign w:val="center"/>
          </w:tcPr>
          <w:p w14:paraId="6FD17849" w14:textId="0B4AA712" w:rsidR="00310010" w:rsidRPr="003A4F6C" w:rsidRDefault="00C66774" w:rsidP="00B116B8">
            <w:pPr>
              <w:spacing w:before="60" w:after="60" w:line="260" w:lineRule="atLeast"/>
              <w:rPr>
                <w:rFonts w:ascii="Arial" w:hAnsi="Arial" w:cs="Arial"/>
                <w:color w:val="222222"/>
                <w:sz w:val="20"/>
                <w:szCs w:val="20"/>
              </w:rPr>
            </w:pPr>
            <w:r>
              <w:rPr>
                <w:rStyle w:val="hps"/>
                <w:rFonts w:ascii="Arial" w:hAnsi="Arial"/>
                <w:color w:val="222222"/>
                <w:sz w:val="20"/>
              </w:rPr>
              <w:t>Përmirësimi i ngrohjes qendrore në Kosovë me implementimin e sistemit të ngrohjes qendrore në komunat me potencial për ngrohje</w:t>
            </w:r>
          </w:p>
        </w:tc>
      </w:tr>
      <w:tr w:rsidR="0098031C" w:rsidRPr="00781F2E" w14:paraId="222BC279"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74BBAA4D" w14:textId="77777777" w:rsidR="0098031C" w:rsidRPr="00781F2E" w:rsidRDefault="0098031C" w:rsidP="0074067A">
            <w:pPr>
              <w:spacing w:before="60" w:after="60" w:line="260" w:lineRule="atLeast"/>
              <w:rPr>
                <w:rFonts w:ascii="Arial" w:hAnsi="Arial" w:cs="Arial"/>
                <w:bCs/>
                <w:sz w:val="20"/>
                <w:szCs w:val="20"/>
              </w:rPr>
            </w:pPr>
            <w:r>
              <w:rPr>
                <w:rFonts w:ascii="Arial" w:hAnsi="Arial"/>
                <w:sz w:val="20"/>
              </w:rPr>
              <w:t>Sektori</w:t>
            </w:r>
          </w:p>
        </w:tc>
        <w:tc>
          <w:tcPr>
            <w:tcW w:w="3011" w:type="pct"/>
            <w:tcBorders>
              <w:top w:val="single" w:sz="4" w:space="0" w:color="auto"/>
              <w:left w:val="single" w:sz="4" w:space="0" w:color="auto"/>
              <w:bottom w:val="single" w:sz="4" w:space="0" w:color="auto"/>
              <w:right w:val="single" w:sz="4" w:space="0" w:color="auto"/>
            </w:tcBorders>
            <w:vAlign w:val="center"/>
          </w:tcPr>
          <w:p w14:paraId="5E8151CB" w14:textId="274AD474" w:rsidR="0098031C" w:rsidRPr="00781F2E" w:rsidRDefault="0098031C" w:rsidP="009352C9">
            <w:pPr>
              <w:spacing w:before="60" w:after="60" w:line="260" w:lineRule="atLeast"/>
              <w:rPr>
                <w:rFonts w:ascii="Arial" w:hAnsi="Arial" w:cs="Arial"/>
                <w:sz w:val="20"/>
                <w:szCs w:val="20"/>
              </w:rPr>
            </w:pPr>
            <w:r>
              <w:rPr>
                <w:rFonts w:ascii="Arial" w:hAnsi="Arial"/>
                <w:sz w:val="20"/>
              </w:rPr>
              <w:t>Energjia / Ngrohja</w:t>
            </w:r>
          </w:p>
        </w:tc>
      </w:tr>
      <w:tr w:rsidR="00C66774" w:rsidRPr="00781F2E" w14:paraId="45CDCF63"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3D05AC0" w14:textId="42E67D10" w:rsidR="00C66774" w:rsidRPr="00781F2E" w:rsidRDefault="00C66774" w:rsidP="00C66774">
            <w:pPr>
              <w:spacing w:before="60" w:after="60" w:line="260" w:lineRule="atLeast"/>
              <w:rPr>
                <w:rFonts w:ascii="Arial" w:hAnsi="Arial" w:cs="Arial"/>
                <w:bCs/>
                <w:sz w:val="20"/>
                <w:szCs w:val="20"/>
              </w:rPr>
            </w:pPr>
            <w:r>
              <w:rPr>
                <w:rFonts w:ascii="Arial" w:hAnsi="Arial"/>
                <w:sz w:val="20"/>
              </w:rPr>
              <w:t>Përfituesi</w:t>
            </w:r>
            <w:r w:rsidR="009239C5">
              <w:rPr>
                <w:rFonts w:ascii="Arial" w:hAnsi="Arial"/>
                <w:sz w:val="20"/>
              </w:rPr>
              <w:t>/propozuesi kryesor i projektit</w:t>
            </w:r>
          </w:p>
        </w:tc>
        <w:tc>
          <w:tcPr>
            <w:tcW w:w="3011" w:type="pct"/>
            <w:tcBorders>
              <w:top w:val="single" w:sz="4" w:space="0" w:color="auto"/>
              <w:left w:val="single" w:sz="4" w:space="0" w:color="auto"/>
              <w:bottom w:val="single" w:sz="4" w:space="0" w:color="auto"/>
              <w:right w:val="single" w:sz="4" w:space="0" w:color="auto"/>
            </w:tcBorders>
            <w:vAlign w:val="center"/>
          </w:tcPr>
          <w:p w14:paraId="6B363377" w14:textId="77777777" w:rsidR="00C66774" w:rsidRPr="00781F2E" w:rsidRDefault="002A1639" w:rsidP="00C66774">
            <w:pPr>
              <w:spacing w:before="60" w:after="60" w:line="260" w:lineRule="atLeast"/>
              <w:rPr>
                <w:rFonts w:ascii="Arial" w:hAnsi="Arial" w:cs="Arial"/>
                <w:sz w:val="20"/>
                <w:szCs w:val="20"/>
              </w:rPr>
            </w:pPr>
            <w:r>
              <w:rPr>
                <w:rFonts w:ascii="Arial" w:hAnsi="Arial"/>
                <w:sz w:val="20"/>
              </w:rPr>
              <w:t xml:space="preserve">Ministria e Ekonomisë (ME) </w:t>
            </w:r>
          </w:p>
          <w:p w14:paraId="19615385" w14:textId="457F3AC1" w:rsidR="00C66774" w:rsidRPr="00781F2E" w:rsidRDefault="00017C2C" w:rsidP="009239C5">
            <w:pPr>
              <w:spacing w:before="60" w:after="60" w:line="260" w:lineRule="atLeast"/>
              <w:rPr>
                <w:rFonts w:ascii="Arial" w:hAnsi="Arial" w:cs="Arial"/>
                <w:sz w:val="20"/>
                <w:szCs w:val="20"/>
              </w:rPr>
            </w:pPr>
            <w:r>
              <w:rPr>
                <w:rFonts w:ascii="Arial" w:hAnsi="Arial"/>
                <w:sz w:val="20"/>
              </w:rPr>
              <w:t xml:space="preserve">Komunat të cilat do të përzgjidhen për ndërtimin e </w:t>
            </w:r>
            <w:r w:rsidR="009239C5">
              <w:rPr>
                <w:rFonts w:ascii="Arial" w:hAnsi="Arial"/>
                <w:sz w:val="20"/>
              </w:rPr>
              <w:t>sistemeve të n</w:t>
            </w:r>
            <w:r>
              <w:rPr>
                <w:rFonts w:ascii="Arial" w:hAnsi="Arial"/>
                <w:sz w:val="20"/>
              </w:rPr>
              <w:t xml:space="preserve">grohjes </w:t>
            </w:r>
            <w:r w:rsidR="009239C5">
              <w:rPr>
                <w:rFonts w:ascii="Arial" w:hAnsi="Arial"/>
                <w:sz w:val="20"/>
              </w:rPr>
              <w:t>qendrore</w:t>
            </w:r>
          </w:p>
        </w:tc>
      </w:tr>
      <w:tr w:rsidR="00C66774" w:rsidRPr="00781F2E" w14:paraId="14A9A1AA"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3748F1E7" w14:textId="77777777" w:rsidR="00C66774" w:rsidRPr="00781F2E" w:rsidRDefault="00C66774" w:rsidP="00C66774">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3011" w:type="pct"/>
            <w:tcBorders>
              <w:top w:val="single" w:sz="4" w:space="0" w:color="auto"/>
              <w:left w:val="single" w:sz="4" w:space="0" w:color="auto"/>
              <w:bottom w:val="single" w:sz="4" w:space="0" w:color="auto"/>
              <w:right w:val="single" w:sz="4" w:space="0" w:color="auto"/>
            </w:tcBorders>
            <w:vAlign w:val="center"/>
          </w:tcPr>
          <w:p w14:paraId="0474ECB5" w14:textId="16C5A7F2" w:rsidR="00C66774" w:rsidRPr="00781F2E" w:rsidRDefault="002D56A3" w:rsidP="009F4BEF">
            <w:pPr>
              <w:spacing w:before="60" w:after="60" w:line="260" w:lineRule="atLeast"/>
              <w:rPr>
                <w:rFonts w:ascii="Arial" w:hAnsi="Arial" w:cs="Arial"/>
                <w:sz w:val="20"/>
                <w:szCs w:val="20"/>
              </w:rPr>
            </w:pPr>
            <w:r>
              <w:rPr>
                <w:rFonts w:ascii="Arial" w:hAnsi="Arial"/>
                <w:sz w:val="20"/>
              </w:rPr>
              <w:t>Ministria e Ekonomisë - Departamenti i Energjisë</w:t>
            </w:r>
          </w:p>
        </w:tc>
      </w:tr>
      <w:tr w:rsidR="00C66774" w:rsidRPr="00D06BDA" w14:paraId="6AE32D9C" w14:textId="77777777" w:rsidTr="009239C5">
        <w:trPr>
          <w:trHeight w:val="4625"/>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4AABBC4A" w14:textId="77777777" w:rsidR="00C66774" w:rsidRPr="00781F2E" w:rsidRDefault="00C66774" w:rsidP="00C66774">
            <w:pPr>
              <w:spacing w:before="60" w:after="60" w:line="260" w:lineRule="atLeast"/>
              <w:rPr>
                <w:rFonts w:ascii="Arial" w:hAnsi="Arial" w:cs="Arial"/>
                <w:bCs/>
                <w:sz w:val="20"/>
                <w:szCs w:val="20"/>
              </w:rPr>
            </w:pPr>
            <w:r>
              <w:rPr>
                <w:rFonts w:ascii="Arial" w:hAnsi="Arial"/>
                <w:sz w:val="20"/>
              </w:rPr>
              <w:t>Vendndodhja/Harta</w:t>
            </w:r>
          </w:p>
        </w:tc>
        <w:tc>
          <w:tcPr>
            <w:tcW w:w="3011" w:type="pct"/>
            <w:tcBorders>
              <w:top w:val="single" w:sz="4" w:space="0" w:color="auto"/>
              <w:left w:val="single" w:sz="4" w:space="0" w:color="auto"/>
              <w:bottom w:val="single" w:sz="4" w:space="0" w:color="auto"/>
              <w:right w:val="single" w:sz="4" w:space="0" w:color="auto"/>
            </w:tcBorders>
            <w:vAlign w:val="center"/>
          </w:tcPr>
          <w:p w14:paraId="0C008130" w14:textId="77777777" w:rsidR="007015A0" w:rsidRPr="007015A0" w:rsidRDefault="007015A0" w:rsidP="007015A0"/>
          <w:p w14:paraId="49849096" w14:textId="77777777" w:rsidR="0067045E" w:rsidRDefault="0067045E" w:rsidP="00F776CE">
            <w:pPr>
              <w:pStyle w:val="Caption"/>
              <w:spacing w:line="200" w:lineRule="exact"/>
              <w:jc w:val="center"/>
              <w:rPr>
                <w:rFonts w:ascii="Arial" w:hAnsi="Arial" w:cs="Arial"/>
                <w:color w:val="auto"/>
                <w:sz w:val="20"/>
                <w:szCs w:val="20"/>
              </w:rPr>
            </w:pPr>
          </w:p>
          <w:p w14:paraId="7DABAD18" w14:textId="77777777" w:rsidR="0067045E" w:rsidRDefault="0067045E" w:rsidP="00F776CE">
            <w:pPr>
              <w:pStyle w:val="Caption"/>
              <w:spacing w:line="200" w:lineRule="exact"/>
              <w:jc w:val="center"/>
              <w:rPr>
                <w:rFonts w:ascii="Arial" w:hAnsi="Arial" w:cs="Arial"/>
                <w:color w:val="auto"/>
                <w:sz w:val="20"/>
                <w:szCs w:val="20"/>
              </w:rPr>
            </w:pPr>
          </w:p>
          <w:p w14:paraId="3E1C736C" w14:textId="34F6FE0D" w:rsidR="0067045E" w:rsidRDefault="0067045E" w:rsidP="00F776CE">
            <w:pPr>
              <w:pStyle w:val="Caption"/>
              <w:spacing w:line="200" w:lineRule="exact"/>
              <w:jc w:val="center"/>
              <w:rPr>
                <w:rFonts w:ascii="Arial" w:hAnsi="Arial" w:cs="Arial"/>
                <w:color w:val="auto"/>
                <w:sz w:val="20"/>
                <w:szCs w:val="20"/>
              </w:rPr>
            </w:pPr>
          </w:p>
          <w:p w14:paraId="6484B9E5" w14:textId="77777777" w:rsidR="0067045E" w:rsidRDefault="0067045E" w:rsidP="00F776CE">
            <w:pPr>
              <w:pStyle w:val="Caption"/>
              <w:spacing w:line="200" w:lineRule="exact"/>
              <w:jc w:val="center"/>
              <w:rPr>
                <w:rFonts w:ascii="Arial" w:hAnsi="Arial" w:cs="Arial"/>
                <w:color w:val="auto"/>
                <w:sz w:val="20"/>
                <w:szCs w:val="20"/>
              </w:rPr>
            </w:pPr>
          </w:p>
          <w:p w14:paraId="52DC60DB" w14:textId="77777777" w:rsidR="0067045E" w:rsidRDefault="0067045E" w:rsidP="00F776CE">
            <w:pPr>
              <w:pStyle w:val="Caption"/>
              <w:spacing w:line="200" w:lineRule="exact"/>
              <w:jc w:val="center"/>
              <w:rPr>
                <w:rFonts w:ascii="Arial" w:hAnsi="Arial" w:cs="Arial"/>
                <w:color w:val="auto"/>
                <w:sz w:val="20"/>
                <w:szCs w:val="20"/>
              </w:rPr>
            </w:pPr>
          </w:p>
          <w:p w14:paraId="6B7C8327" w14:textId="77777777" w:rsidR="0067045E" w:rsidRDefault="0067045E" w:rsidP="00F776CE">
            <w:pPr>
              <w:pStyle w:val="Caption"/>
              <w:spacing w:line="200" w:lineRule="exact"/>
              <w:jc w:val="center"/>
              <w:rPr>
                <w:rFonts w:ascii="Arial" w:hAnsi="Arial" w:cs="Arial"/>
                <w:color w:val="auto"/>
                <w:sz w:val="20"/>
                <w:szCs w:val="20"/>
              </w:rPr>
            </w:pPr>
          </w:p>
          <w:p w14:paraId="22C067F4" w14:textId="6C92E744" w:rsidR="0067045E" w:rsidRDefault="0067045E" w:rsidP="00F776CE">
            <w:pPr>
              <w:pStyle w:val="Caption"/>
              <w:spacing w:line="200" w:lineRule="exact"/>
              <w:jc w:val="center"/>
              <w:rPr>
                <w:rFonts w:ascii="Arial" w:hAnsi="Arial" w:cs="Arial"/>
                <w:color w:val="auto"/>
                <w:sz w:val="20"/>
                <w:szCs w:val="20"/>
              </w:rPr>
            </w:pPr>
          </w:p>
          <w:p w14:paraId="4A60CDFD" w14:textId="0D36DC19" w:rsidR="0067045E" w:rsidRDefault="0067045E" w:rsidP="00F776CE">
            <w:pPr>
              <w:pStyle w:val="Caption"/>
              <w:spacing w:line="200" w:lineRule="exact"/>
              <w:jc w:val="center"/>
              <w:rPr>
                <w:rFonts w:ascii="Arial" w:hAnsi="Arial" w:cs="Arial"/>
                <w:color w:val="auto"/>
                <w:sz w:val="20"/>
                <w:szCs w:val="20"/>
              </w:rPr>
            </w:pPr>
          </w:p>
          <w:p w14:paraId="70F8E54A" w14:textId="77777777" w:rsidR="004A0206" w:rsidRDefault="007015A0" w:rsidP="004A0206">
            <w:pPr>
              <w:pStyle w:val="Caption"/>
              <w:spacing w:line="200" w:lineRule="exact"/>
              <w:jc w:val="center"/>
              <w:rPr>
                <w:rFonts w:ascii="Arial" w:hAnsi="Arial" w:cs="Arial"/>
                <w:b w:val="0"/>
                <w:color w:val="auto"/>
                <w:sz w:val="20"/>
                <w:szCs w:val="20"/>
              </w:rPr>
            </w:pPr>
            <w:r>
              <w:rPr>
                <w:b w:val="0"/>
                <w:noProof/>
                <w:lang w:val="en-US"/>
              </w:rPr>
              <w:drawing>
                <wp:inline distT="0" distB="0" distL="0" distR="0" wp14:anchorId="1259B571" wp14:editId="212C7CE4">
                  <wp:extent cx="2286000" cy="24296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690" cy="2537683"/>
                          </a:xfrm>
                          <a:prstGeom prst="rect">
                            <a:avLst/>
                          </a:prstGeom>
                          <a:noFill/>
                          <a:ln>
                            <a:noFill/>
                          </a:ln>
                        </pic:spPr>
                      </pic:pic>
                    </a:graphicData>
                  </a:graphic>
                </wp:inline>
              </w:drawing>
            </w:r>
          </w:p>
          <w:p w14:paraId="22D1EFA4" w14:textId="2F3074AD" w:rsidR="00C66774" w:rsidRPr="004A0206" w:rsidRDefault="00C66774" w:rsidP="004A0206">
            <w:pPr>
              <w:pStyle w:val="Caption"/>
              <w:spacing w:line="200" w:lineRule="exact"/>
              <w:jc w:val="center"/>
              <w:rPr>
                <w:rFonts w:ascii="Arial" w:hAnsi="Arial" w:cs="Arial"/>
                <w:b w:val="0"/>
                <w:color w:val="auto"/>
                <w:sz w:val="20"/>
                <w:szCs w:val="20"/>
              </w:rPr>
            </w:pPr>
            <w:r>
              <w:rPr>
                <w:rFonts w:ascii="Arial" w:hAnsi="Arial"/>
                <w:b w:val="0"/>
                <w:color w:val="auto"/>
                <w:sz w:val="20"/>
              </w:rPr>
              <w:t xml:space="preserve">Figura </w:t>
            </w:r>
            <w:r w:rsidR="001E7488" w:rsidRPr="004A0206">
              <w:rPr>
                <w:rFonts w:ascii="Arial" w:hAnsi="Arial" w:cs="Arial"/>
                <w:b w:val="0"/>
                <w:color w:val="auto"/>
                <w:sz w:val="20"/>
              </w:rPr>
              <w:fldChar w:fldCharType="begin"/>
            </w:r>
            <w:r w:rsidRPr="004A0206">
              <w:rPr>
                <w:rFonts w:ascii="Arial" w:hAnsi="Arial" w:cs="Arial"/>
                <w:b w:val="0"/>
                <w:color w:val="auto"/>
                <w:sz w:val="20"/>
              </w:rPr>
              <w:instrText xml:space="preserve"> SEQ Figure \* ARABIC </w:instrText>
            </w:r>
            <w:r w:rsidR="001E7488" w:rsidRPr="004A0206">
              <w:rPr>
                <w:rFonts w:ascii="Arial" w:hAnsi="Arial" w:cs="Arial"/>
                <w:b w:val="0"/>
                <w:color w:val="auto"/>
                <w:sz w:val="20"/>
              </w:rPr>
              <w:fldChar w:fldCharType="separate"/>
            </w:r>
            <w:r w:rsidR="00F33738" w:rsidRPr="004A0206">
              <w:rPr>
                <w:rFonts w:ascii="Arial" w:hAnsi="Arial" w:cs="Arial"/>
                <w:b w:val="0"/>
                <w:color w:val="auto"/>
                <w:sz w:val="20"/>
              </w:rPr>
              <w:t>1</w:t>
            </w:r>
            <w:r w:rsidR="001E7488" w:rsidRPr="004A0206">
              <w:rPr>
                <w:rFonts w:ascii="Arial" w:hAnsi="Arial" w:cs="Arial"/>
                <w:b w:val="0"/>
                <w:color w:val="auto"/>
                <w:sz w:val="20"/>
              </w:rPr>
              <w:fldChar w:fldCharType="end"/>
            </w:r>
            <w:r>
              <w:rPr>
                <w:rFonts w:ascii="Arial" w:hAnsi="Arial"/>
                <w:b w:val="0"/>
                <w:color w:val="auto"/>
                <w:sz w:val="20"/>
              </w:rPr>
              <w:t>: Harta e Republikës së Kosovës, komunat e përcaktuara: Obiliq, Mitrovicë, Zveçan, Drenas, Pejë, Prizren, Ferizaj, Gjilan</w:t>
            </w:r>
          </w:p>
        </w:tc>
      </w:tr>
      <w:tr w:rsidR="00C66774" w:rsidRPr="00781F2E" w14:paraId="57BB8284"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8599B01" w14:textId="77777777" w:rsidR="00C66774" w:rsidRPr="00781F2E" w:rsidRDefault="00C66774" w:rsidP="00C66774">
            <w:pPr>
              <w:spacing w:before="60" w:after="60" w:line="260" w:lineRule="atLeast"/>
              <w:rPr>
                <w:rFonts w:ascii="Arial" w:hAnsi="Arial" w:cs="Arial"/>
                <w:bCs/>
                <w:sz w:val="20"/>
                <w:szCs w:val="20"/>
              </w:rPr>
            </w:pPr>
            <w:r>
              <w:rPr>
                <w:rFonts w:ascii="Arial" w:hAnsi="Arial"/>
                <w:sz w:val="20"/>
              </w:rPr>
              <w:t>Investimi total i parashikuar:</w:t>
            </w:r>
          </w:p>
          <w:p w14:paraId="109C4D68" w14:textId="77777777" w:rsidR="00C66774" w:rsidRPr="00781F2E" w:rsidRDefault="00C66774" w:rsidP="00C66774">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575252AA" w14:textId="77777777" w:rsidR="00C66774" w:rsidRPr="00781F2E" w:rsidRDefault="00C66774" w:rsidP="00C66774">
            <w:pPr>
              <w:numPr>
                <w:ilvl w:val="0"/>
                <w:numId w:val="3"/>
              </w:numPr>
              <w:spacing w:before="60" w:after="60" w:line="260" w:lineRule="atLeast"/>
              <w:ind w:left="223" w:hanging="223"/>
              <w:rPr>
                <w:rFonts w:ascii="Arial" w:hAnsi="Arial" w:cs="Arial"/>
                <w:bCs/>
                <w:sz w:val="20"/>
                <w:szCs w:val="20"/>
              </w:rPr>
            </w:pPr>
            <w:r>
              <w:rPr>
                <w:rFonts w:ascii="Arial" w:hAnsi="Arial"/>
                <w:sz w:val="20"/>
              </w:rPr>
              <w:t>Punimet ndërtimore</w:t>
            </w:r>
          </w:p>
          <w:p w14:paraId="0C3A3354" w14:textId="77777777" w:rsidR="00C66774" w:rsidRPr="00781F2E" w:rsidRDefault="00C66774" w:rsidP="00C66774">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3011" w:type="pct"/>
            <w:tcBorders>
              <w:top w:val="single" w:sz="4" w:space="0" w:color="auto"/>
              <w:left w:val="single" w:sz="4" w:space="0" w:color="auto"/>
              <w:bottom w:val="single" w:sz="4" w:space="0" w:color="auto"/>
              <w:right w:val="single" w:sz="4" w:space="0" w:color="auto"/>
            </w:tcBorders>
            <w:vAlign w:val="center"/>
          </w:tcPr>
          <w:p w14:paraId="2FCFE2C0" w14:textId="51751B4D" w:rsidR="00C66774" w:rsidRDefault="00C66774" w:rsidP="000045BD">
            <w:pPr>
              <w:spacing w:after="0" w:line="240" w:lineRule="exact"/>
              <w:rPr>
                <w:rFonts w:ascii="Arial" w:hAnsi="Arial" w:cs="Arial"/>
                <w:sz w:val="20"/>
                <w:szCs w:val="20"/>
              </w:rPr>
            </w:pPr>
            <w:r>
              <w:rPr>
                <w:rFonts w:ascii="Arial" w:hAnsi="Arial"/>
                <w:sz w:val="20"/>
              </w:rPr>
              <w:t>Investimi total i parashikuar: 150,000,000 EUR</w:t>
            </w:r>
          </w:p>
          <w:p w14:paraId="14A538F5" w14:textId="77777777" w:rsidR="000045BD" w:rsidRPr="009D156D" w:rsidRDefault="000045BD" w:rsidP="000045BD">
            <w:pPr>
              <w:spacing w:after="0" w:line="240" w:lineRule="exact"/>
              <w:rPr>
                <w:rFonts w:ascii="Arial" w:hAnsi="Arial" w:cs="Arial"/>
                <w:sz w:val="20"/>
                <w:szCs w:val="20"/>
                <w:lang w:val="en-US"/>
              </w:rPr>
            </w:pPr>
          </w:p>
          <w:p w14:paraId="19FE37D8" w14:textId="74C099F6" w:rsidR="005A2C5B" w:rsidRPr="003A4F6C" w:rsidRDefault="005A2C5B" w:rsidP="002136A1">
            <w:pPr>
              <w:spacing w:after="0" w:line="240" w:lineRule="exact"/>
              <w:rPr>
                <w:rFonts w:ascii="Arial" w:hAnsi="Arial" w:cs="Arial"/>
                <w:sz w:val="20"/>
                <w:szCs w:val="20"/>
              </w:rPr>
            </w:pPr>
            <w:r>
              <w:rPr>
                <w:rFonts w:ascii="Arial" w:hAnsi="Arial"/>
                <w:sz w:val="20"/>
              </w:rPr>
              <w:t>Nga të cilat:</w:t>
            </w:r>
          </w:p>
          <w:p w14:paraId="595FDD8E" w14:textId="2F617A38" w:rsidR="002136A1" w:rsidRPr="003A4F6C" w:rsidRDefault="003A4F6C" w:rsidP="002136A1">
            <w:pPr>
              <w:spacing w:after="0" w:line="240" w:lineRule="exact"/>
              <w:rPr>
                <w:rFonts w:ascii="Arial" w:hAnsi="Arial" w:cs="Arial"/>
                <w:sz w:val="20"/>
                <w:szCs w:val="20"/>
              </w:rPr>
            </w:pPr>
            <w:r>
              <w:rPr>
                <w:rFonts w:ascii="Arial" w:hAnsi="Arial"/>
                <w:sz w:val="20"/>
              </w:rPr>
              <w:t>Aktivitetet përgatitore: 7,500,000 EUR</w:t>
            </w:r>
          </w:p>
          <w:p w14:paraId="6C47782C" w14:textId="182C64ED" w:rsidR="002136A1" w:rsidRPr="003A4F6C" w:rsidRDefault="003A4F6C" w:rsidP="002136A1">
            <w:pPr>
              <w:spacing w:after="0" w:line="240" w:lineRule="exact"/>
              <w:rPr>
                <w:rFonts w:ascii="Arial" w:hAnsi="Arial" w:cs="Arial"/>
                <w:sz w:val="20"/>
                <w:szCs w:val="20"/>
              </w:rPr>
            </w:pPr>
            <w:r>
              <w:rPr>
                <w:rFonts w:ascii="Arial" w:hAnsi="Arial"/>
                <w:sz w:val="20"/>
              </w:rPr>
              <w:t>Punimet ndërtimore: 135,000,000 EUR</w:t>
            </w:r>
          </w:p>
          <w:p w14:paraId="14655F94" w14:textId="40A61A5E" w:rsidR="006E3D66" w:rsidRPr="003A4F6C" w:rsidRDefault="003A4F6C" w:rsidP="006E3D66">
            <w:pPr>
              <w:spacing w:after="0" w:line="240" w:lineRule="exact"/>
              <w:rPr>
                <w:rFonts w:ascii="Arial" w:hAnsi="Arial" w:cs="Arial"/>
                <w:sz w:val="20"/>
                <w:szCs w:val="20"/>
              </w:rPr>
            </w:pPr>
            <w:r>
              <w:rPr>
                <w:rFonts w:ascii="Arial" w:hAnsi="Arial"/>
                <w:sz w:val="20"/>
              </w:rPr>
              <w:t>Mbikëqyrja: 7,500,000 EUR</w:t>
            </w:r>
          </w:p>
          <w:p w14:paraId="5783009E" w14:textId="0A1F3C3E" w:rsidR="00C66774" w:rsidRPr="00781F2E" w:rsidRDefault="00C66774" w:rsidP="00E7158F">
            <w:pPr>
              <w:spacing w:after="0" w:line="240" w:lineRule="exact"/>
              <w:rPr>
                <w:rFonts w:ascii="Arial" w:hAnsi="Arial" w:cs="Arial"/>
                <w:bCs/>
                <w:sz w:val="20"/>
                <w:szCs w:val="20"/>
                <w:lang w:val="en-US"/>
              </w:rPr>
            </w:pPr>
          </w:p>
        </w:tc>
      </w:tr>
      <w:tr w:rsidR="00C66774" w:rsidRPr="00781F2E" w14:paraId="11FDCB05"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4F8AE8FB" w14:textId="7909974D" w:rsidR="00C66774" w:rsidRPr="00781F2E" w:rsidRDefault="00C66774" w:rsidP="00C66774">
            <w:pPr>
              <w:spacing w:before="60" w:after="60" w:line="260" w:lineRule="atLeast"/>
              <w:rPr>
                <w:rFonts w:ascii="Arial" w:hAnsi="Arial" w:cs="Arial"/>
                <w:b/>
                <w:sz w:val="20"/>
                <w:szCs w:val="20"/>
              </w:rPr>
            </w:pPr>
            <w:r>
              <w:rPr>
                <w:rFonts w:ascii="Arial" w:hAnsi="Arial"/>
                <w:b/>
                <w:sz w:val="20"/>
              </w:rPr>
              <w:t>Personi përgjegj</w:t>
            </w:r>
            <w:r w:rsidR="009239C5">
              <w:rPr>
                <w:rFonts w:ascii="Arial" w:hAnsi="Arial"/>
                <w:b/>
                <w:sz w:val="20"/>
              </w:rPr>
              <w:t>ës ose i autorizuar për kontakt</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tcPr>
          <w:p w14:paraId="1F18B5A9" w14:textId="000E01A5" w:rsidR="00C66774" w:rsidRPr="00781F2E" w:rsidRDefault="00D02ED6" w:rsidP="00D951A9">
            <w:pPr>
              <w:spacing w:before="60" w:after="60" w:line="260" w:lineRule="atLeast"/>
              <w:rPr>
                <w:rFonts w:ascii="Arial" w:hAnsi="Arial" w:cs="Arial"/>
                <w:b/>
                <w:sz w:val="20"/>
                <w:szCs w:val="20"/>
              </w:rPr>
            </w:pPr>
            <w:r>
              <w:rPr>
                <w:rFonts w:ascii="Arial" w:hAnsi="Arial"/>
                <w:sz w:val="20"/>
              </w:rPr>
              <w:t xml:space="preserve">Besim Veselaj; Rina Kryeziu – Rogova </w:t>
            </w:r>
          </w:p>
        </w:tc>
      </w:tr>
      <w:tr w:rsidR="008D13EC" w:rsidRPr="00781F2E" w14:paraId="2F9A8379"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0624240" w14:textId="2DC7EC00" w:rsidR="008D13EC" w:rsidRPr="00781F2E" w:rsidRDefault="009239C5" w:rsidP="008D13EC">
            <w:pPr>
              <w:spacing w:before="60" w:after="60" w:line="260" w:lineRule="atLeast"/>
              <w:rPr>
                <w:rFonts w:ascii="Arial" w:hAnsi="Arial" w:cs="Arial"/>
                <w:bCs/>
                <w:sz w:val="20"/>
                <w:szCs w:val="20"/>
              </w:rPr>
            </w:pPr>
            <w:r>
              <w:rPr>
                <w:rFonts w:ascii="Arial" w:hAnsi="Arial"/>
                <w:sz w:val="20"/>
              </w:rPr>
              <w:t>Emri – Pozita</w:t>
            </w:r>
          </w:p>
        </w:tc>
        <w:tc>
          <w:tcPr>
            <w:tcW w:w="3011" w:type="pct"/>
            <w:tcBorders>
              <w:top w:val="single" w:sz="4" w:space="0" w:color="auto"/>
              <w:left w:val="single" w:sz="4" w:space="0" w:color="auto"/>
              <w:bottom w:val="single" w:sz="4" w:space="0" w:color="auto"/>
              <w:right w:val="single" w:sz="4" w:space="0" w:color="auto"/>
            </w:tcBorders>
            <w:vAlign w:val="center"/>
          </w:tcPr>
          <w:p w14:paraId="64947D5F" w14:textId="17098F45" w:rsidR="008D13EC" w:rsidRPr="00781F2E" w:rsidRDefault="00017C2C" w:rsidP="00017C2C">
            <w:pPr>
              <w:spacing w:before="60" w:after="60" w:line="260" w:lineRule="atLeast"/>
              <w:rPr>
                <w:rFonts w:ascii="Arial" w:hAnsi="Arial" w:cs="Arial"/>
                <w:sz w:val="20"/>
                <w:szCs w:val="20"/>
              </w:rPr>
            </w:pPr>
            <w:r>
              <w:rPr>
                <w:rFonts w:ascii="Arial" w:hAnsi="Arial"/>
                <w:sz w:val="20"/>
              </w:rPr>
              <w:t>Shef i Divizionit për Sistemet Energjetike; Zyrtar i Lartë i sistemeve të ngrohjes dhe gazit natyror</w:t>
            </w:r>
          </w:p>
        </w:tc>
      </w:tr>
      <w:tr w:rsidR="008D13EC" w:rsidRPr="00B05BF9" w14:paraId="5C434382" w14:textId="77777777" w:rsidTr="001B44CE">
        <w:trPr>
          <w:trHeight w:val="7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5B28A41" w14:textId="0FFC6A87" w:rsidR="008D13EC" w:rsidRPr="00781F2E" w:rsidRDefault="009239C5" w:rsidP="008D13EC">
            <w:pPr>
              <w:spacing w:before="60" w:after="60" w:line="260" w:lineRule="atLeast"/>
              <w:rPr>
                <w:rFonts w:ascii="Arial" w:hAnsi="Arial" w:cs="Arial"/>
                <w:bCs/>
                <w:sz w:val="20"/>
                <w:szCs w:val="20"/>
              </w:rPr>
            </w:pPr>
            <w:r>
              <w:rPr>
                <w:rFonts w:ascii="Arial" w:hAnsi="Arial"/>
                <w:sz w:val="20"/>
              </w:rPr>
              <w:t>Adresa e emailit - Telefoni</w:t>
            </w:r>
          </w:p>
        </w:tc>
        <w:tc>
          <w:tcPr>
            <w:tcW w:w="3011" w:type="pct"/>
            <w:tcBorders>
              <w:top w:val="single" w:sz="4" w:space="0" w:color="auto"/>
              <w:left w:val="single" w:sz="4" w:space="0" w:color="auto"/>
              <w:bottom w:val="single" w:sz="4" w:space="0" w:color="auto"/>
              <w:right w:val="single" w:sz="4" w:space="0" w:color="auto"/>
            </w:tcBorders>
            <w:vAlign w:val="center"/>
          </w:tcPr>
          <w:p w14:paraId="3D6EBC86" w14:textId="7451CF49" w:rsidR="008D13EC" w:rsidRPr="00F71D6B" w:rsidRDefault="00126F45" w:rsidP="009173CC">
            <w:pPr>
              <w:spacing w:before="60" w:after="60" w:line="260" w:lineRule="atLeast"/>
              <w:rPr>
                <w:rFonts w:ascii="Arial" w:hAnsi="Arial" w:cs="Arial"/>
                <w:sz w:val="20"/>
                <w:szCs w:val="20"/>
                <w:u w:val="single"/>
              </w:rPr>
            </w:pPr>
            <w:hyperlink r:id="rId9" w:history="1">
              <w:r w:rsidR="005D3B2B">
                <w:rPr>
                  <w:rStyle w:val="Hyperlink"/>
                  <w:rFonts w:ascii="Arial" w:hAnsi="Arial"/>
                  <w:sz w:val="20"/>
                </w:rPr>
                <w:t>besim.veselaj@rks-gov.net</w:t>
              </w:r>
            </w:hyperlink>
            <w:r w:rsidR="005D3B2B">
              <w:rPr>
                <w:rStyle w:val="Hyperlink"/>
                <w:rFonts w:ascii="Arial" w:hAnsi="Arial"/>
                <w:color w:val="auto"/>
                <w:sz w:val="20"/>
              </w:rPr>
              <w:t>;</w:t>
            </w:r>
            <w:r w:rsidR="005D3B2B">
              <w:rPr>
                <w:rStyle w:val="Hyperlink"/>
                <w:rFonts w:ascii="Arial" w:hAnsi="Arial"/>
                <w:color w:val="auto"/>
                <w:sz w:val="20"/>
                <w:u w:val="none"/>
              </w:rPr>
              <w:t xml:space="preserve">  </w:t>
            </w:r>
            <w:hyperlink r:id="rId10" w:history="1">
              <w:r w:rsidR="005D3B2B">
                <w:rPr>
                  <w:rStyle w:val="Hyperlink"/>
                  <w:rFonts w:ascii="Arial" w:hAnsi="Arial"/>
                  <w:sz w:val="20"/>
                </w:rPr>
                <w:t>rina.kryeziu.rogova@rks-gov.net</w:t>
              </w:r>
            </w:hyperlink>
            <w:r w:rsidR="005D3B2B">
              <w:rPr>
                <w:rFonts w:ascii="Arial" w:hAnsi="Arial"/>
                <w:sz w:val="20"/>
              </w:rPr>
              <w:t>; tel: +383 38 200 215 73</w:t>
            </w:r>
          </w:p>
        </w:tc>
      </w:tr>
    </w:tbl>
    <w:p w14:paraId="1B81C279" w14:textId="77777777" w:rsidR="0074067A" w:rsidRPr="005B0BC3" w:rsidRDefault="0074067A" w:rsidP="0074067A">
      <w:pPr>
        <w:pStyle w:val="ListParagraph"/>
        <w:spacing w:before="200" w:after="120"/>
        <w:ind w:left="340"/>
        <w:jc w:val="both"/>
        <w:rPr>
          <w:rFonts w:cs="Arial"/>
          <w:b/>
          <w:szCs w:val="20"/>
          <w:lang w:val="de-DE"/>
        </w:rPr>
      </w:pPr>
    </w:p>
    <w:p w14:paraId="5C0E532E" w14:textId="09828A20" w:rsidR="0083451C" w:rsidRPr="002136A1" w:rsidRDefault="0074067A" w:rsidP="002136A1">
      <w:pPr>
        <w:pStyle w:val="ListParagraph"/>
        <w:numPr>
          <w:ilvl w:val="0"/>
          <w:numId w:val="37"/>
        </w:numPr>
        <w:spacing w:before="200" w:after="120"/>
        <w:jc w:val="both"/>
        <w:rPr>
          <w:rFonts w:cs="Arial"/>
          <w:b/>
          <w:szCs w:val="20"/>
        </w:rPr>
      </w:pPr>
      <w:r>
        <w:rPr>
          <w:b/>
        </w:rPr>
        <w:t>PËRSHKRIMI I PROJEKTIT</w:t>
      </w:r>
    </w:p>
    <w:tbl>
      <w:tblPr>
        <w:tblW w:w="5000" w:type="pct"/>
        <w:tblLook w:val="01E0" w:firstRow="1" w:lastRow="1" w:firstColumn="1" w:lastColumn="1" w:noHBand="0" w:noVBand="0"/>
      </w:tblPr>
      <w:tblGrid>
        <w:gridCol w:w="3687"/>
        <w:gridCol w:w="6214"/>
      </w:tblGrid>
      <w:tr w:rsidR="00DD187D" w:rsidRPr="00781F2E" w14:paraId="695C1416" w14:textId="77777777" w:rsidTr="00D012CC">
        <w:trPr>
          <w:trHeight w:val="908"/>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2C99E088" w14:textId="77777777" w:rsidR="00DD187D" w:rsidRPr="00781F2E" w:rsidRDefault="00DD187D" w:rsidP="00DD187D">
            <w:pPr>
              <w:spacing w:before="60" w:after="60" w:line="260" w:lineRule="atLeast"/>
              <w:rPr>
                <w:rFonts w:ascii="Arial" w:hAnsi="Arial" w:cs="Arial"/>
                <w:bCs/>
                <w:sz w:val="20"/>
                <w:szCs w:val="20"/>
              </w:rPr>
            </w:pPr>
            <w:r>
              <w:rPr>
                <w:rFonts w:ascii="Arial" w:hAnsi="Arial"/>
                <w:sz w:val="20"/>
              </w:rPr>
              <w:t>Qëllimi i projektit infrastrukturor</w:t>
            </w:r>
          </w:p>
        </w:tc>
        <w:tc>
          <w:tcPr>
            <w:tcW w:w="3138" w:type="pct"/>
            <w:tcBorders>
              <w:top w:val="single" w:sz="4" w:space="0" w:color="auto"/>
              <w:left w:val="single" w:sz="4" w:space="0" w:color="auto"/>
              <w:bottom w:val="single" w:sz="4" w:space="0" w:color="auto"/>
              <w:right w:val="single" w:sz="4" w:space="0" w:color="auto"/>
            </w:tcBorders>
          </w:tcPr>
          <w:p w14:paraId="26478C90" w14:textId="668653A3" w:rsidR="00DD187D" w:rsidRPr="001B44CE" w:rsidRDefault="00DD187D" w:rsidP="005A2C5B">
            <w:pPr>
              <w:spacing w:after="60" w:line="260" w:lineRule="atLeast"/>
              <w:jc w:val="both"/>
              <w:rPr>
                <w:rFonts w:ascii="Arial" w:hAnsi="Arial" w:cs="Arial"/>
                <w:bCs/>
                <w:sz w:val="20"/>
                <w:szCs w:val="20"/>
              </w:rPr>
            </w:pPr>
            <w:r>
              <w:rPr>
                <w:rFonts w:ascii="Arial" w:hAnsi="Arial"/>
                <w:sz w:val="20"/>
              </w:rPr>
              <w:t xml:space="preserve">Qëllimi i projektit është vlerësimi i konsumit të ngrohjes dhe ndërtimi i sistemeve të ngrohjes bazuar në konceptet e gjenerimit dhe/ose të kogjenerimit për sistemet e ngrohjes qendrore në komunat e Obiliqit, </w:t>
            </w:r>
            <w:r>
              <w:rPr>
                <w:rFonts w:ascii="Arial" w:hAnsi="Arial"/>
                <w:sz w:val="20"/>
              </w:rPr>
              <w:lastRenderedPageBreak/>
              <w:t xml:space="preserve">Zveçanit, Mitrovicës, Drenasit, Pejës, Prizrenit, Ferizajt, Gjilanit me potencial përkatës për ngrohje. </w:t>
            </w:r>
          </w:p>
          <w:p w14:paraId="21E82AE9" w14:textId="55679EDC" w:rsidR="00DD187D" w:rsidRPr="001B44CE" w:rsidRDefault="00F25462" w:rsidP="00AE36A9">
            <w:pPr>
              <w:spacing w:before="120" w:after="60" w:line="260" w:lineRule="atLeast"/>
              <w:jc w:val="both"/>
              <w:rPr>
                <w:rFonts w:ascii="Arial" w:hAnsi="Arial" w:cs="Arial"/>
                <w:bCs/>
                <w:sz w:val="20"/>
                <w:szCs w:val="20"/>
              </w:rPr>
            </w:pPr>
            <w:r>
              <w:rPr>
                <w:rFonts w:ascii="Arial" w:hAnsi="Arial"/>
                <w:sz w:val="20"/>
              </w:rPr>
              <w:t xml:space="preserve">Projekti do të ndihmojë në përmirësimin e furnizimit me energji dhe diversifikimin e burimeve të energjisë për sektorin e ngrohjes duke përmirësuar mirëqenien, cilësinë e jetës dhe shëndetin e qytetarëve të Kosovës.   </w:t>
            </w:r>
          </w:p>
          <w:p w14:paraId="62C2E1C4" w14:textId="77777777" w:rsidR="00DD187D" w:rsidRPr="001B44CE" w:rsidRDefault="00DD187D" w:rsidP="00AE36A9">
            <w:pPr>
              <w:spacing w:before="120" w:after="60" w:line="260" w:lineRule="atLeast"/>
              <w:jc w:val="both"/>
              <w:rPr>
                <w:rFonts w:ascii="Arial" w:hAnsi="Arial" w:cs="Arial"/>
                <w:bCs/>
                <w:sz w:val="20"/>
                <w:szCs w:val="20"/>
              </w:rPr>
            </w:pPr>
            <w:r>
              <w:rPr>
                <w:rFonts w:ascii="Arial" w:hAnsi="Arial"/>
                <w:sz w:val="20"/>
              </w:rPr>
              <w:t xml:space="preserve">Në raste të veçanta, projekti do të vlerësojë gjithashtu mundësitë për zgjerimin e rrjetit të sistemeve të ngrohjes dhe përmirësimin e kapaciteteve ekzistuese të ngrohjes. </w:t>
            </w:r>
          </w:p>
        </w:tc>
      </w:tr>
      <w:tr w:rsidR="00DD187D" w:rsidRPr="00781F2E" w14:paraId="577195CA" w14:textId="77777777" w:rsidTr="0098031C">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0C7B81D0" w14:textId="77777777" w:rsidR="00DD187D" w:rsidRPr="00781F2E" w:rsidRDefault="00DD187D" w:rsidP="00DD187D">
            <w:pPr>
              <w:spacing w:before="60" w:after="60" w:line="260" w:lineRule="atLeast"/>
              <w:rPr>
                <w:rFonts w:ascii="Arial" w:hAnsi="Arial" w:cs="Arial"/>
                <w:bCs/>
                <w:sz w:val="20"/>
                <w:szCs w:val="20"/>
              </w:rPr>
            </w:pPr>
            <w:r>
              <w:rPr>
                <w:rFonts w:ascii="Arial" w:hAnsi="Arial"/>
                <w:sz w:val="20"/>
              </w:rPr>
              <w:lastRenderedPageBreak/>
              <w:t>Rezultatet e projektit infrastrukturor</w:t>
            </w:r>
          </w:p>
        </w:tc>
        <w:tc>
          <w:tcPr>
            <w:tcW w:w="3138" w:type="pct"/>
            <w:tcBorders>
              <w:top w:val="single" w:sz="4" w:space="0" w:color="auto"/>
              <w:left w:val="single" w:sz="4" w:space="0" w:color="auto"/>
              <w:bottom w:val="single" w:sz="4" w:space="0" w:color="auto"/>
              <w:right w:val="single" w:sz="4" w:space="0" w:color="auto"/>
            </w:tcBorders>
          </w:tcPr>
          <w:p w14:paraId="792FB8AA" w14:textId="1C7E4694" w:rsidR="00DD187D" w:rsidRPr="001B44CE" w:rsidRDefault="00DD187D" w:rsidP="00AE36A9">
            <w:pPr>
              <w:spacing w:before="120" w:line="260" w:lineRule="atLeast"/>
              <w:jc w:val="both"/>
              <w:rPr>
                <w:rFonts w:ascii="Arial" w:eastAsia="Calibri" w:hAnsi="Arial" w:cs="Arial"/>
                <w:sz w:val="20"/>
                <w:szCs w:val="20"/>
              </w:rPr>
            </w:pPr>
            <w:r>
              <w:rPr>
                <w:rFonts w:ascii="Arial" w:hAnsi="Arial"/>
                <w:sz w:val="20"/>
              </w:rPr>
              <w:t>Më poshtë janë rezultatet e pritshme të projektit për zbatimin e sistemeve të ngrohjes qendrore në komunat me potencial ngrohjeje:</w:t>
            </w:r>
          </w:p>
          <w:p w14:paraId="1BBE7692" w14:textId="7B3C3E2D" w:rsidR="003F66B7" w:rsidRPr="001B44CE" w:rsidRDefault="003F66B7" w:rsidP="005A2C5B">
            <w:pPr>
              <w:pStyle w:val="ListParagraph"/>
              <w:numPr>
                <w:ilvl w:val="0"/>
                <w:numId w:val="49"/>
              </w:numPr>
              <w:jc w:val="both"/>
              <w:rPr>
                <w:rFonts w:cs="Arial"/>
                <w:bCs/>
                <w:szCs w:val="20"/>
              </w:rPr>
            </w:pPr>
            <w:r>
              <w:t>Konsumi i ngrohjes i vlerësuar;</w:t>
            </w:r>
          </w:p>
          <w:p w14:paraId="46B2D38E" w14:textId="679BCB2A" w:rsidR="003F66B7" w:rsidRPr="001B44CE" w:rsidRDefault="005A2C5B" w:rsidP="005A2C5B">
            <w:pPr>
              <w:pStyle w:val="ListParagraph"/>
              <w:numPr>
                <w:ilvl w:val="0"/>
                <w:numId w:val="49"/>
              </w:numPr>
              <w:jc w:val="both"/>
              <w:rPr>
                <w:rFonts w:cs="Arial"/>
                <w:bCs/>
                <w:szCs w:val="20"/>
              </w:rPr>
            </w:pPr>
            <w:r>
              <w:t>Lënda djegëse për ngrohje e identifikuar;</w:t>
            </w:r>
          </w:p>
          <w:p w14:paraId="5AB85888" w14:textId="68722266" w:rsidR="003F66B7" w:rsidRPr="001B44CE" w:rsidRDefault="00F71D6B" w:rsidP="005A2C5B">
            <w:pPr>
              <w:pStyle w:val="ListParagraph"/>
              <w:numPr>
                <w:ilvl w:val="0"/>
                <w:numId w:val="49"/>
              </w:numPr>
              <w:spacing w:before="120" w:after="60" w:line="260" w:lineRule="atLeast"/>
              <w:rPr>
                <w:rFonts w:cs="Arial"/>
                <w:bCs/>
                <w:szCs w:val="20"/>
              </w:rPr>
            </w:pPr>
            <w:r>
              <w:t>Përmirësimi i mbrojtjes së mjedisit dhe reduktimi i emetimeve të dëmshme të GHG dhe emetimeve të CO</w:t>
            </w:r>
            <w:r>
              <w:rPr>
                <w:vertAlign w:val="subscript"/>
              </w:rPr>
              <w:t>2</w:t>
            </w:r>
            <w:r>
              <w:t>;</w:t>
            </w:r>
          </w:p>
          <w:p w14:paraId="6D2947EC" w14:textId="7D9E8CB3" w:rsidR="003F66B7" w:rsidRPr="001B44CE" w:rsidRDefault="003F66B7" w:rsidP="005A2C5B">
            <w:pPr>
              <w:pStyle w:val="ListParagraph"/>
              <w:numPr>
                <w:ilvl w:val="0"/>
                <w:numId w:val="49"/>
              </w:numPr>
              <w:spacing w:before="120" w:after="60" w:line="260" w:lineRule="atLeast"/>
              <w:jc w:val="both"/>
              <w:rPr>
                <w:rFonts w:cs="Arial"/>
                <w:bCs/>
                <w:szCs w:val="20"/>
              </w:rPr>
            </w:pPr>
            <w:r>
              <w:t>Kontributi në objektivat e ardhshme të BRE dhe EE;</w:t>
            </w:r>
          </w:p>
          <w:p w14:paraId="63B925DD" w14:textId="4688B393" w:rsidR="003F66B7" w:rsidRPr="001B44CE" w:rsidRDefault="001E4498" w:rsidP="005A2C5B">
            <w:pPr>
              <w:pStyle w:val="ListParagraph"/>
              <w:numPr>
                <w:ilvl w:val="0"/>
                <w:numId w:val="49"/>
              </w:numPr>
              <w:spacing w:before="120" w:after="60" w:line="260" w:lineRule="atLeast"/>
              <w:jc w:val="both"/>
              <w:rPr>
                <w:rFonts w:cs="Arial"/>
                <w:bCs/>
                <w:szCs w:val="20"/>
              </w:rPr>
            </w:pPr>
            <w:r>
              <w:t>Përmirësimi i sigurisë së furnizimit me energji;</w:t>
            </w:r>
          </w:p>
          <w:p w14:paraId="50EE7650" w14:textId="76A66A97" w:rsidR="003F66B7" w:rsidRPr="001B44CE" w:rsidRDefault="005A2C5B" w:rsidP="005A2C5B">
            <w:pPr>
              <w:pStyle w:val="ListParagraph"/>
              <w:numPr>
                <w:ilvl w:val="0"/>
                <w:numId w:val="49"/>
              </w:numPr>
              <w:spacing w:before="120" w:after="60" w:line="260" w:lineRule="atLeast"/>
              <w:jc w:val="both"/>
              <w:rPr>
                <w:rFonts w:cs="Arial"/>
                <w:bCs/>
                <w:szCs w:val="20"/>
              </w:rPr>
            </w:pPr>
            <w:r>
              <w:t>Diversifikimi i burimeve të energjisë për ngrohje;</w:t>
            </w:r>
          </w:p>
          <w:p w14:paraId="35068063" w14:textId="377A4C56" w:rsidR="00F71D6B" w:rsidRDefault="005A2C5B" w:rsidP="005A2C5B">
            <w:pPr>
              <w:pStyle w:val="ListParagraph"/>
              <w:numPr>
                <w:ilvl w:val="0"/>
                <w:numId w:val="49"/>
              </w:numPr>
              <w:rPr>
                <w:rFonts w:cs="Arial"/>
                <w:szCs w:val="20"/>
              </w:rPr>
            </w:pPr>
            <w:r>
              <w:t>Reduktimi i importeve, kostos dhe konsumit të energjisë elektrike për ngrohje;</w:t>
            </w:r>
          </w:p>
          <w:p w14:paraId="2F870625" w14:textId="5EF05567" w:rsidR="00F71D6B" w:rsidRPr="00F71D6B" w:rsidRDefault="00F71D6B" w:rsidP="005A2C5B">
            <w:pPr>
              <w:pStyle w:val="ListParagraph"/>
              <w:numPr>
                <w:ilvl w:val="0"/>
                <w:numId w:val="49"/>
              </w:numPr>
              <w:rPr>
                <w:rFonts w:cs="Arial"/>
                <w:szCs w:val="20"/>
              </w:rPr>
            </w:pPr>
            <w:r>
              <w:rPr>
                <w:rStyle w:val="y2iqfc"/>
              </w:rPr>
              <w:t>Ndërtimi i centraleve për ngrohje, zgjerimi i rrjetit nëpër komuna dhe ndërtimi i nënstacioneve;</w:t>
            </w:r>
          </w:p>
          <w:p w14:paraId="3EC2EFAD" w14:textId="45093679" w:rsidR="006C6216" w:rsidRPr="006C6216" w:rsidRDefault="00F71D6B" w:rsidP="005A2C5B">
            <w:pPr>
              <w:pStyle w:val="ListParagraph"/>
              <w:numPr>
                <w:ilvl w:val="0"/>
                <w:numId w:val="49"/>
              </w:numPr>
              <w:spacing w:before="120" w:after="60" w:line="260" w:lineRule="atLeast"/>
              <w:rPr>
                <w:szCs w:val="20"/>
              </w:rPr>
            </w:pPr>
            <w:r>
              <w:t>Krijimi i vendeve të reja të punës dhe reduktimi i papunësisë.</w:t>
            </w:r>
          </w:p>
        </w:tc>
      </w:tr>
      <w:tr w:rsidR="00DD187D" w:rsidRPr="00781F2E" w14:paraId="74F3C7D4" w14:textId="77777777" w:rsidTr="00D012CC">
        <w:trPr>
          <w:trHeight w:val="638"/>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3B8C4D56" w14:textId="69CF50D6" w:rsidR="00DD187D" w:rsidRPr="00781F2E" w:rsidRDefault="00DD187D" w:rsidP="005A2C5B">
            <w:pPr>
              <w:spacing w:before="60" w:after="60" w:line="260" w:lineRule="atLeast"/>
              <w:rPr>
                <w:rFonts w:ascii="Arial" w:hAnsi="Arial" w:cs="Arial"/>
                <w:bCs/>
                <w:sz w:val="20"/>
                <w:szCs w:val="20"/>
              </w:rPr>
            </w:pPr>
            <w:r>
              <w:rPr>
                <w:rFonts w:ascii="Arial" w:hAnsi="Arial"/>
                <w:sz w:val="20"/>
              </w:rPr>
              <w:t xml:space="preserve">Përshkrimi i përgjithshëm </w:t>
            </w:r>
          </w:p>
        </w:tc>
        <w:tc>
          <w:tcPr>
            <w:tcW w:w="3138" w:type="pct"/>
            <w:tcBorders>
              <w:top w:val="single" w:sz="4" w:space="0" w:color="auto"/>
              <w:left w:val="single" w:sz="4" w:space="0" w:color="auto"/>
              <w:bottom w:val="single" w:sz="4" w:space="0" w:color="auto"/>
              <w:right w:val="single" w:sz="4" w:space="0" w:color="auto"/>
            </w:tcBorders>
          </w:tcPr>
          <w:p w14:paraId="2AE896C4" w14:textId="079CAEB0" w:rsidR="00AC59C3" w:rsidRPr="00034F43" w:rsidRDefault="00AC59C3" w:rsidP="00AC59C3">
            <w:pPr>
              <w:spacing w:before="120" w:after="60" w:line="260" w:lineRule="atLeast"/>
              <w:jc w:val="both"/>
              <w:rPr>
                <w:rFonts w:ascii="Arial" w:hAnsi="Arial" w:cs="Arial"/>
                <w:bCs/>
                <w:sz w:val="20"/>
                <w:szCs w:val="20"/>
              </w:rPr>
            </w:pPr>
            <w:r>
              <w:rPr>
                <w:rFonts w:ascii="Arial" w:hAnsi="Arial"/>
                <w:sz w:val="20"/>
              </w:rPr>
              <w:t>Sektori i ngrohjes konsumon më shumë energji se çdo segment tjetër i sistemit të energjisë elektrike të Kosovës, ngjashëm me shumicën e vendeve të Evropës kontinentale. Burimet kryesore për ngrohje janë biomasa (kryesisht dru zjarri) dhe energjia elektrike, ndërsa qymyri, gazi i lëngshëm i naftës (LPG) dhe nafta përdoren në një masë më të vogël. Sistemet e brendshme të ngrohjes në ndërtesat e banimit në Kosovë përdorin dru, energji elektrike dhe gaz të lëngshëm të naftës (LPG), ndërsa sektori i shërbimeve komunale përdor naftë dhe qymyr, si dhe dru, LPG dhe energji elektrike.</w:t>
            </w:r>
          </w:p>
          <w:p w14:paraId="37ECAECD" w14:textId="52E51CD0" w:rsidR="00AC59C3" w:rsidRDefault="00AC59C3" w:rsidP="00AC59C3">
            <w:pPr>
              <w:spacing w:before="120" w:after="60" w:line="260" w:lineRule="atLeast"/>
              <w:jc w:val="both"/>
              <w:rPr>
                <w:rFonts w:ascii="Arial" w:hAnsi="Arial" w:cs="Arial"/>
                <w:bCs/>
                <w:sz w:val="20"/>
                <w:szCs w:val="20"/>
              </w:rPr>
            </w:pPr>
            <w:r>
              <w:rPr>
                <w:rFonts w:ascii="Arial" w:hAnsi="Arial"/>
                <w:sz w:val="20"/>
              </w:rPr>
              <w:t>Konsumi i lartë i druve të zjarrit rezulton në shpyllëzim, duke shkaktuar ndikime të pafavorshme klimatike, mjedisore, ekonomike dhe shëndetësore. Rreth 57% e familjeve përdorin dru si burim ngrohjeje, rreth 39% përdorin vetëm energji elektrike si burim ngrohjeje, 0.5% përdorin qymyrin si burim ngrohjeje, 2% përdorin ngrohje qendrore dhe 2% përdorin alternativa të tjera.</w:t>
            </w:r>
          </w:p>
          <w:p w14:paraId="0DFAC0E6" w14:textId="7E898AB0" w:rsidR="00AC59C3" w:rsidRPr="00972160" w:rsidRDefault="00AC59C3" w:rsidP="00AC59C3">
            <w:pPr>
              <w:spacing w:before="120" w:after="60" w:line="260" w:lineRule="atLeast"/>
              <w:jc w:val="both"/>
              <w:rPr>
                <w:rFonts w:ascii="Arial" w:hAnsi="Arial" w:cs="Arial"/>
                <w:bCs/>
                <w:sz w:val="20"/>
                <w:szCs w:val="20"/>
              </w:rPr>
            </w:pPr>
            <w:r>
              <w:rPr>
                <w:rFonts w:ascii="Arial" w:hAnsi="Arial"/>
                <w:sz w:val="20"/>
              </w:rPr>
              <w:t>Sektori i ngrohjes qendrore në Kosovë përbëhet nga katër sisteme: NQ "Termokos" - Prishtina, NQ "Gjakova" - Gjakova, NQ "Termomit" – Mitrovica, dhe një NQ që operon në Zveçan. Ky sektor ka mbulim shumë të kufizuar në vend, afërsisht 3% deri në 5% të kërkesës totale për ngrohje në Kosovë, sipas Raportit Vjetor 2021 të ZRRE-së</w:t>
            </w:r>
            <w:r w:rsidRPr="003A4F6C">
              <w:footnoteReference w:id="1"/>
            </w:r>
            <w:r>
              <w:rPr>
                <w:rFonts w:ascii="Arial" w:hAnsi="Arial"/>
                <w:sz w:val="20"/>
              </w:rPr>
              <w:t>, dhe kapaciteti total i instaluar gjenerues vlerësohet të jetë rreth 298 megavat (MWth).</w:t>
            </w:r>
          </w:p>
          <w:p w14:paraId="049B48C5" w14:textId="3A71CE57" w:rsidR="00AC59C3" w:rsidRPr="003A4F6C" w:rsidRDefault="00E803EB" w:rsidP="003A4F6C">
            <w:pPr>
              <w:pBdr>
                <w:top w:val="nil"/>
                <w:left w:val="nil"/>
                <w:bottom w:val="nil"/>
                <w:right w:val="nil"/>
                <w:between w:val="nil"/>
              </w:pBdr>
              <w:spacing w:after="120" w:line="252" w:lineRule="auto"/>
              <w:jc w:val="both"/>
              <w:rPr>
                <w:rFonts w:ascii="Arial" w:hAnsi="Arial" w:cs="Arial"/>
                <w:bCs/>
                <w:sz w:val="20"/>
                <w:szCs w:val="20"/>
              </w:rPr>
            </w:pPr>
            <w:r>
              <w:rPr>
                <w:rFonts w:ascii="Arial" w:hAnsi="Arial"/>
                <w:sz w:val="20"/>
              </w:rPr>
              <w:t>Në tetor 2021 filloi studimi i fizibilitetit dhe vlerësimi i ndikimit mjedisor dhe social (VNMS) për sistemet e ngrohjes qendrore në tetë komuna (Pejë, Prizren, Gjilan, Ferizaj, Mitrovicë, Drenas, Obiliq dhe Zveçan).</w:t>
            </w:r>
            <w:bookmarkStart w:id="0" w:name="_Hlk90554440"/>
            <w:r>
              <w:rPr>
                <w:rFonts w:ascii="Arial" w:hAnsi="Arial"/>
                <w:sz w:val="20"/>
              </w:rPr>
              <w:t xml:space="preserve"> </w:t>
            </w:r>
            <w:bookmarkEnd w:id="0"/>
            <w:r>
              <w:rPr>
                <w:rFonts w:ascii="Arial" w:hAnsi="Arial"/>
                <w:sz w:val="20"/>
              </w:rPr>
              <w:t xml:space="preserve">Ky studim është kryer brenda platformës KIBP dhe qëllimi i studimit është të analizojë dhe vlerësojë fizibilitetin teknik dhe teknologjik, fizibilitetin ekonomik dhe mjedisor të ngrohjes qendrore brenda Zonës së Projektit, duke marrë parasysh aspektet institucionale dhe </w:t>
            </w:r>
            <w:r>
              <w:rPr>
                <w:rFonts w:ascii="Arial" w:hAnsi="Arial"/>
                <w:sz w:val="20"/>
              </w:rPr>
              <w:lastRenderedPageBreak/>
              <w:t xml:space="preserve">rregulloret aktuale dhe, më tej, të shqyrtojë nëse dhe në çfarë kushtesh, sistemet e ngrohjes qendrore janë teknikisht dhe ekonomikisht të realizueshme. </w:t>
            </w:r>
          </w:p>
          <w:p w14:paraId="75409511" w14:textId="75217326" w:rsidR="00216534" w:rsidRPr="003A4F6C" w:rsidRDefault="00AC59C3" w:rsidP="00AC59C3">
            <w:pPr>
              <w:pStyle w:val="NumberedParagraph"/>
              <w:numPr>
                <w:ilvl w:val="0"/>
                <w:numId w:val="0"/>
              </w:numPr>
              <w:rPr>
                <w:rFonts w:ascii="Arial" w:hAnsi="Arial" w:cs="Arial"/>
                <w:bCs/>
                <w:sz w:val="20"/>
                <w:szCs w:val="20"/>
              </w:rPr>
            </w:pPr>
            <w:r>
              <w:rPr>
                <w:rFonts w:ascii="Arial" w:hAnsi="Arial"/>
                <w:sz w:val="20"/>
              </w:rPr>
              <w:t xml:space="preserve">Projekti do të fokusohet kryesisht në përdorimin e nxehtësisë nga mbeturinat dhe burimet e ripërtëritshme të energjisë si dielli, biomasa, energjia gjeotermale, nxehtësia e ujërave nëntokësore me pompa nxehtësie, zgjidhjet e kogjenerimit, biogazit, etj. </w:t>
            </w:r>
          </w:p>
          <w:p w14:paraId="36E17065" w14:textId="794EDCE0" w:rsidR="00AC59C3" w:rsidRPr="003A4F6C" w:rsidRDefault="00AC59C3" w:rsidP="00AC59C3">
            <w:pPr>
              <w:pStyle w:val="NumberedParagraph"/>
              <w:numPr>
                <w:ilvl w:val="0"/>
                <w:numId w:val="0"/>
              </w:numPr>
              <w:rPr>
                <w:rFonts w:ascii="Arial" w:hAnsi="Arial" w:cs="Arial"/>
                <w:bCs/>
                <w:sz w:val="20"/>
                <w:szCs w:val="20"/>
              </w:rPr>
            </w:pPr>
            <w:r>
              <w:rPr>
                <w:rFonts w:ascii="Arial" w:hAnsi="Arial"/>
                <w:sz w:val="20"/>
              </w:rPr>
              <w:t>Për secilin nga tetë qytetet (zona e projektit), Studimi i Fizibilitetit do të prodhojë rezultatet e mëposhtme:</w:t>
            </w:r>
          </w:p>
          <w:p w14:paraId="01A19FA6" w14:textId="75B3D186"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Vlerësimi i kërkesës për ngrohje;</w:t>
            </w:r>
          </w:p>
          <w:p w14:paraId="30764553" w14:textId="0E7A0A6D"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Vlerësimi i potencialit për kogjenerim me efikasitet të lartë, mundësia e përdorimit të BRE-ve, gazit dhe lëndëve djegëse të tjera për ngrohje që janë më pak të dëmshme për mjedisin sesa linjiti;</w:t>
            </w:r>
          </w:p>
          <w:p w14:paraId="444E4676" w14:textId="7AEEBE1A"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Vlerësimi i treguesve të intensitetit të ngarkesës së nxehtësisë, d.m.th., kurba e kohëzgjatjes së ngarkesës së nxehtësisë, etj.;</w:t>
            </w:r>
          </w:p>
          <w:p w14:paraId="09F202E3" w14:textId="33FFE8BA"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Identifikimi dhe hartografimi në zonat e çdo qyteti që janë të përshtatshme për NQ;</w:t>
            </w:r>
          </w:p>
          <w:p w14:paraId="24656A60" w14:textId="7B8FF604"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Vlerësimi i kostos kapitale (investimit) të infrastrukturës NQ;</w:t>
            </w:r>
          </w:p>
          <w:p w14:paraId="61AEA948" w14:textId="5CDDFE79"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Identifikimi i alternativave teknologjike të gjenerimit të nxehtësisë dhe lëndëve djegëse që mund të përdoren dhe janë të disponueshme në sasinë e nevojshme;</w:t>
            </w:r>
          </w:p>
          <w:p w14:paraId="04A12925" w14:textId="4B784E15"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Identifikimi dhe zgjedhja e vendndodhjes më të mirë për ndërtimin e impiantit të gjenerimit të nxehtësisë;</w:t>
            </w:r>
          </w:p>
          <w:p w14:paraId="35B418D4" w14:textId="61586B92" w:rsidR="00AC59C3" w:rsidRPr="003A4F6C" w:rsidRDefault="00AC59C3" w:rsidP="00AC59C3">
            <w:pPr>
              <w:pStyle w:val="NumberedParagraph"/>
              <w:numPr>
                <w:ilvl w:val="0"/>
                <w:numId w:val="48"/>
              </w:numPr>
              <w:rPr>
                <w:rFonts w:ascii="Arial" w:hAnsi="Arial" w:cs="Arial"/>
                <w:bCs/>
                <w:sz w:val="20"/>
                <w:szCs w:val="20"/>
              </w:rPr>
            </w:pPr>
            <w:r>
              <w:rPr>
                <w:rFonts w:ascii="Arial" w:hAnsi="Arial"/>
                <w:sz w:val="20"/>
              </w:rPr>
              <w:t>Sigurimi i analizave të AKP-së për zhvillimin e mundshëm të projekteve të reja NQ dhe/ose përmirësimin e NQ ekzistuese;</w:t>
            </w:r>
          </w:p>
          <w:p w14:paraId="39AF207E" w14:textId="4EB6370B" w:rsidR="00AC59C3" w:rsidRPr="003A4F6C" w:rsidRDefault="00AC59C3" w:rsidP="003A4F6C">
            <w:pPr>
              <w:pStyle w:val="NumberedParagraph"/>
              <w:numPr>
                <w:ilvl w:val="0"/>
                <w:numId w:val="48"/>
              </w:numPr>
              <w:rPr>
                <w:rFonts w:ascii="Arial" w:hAnsi="Arial" w:cs="Arial"/>
                <w:bCs/>
                <w:sz w:val="20"/>
                <w:szCs w:val="20"/>
              </w:rPr>
            </w:pPr>
            <w:r>
              <w:rPr>
                <w:rFonts w:ascii="Arial" w:hAnsi="Arial"/>
                <w:sz w:val="20"/>
              </w:rPr>
              <w:t>Sigurimi i vlerësimit të ndikimit mjedisor dhe social për çdo lokacion të identifikuar për impiantin e prodhimit të ngrohjes dhe rrjetin e NQ në komuna dhe ndikimin në të gjithë rajonin komunal.</w:t>
            </w:r>
          </w:p>
          <w:p w14:paraId="58E54095" w14:textId="5D5D3412" w:rsidR="00137996" w:rsidRDefault="00137996" w:rsidP="00AC59C3">
            <w:pPr>
              <w:jc w:val="both"/>
              <w:rPr>
                <w:rFonts w:ascii="Arial" w:hAnsi="Arial" w:cs="Arial"/>
                <w:bCs/>
                <w:sz w:val="20"/>
                <w:szCs w:val="20"/>
              </w:rPr>
            </w:pPr>
            <w:r>
              <w:rPr>
                <w:rFonts w:ascii="Arial" w:hAnsi="Arial"/>
                <w:sz w:val="20"/>
              </w:rPr>
              <w:t>Studimi është në proces realizimi dhe deri më tani janë evidentuar 1,754 objekte, me sipërfaqe totale 4,316,890 m</w:t>
            </w:r>
            <w:r>
              <w:rPr>
                <w:rFonts w:ascii="Arial" w:hAnsi="Arial"/>
                <w:sz w:val="20"/>
                <w:vertAlign w:val="superscript"/>
              </w:rPr>
              <w:t>2</w:t>
            </w:r>
            <w:r>
              <w:rPr>
                <w:rFonts w:ascii="Arial" w:hAnsi="Arial"/>
                <w:sz w:val="20"/>
              </w:rPr>
              <w:t>, të cilat janë planifikuar të lidhen me sistemet e ngrohjes qendrore. Ato janë kryesisht ndërtesa të mëdha. Gjithashtu, sipas analizave, nevojitet një kapacitet total prej 310.8 MW.</w:t>
            </w:r>
          </w:p>
          <w:p w14:paraId="6220620D" w14:textId="77777777" w:rsidR="00CD71C6" w:rsidRDefault="00AC59C3" w:rsidP="00064677">
            <w:pPr>
              <w:jc w:val="both"/>
              <w:rPr>
                <w:rFonts w:ascii="Arial" w:hAnsi="Arial"/>
                <w:sz w:val="20"/>
              </w:rPr>
            </w:pPr>
            <w:r>
              <w:rPr>
                <w:rFonts w:ascii="Arial" w:hAnsi="Arial"/>
                <w:sz w:val="20"/>
              </w:rPr>
              <w:t xml:space="preserve">Studimi i fizibilitetit do të ofrojë opsionet më të mira dhe teknologjitë më të mira të disponueshme për të ndërtuar një sistem ngrohjeje. Rezultatet që pritet të dalin nga studimi sigurisht që do të jenë bazë për aktivitet të mëtejshëm në lidhje me shtrirjen e ngrohjes qendrore në komunat përkatëse.  Realizimi i një projekti të tillë do të mundësonte diversifikimin e burimeve të energjisë, përmirësimin e kushteve të furnizimit me energji për ngrohje dhe përmirësimin e cilësisë së jetës së qytetarëve të Kosovës. </w:t>
            </w:r>
          </w:p>
          <w:p w14:paraId="46FA3864" w14:textId="77777777" w:rsidR="009239C5" w:rsidRDefault="009239C5" w:rsidP="00064677">
            <w:pPr>
              <w:jc w:val="both"/>
              <w:rPr>
                <w:rFonts w:ascii="Arial" w:hAnsi="Arial"/>
                <w:sz w:val="20"/>
              </w:rPr>
            </w:pPr>
          </w:p>
          <w:p w14:paraId="7DEDB859" w14:textId="77777777" w:rsidR="009239C5" w:rsidRDefault="009239C5" w:rsidP="00064677">
            <w:pPr>
              <w:jc w:val="both"/>
              <w:rPr>
                <w:rFonts w:ascii="Arial" w:hAnsi="Arial"/>
                <w:sz w:val="20"/>
              </w:rPr>
            </w:pPr>
          </w:p>
          <w:p w14:paraId="19968E66" w14:textId="77777777" w:rsidR="009239C5" w:rsidRDefault="009239C5" w:rsidP="00064677">
            <w:pPr>
              <w:jc w:val="both"/>
              <w:rPr>
                <w:rFonts w:ascii="Arial" w:hAnsi="Arial"/>
                <w:sz w:val="20"/>
              </w:rPr>
            </w:pPr>
          </w:p>
          <w:p w14:paraId="6503C76C" w14:textId="474412EB" w:rsidR="009239C5" w:rsidRPr="003A4F6C" w:rsidRDefault="009239C5" w:rsidP="00064677">
            <w:pPr>
              <w:jc w:val="both"/>
              <w:rPr>
                <w:rFonts w:ascii="Arial" w:hAnsi="Arial" w:cs="Arial"/>
                <w:bCs/>
                <w:sz w:val="20"/>
                <w:szCs w:val="20"/>
              </w:rPr>
            </w:pPr>
          </w:p>
        </w:tc>
      </w:tr>
    </w:tbl>
    <w:p w14:paraId="7855EC0C" w14:textId="40A5B723" w:rsidR="00310010" w:rsidRPr="002136A1" w:rsidRDefault="009239C5" w:rsidP="002136A1">
      <w:pPr>
        <w:pStyle w:val="ListParagraph"/>
        <w:numPr>
          <w:ilvl w:val="0"/>
          <w:numId w:val="37"/>
        </w:numPr>
        <w:spacing w:before="200" w:after="120"/>
        <w:jc w:val="both"/>
        <w:rPr>
          <w:rFonts w:cs="Arial"/>
          <w:b/>
          <w:szCs w:val="20"/>
        </w:rPr>
      </w:pPr>
      <w:r>
        <w:rPr>
          <w:b/>
        </w:rPr>
        <w:lastRenderedPageBreak/>
        <w:t>KUALIFIKUESHMËRIA</w:t>
      </w:r>
    </w:p>
    <w:tbl>
      <w:tblPr>
        <w:tblW w:w="4994" w:type="pct"/>
        <w:tblInd w:w="18" w:type="dxa"/>
        <w:tblLook w:val="01E0" w:firstRow="1" w:lastRow="1" w:firstColumn="1" w:lastColumn="1" w:noHBand="0" w:noVBand="0"/>
      </w:tblPr>
      <w:tblGrid>
        <w:gridCol w:w="3698"/>
        <w:gridCol w:w="6191"/>
      </w:tblGrid>
      <w:tr w:rsidR="00DD187D" w:rsidRPr="00781F2E" w14:paraId="782BA739" w14:textId="77777777" w:rsidTr="00960BF9">
        <w:trPr>
          <w:trHeight w:val="1628"/>
        </w:trPr>
        <w:tc>
          <w:tcPr>
            <w:tcW w:w="1870" w:type="pct"/>
            <w:tcBorders>
              <w:top w:val="single" w:sz="4" w:space="0" w:color="auto"/>
              <w:left w:val="single" w:sz="4" w:space="0" w:color="auto"/>
              <w:bottom w:val="single" w:sz="4" w:space="0" w:color="auto"/>
              <w:right w:val="single" w:sz="4" w:space="0" w:color="auto"/>
            </w:tcBorders>
            <w:shd w:val="clear" w:color="auto" w:fill="D9D9D9"/>
            <w:vAlign w:val="center"/>
          </w:tcPr>
          <w:p w14:paraId="134D8677" w14:textId="32AC2C82" w:rsidR="00DD187D" w:rsidRPr="00781F2E" w:rsidRDefault="009239C5" w:rsidP="00DD187D">
            <w:pPr>
              <w:spacing w:after="0" w:line="240" w:lineRule="auto"/>
              <w:rPr>
                <w:rFonts w:ascii="Arial" w:hAnsi="Arial" w:cs="Arial"/>
                <w:sz w:val="20"/>
                <w:szCs w:val="20"/>
              </w:rPr>
            </w:pPr>
            <w:r>
              <w:rPr>
                <w:rFonts w:ascii="Arial" w:hAnsi="Arial"/>
                <w:sz w:val="20"/>
              </w:rPr>
              <w:t xml:space="preserve">Koherenca </w:t>
            </w:r>
            <w:r w:rsidR="00DD187D">
              <w:rPr>
                <w:rFonts w:ascii="Arial" w:hAnsi="Arial"/>
                <w:sz w:val="20"/>
              </w:rPr>
              <w:t>me politikat dhe strategjitë e vlefshme të BE-së</w:t>
            </w:r>
          </w:p>
        </w:tc>
        <w:tc>
          <w:tcPr>
            <w:tcW w:w="3130" w:type="pct"/>
            <w:tcBorders>
              <w:top w:val="single" w:sz="4" w:space="0" w:color="auto"/>
              <w:left w:val="single" w:sz="4" w:space="0" w:color="auto"/>
              <w:bottom w:val="single" w:sz="4" w:space="0" w:color="auto"/>
              <w:right w:val="single" w:sz="4" w:space="0" w:color="auto"/>
            </w:tcBorders>
          </w:tcPr>
          <w:p w14:paraId="5EF4FD37" w14:textId="4F7630E1" w:rsidR="006E3D66" w:rsidRPr="006E3D66" w:rsidRDefault="00DD187D" w:rsidP="00AE36A9">
            <w:pPr>
              <w:pStyle w:val="Caption"/>
              <w:jc w:val="both"/>
              <w:rPr>
                <w:rFonts w:ascii="Arial" w:hAnsi="Arial" w:cs="Arial"/>
                <w:color w:val="auto"/>
                <w:sz w:val="20"/>
                <w:szCs w:val="20"/>
              </w:rPr>
            </w:pPr>
            <w:r>
              <w:rPr>
                <w:rFonts w:ascii="Arial" w:hAnsi="Arial"/>
                <w:color w:val="auto"/>
                <w:sz w:val="20"/>
              </w:rPr>
              <w:t>Projekti është në përputhje dhe në koherencë me politikat dhe standardet e BE-së dhe DIREKTIVËN (BE) 2018/2002 e Parlamentit Evropian e datës 11 dhjetor 2018 që ndryshon Direktivën 2012/27/BE për efiçencën e energjisë</w:t>
            </w:r>
          </w:p>
          <w:p w14:paraId="7C9B6063" w14:textId="77777777" w:rsidR="006E3D66" w:rsidRPr="006E3D66" w:rsidRDefault="006E3D66" w:rsidP="00E7158F">
            <w:pPr>
              <w:spacing w:before="120" w:after="120"/>
              <w:rPr>
                <w:rFonts w:ascii="Arial" w:hAnsi="Arial" w:cs="Arial"/>
                <w:sz w:val="20"/>
                <w:szCs w:val="20"/>
                <w:shd w:val="clear" w:color="auto" w:fill="FFFFFF"/>
              </w:rPr>
            </w:pPr>
            <w:r>
              <w:rPr>
                <w:rFonts w:ascii="Arial" w:hAnsi="Arial"/>
                <w:sz w:val="20"/>
                <w:shd w:val="clear" w:color="auto" w:fill="FFFFFF"/>
              </w:rPr>
              <w:t xml:space="preserve">Direktiva 2012/27/BE ndryshohet si më poshtë: </w:t>
            </w:r>
          </w:p>
          <w:p w14:paraId="5F4660DE" w14:textId="3770C752" w:rsidR="00DD187D" w:rsidRPr="00C149B5" w:rsidRDefault="00DD187D" w:rsidP="00E7158F">
            <w:pPr>
              <w:spacing w:before="120" w:after="120"/>
              <w:rPr>
                <w:rFonts w:ascii="Arial" w:hAnsi="Arial" w:cs="Arial"/>
                <w:b/>
                <w:i/>
                <w:sz w:val="20"/>
                <w:szCs w:val="20"/>
              </w:rPr>
            </w:pPr>
            <w:r>
              <w:rPr>
                <w:rFonts w:ascii="Arial" w:hAnsi="Arial"/>
                <w:b/>
                <w:i/>
                <w:sz w:val="20"/>
              </w:rPr>
              <w:t>Neni 1: Lënda dhe fushëveprimi</w:t>
            </w:r>
          </w:p>
          <w:p w14:paraId="6C971FD0" w14:textId="03B0BAC5" w:rsidR="00DF6A34" w:rsidRPr="006E3D66" w:rsidRDefault="00DF6A34" w:rsidP="00AE36A9">
            <w:pPr>
              <w:pStyle w:val="Normal1"/>
              <w:spacing w:before="120" w:beforeAutospacing="0"/>
              <w:jc w:val="both"/>
              <w:rPr>
                <w:rFonts w:ascii="Arial" w:hAnsi="Arial" w:cs="Arial"/>
                <w:i/>
                <w:sz w:val="20"/>
                <w:szCs w:val="20"/>
              </w:rPr>
            </w:pPr>
            <w:r>
              <w:rPr>
                <w:rFonts w:ascii="Arial" w:hAnsi="Arial"/>
                <w:i/>
                <w:sz w:val="20"/>
              </w:rPr>
              <w:t>Kjo Direktivë paraqet rregulla të krijuara për të hequr barrierat në tregun e energjisë dhe për të tejkaluar dështimet e tregut që pengojnë efiçiencën në furnizimin dhe përdorimin e energjisë, dhe parasheh vendosjen e caqeve dhe kontributeve kombëtare treguese të efiçiencës së energjisë për 2020 dhe 2030. Kjo direktivë kontribuon në zbatimin e parimit të parë të efiçiencës së energjisë</w:t>
            </w:r>
          </w:p>
          <w:p w14:paraId="7D8AE01D" w14:textId="64E59646" w:rsidR="006E3D66" w:rsidRPr="009239C5" w:rsidRDefault="004517A8" w:rsidP="00ED4261">
            <w:pPr>
              <w:pStyle w:val="Normal1"/>
              <w:spacing w:before="120" w:beforeAutospacing="0"/>
              <w:rPr>
                <w:i/>
              </w:rPr>
            </w:pPr>
            <w:r>
              <w:rPr>
                <w:rFonts w:ascii="Arial" w:hAnsi="Arial"/>
                <w:sz w:val="20"/>
                <w:shd w:val="clear" w:color="auto" w:fill="FFFFFF"/>
              </w:rPr>
              <w:t>Neni 9 ndryshohet si më poshtë: futen nenet e mëposhtme</w:t>
            </w:r>
            <w:r w:rsidR="009239C5">
              <w:rPr>
                <w:rFonts w:ascii="Arial" w:hAnsi="Arial"/>
                <w:i/>
                <w:sz w:val="20"/>
                <w:shd w:val="clear" w:color="auto" w:fill="FFFFFF"/>
              </w:rPr>
              <w:t xml:space="preserve">: </w:t>
            </w:r>
            <w:r w:rsidRPr="009239C5">
              <w:rPr>
                <w:rFonts w:ascii="Arial" w:hAnsi="Arial"/>
                <w:b/>
                <w:bCs/>
                <w:i/>
                <w:sz w:val="20"/>
                <w:szCs w:val="18"/>
              </w:rPr>
              <w:t>Neni 9a: Matje për ngrohjen, ftohjen dhe ujin e ngrohtë</w:t>
            </w:r>
            <w:r w:rsidRPr="009239C5">
              <w:rPr>
                <w:i/>
              </w:rPr>
              <w:t xml:space="preserve"> </w:t>
            </w:r>
          </w:p>
          <w:p w14:paraId="5637FA4E" w14:textId="67392E30" w:rsidR="00965DD1" w:rsidRDefault="006E3D66" w:rsidP="00AE36A9">
            <w:pPr>
              <w:pStyle w:val="Normal1"/>
              <w:spacing w:before="120" w:beforeAutospacing="0"/>
              <w:jc w:val="both"/>
              <w:rPr>
                <w:rFonts w:ascii="Arial" w:hAnsi="Arial" w:cs="Arial"/>
                <w:i/>
                <w:sz w:val="20"/>
                <w:szCs w:val="20"/>
              </w:rPr>
            </w:pPr>
            <w:r>
              <w:rPr>
                <w:rFonts w:ascii="Arial" w:hAnsi="Arial"/>
                <w:i/>
                <w:sz w:val="20"/>
              </w:rPr>
              <w:t>...Vendi do të sigurojë që, për ngrohjen qendrore, ftohjen qendrore dhe ujin e ngrohtë të amvisërisë, konsumatorëve të fundit t'u sigurohen njehsorë me çmime konkurruese që pasqyrojnë saktësisht konsumin e tyre të vërtetë të energjisë. …. Kur ngrohja, ftohja ose uji i ngrohtë i shtëpisë i jepet një ndërtese nga një burim qendror që shërben shumë ndërtesa ose nga një sistem ngrohje qendrore ose ftohjeje qendrore, një njehsor duhet të instalohet në shkëmbyesin e nxehtësisë ose në pikën e dorëzimit.</w:t>
            </w:r>
          </w:p>
          <w:p w14:paraId="223B84D1" w14:textId="77777777" w:rsidR="00965DD1" w:rsidRPr="00C149B5" w:rsidRDefault="00965DD1" w:rsidP="00965DD1">
            <w:pPr>
              <w:pStyle w:val="Normal1"/>
              <w:spacing w:before="120" w:beforeAutospacing="0"/>
              <w:rPr>
                <w:rFonts w:ascii="Arial" w:hAnsi="Arial" w:cs="Arial"/>
                <w:b/>
                <w:i/>
                <w:sz w:val="20"/>
                <w:szCs w:val="20"/>
              </w:rPr>
            </w:pPr>
            <w:r>
              <w:rPr>
                <w:rFonts w:ascii="Arial" w:hAnsi="Arial"/>
                <w:b/>
                <w:i/>
                <w:sz w:val="20"/>
              </w:rPr>
              <w:t>Neni 10a</w:t>
            </w:r>
          </w:p>
          <w:p w14:paraId="3C8A5715" w14:textId="49C67558" w:rsidR="00965DD1" w:rsidRPr="00E544C0" w:rsidRDefault="00965DD1" w:rsidP="00AE36A9">
            <w:pPr>
              <w:pStyle w:val="Normal1"/>
              <w:spacing w:before="120" w:beforeAutospacing="0"/>
              <w:jc w:val="both"/>
            </w:pPr>
            <w:r>
              <w:rPr>
                <w:rFonts w:ascii="Arial" w:hAnsi="Arial"/>
                <w:i/>
                <w:color w:val="333333"/>
                <w:sz w:val="20"/>
                <w:shd w:val="clear" w:color="auto" w:fill="FFFFFF"/>
              </w:rPr>
              <w:t>Kur instalohen njehsorë ose alokues të kostos së nxehtësisë, Shtetet Anëtare duhet të sigurojnë që informacioni i faturimit dhe konsumit të jetë i besueshëm, i saktë dhe i bazuar në leximet e alokuesit të kostos aktuale të konsumit ose ngrohjes,</w:t>
            </w:r>
          </w:p>
          <w:p w14:paraId="38477E22" w14:textId="77777777" w:rsidR="00DD187D" w:rsidRPr="00C149B5" w:rsidRDefault="00DD187D" w:rsidP="00E7158F">
            <w:pPr>
              <w:pStyle w:val="sti-art"/>
              <w:spacing w:before="120" w:beforeAutospacing="0" w:after="0" w:afterAutospacing="0"/>
              <w:rPr>
                <w:rFonts w:ascii="Arial" w:hAnsi="Arial" w:cs="Arial"/>
                <w:b/>
                <w:i/>
                <w:sz w:val="20"/>
                <w:szCs w:val="20"/>
              </w:rPr>
            </w:pPr>
            <w:r>
              <w:rPr>
                <w:rFonts w:ascii="Arial" w:hAnsi="Arial"/>
                <w:b/>
                <w:i/>
                <w:sz w:val="20"/>
              </w:rPr>
              <w:t>Neni 14: Promovimi i efiçiencës në ngrohje dhe ftohje</w:t>
            </w:r>
          </w:p>
          <w:p w14:paraId="29BEA84F" w14:textId="77777777" w:rsidR="00DD187D" w:rsidRDefault="00DD187D" w:rsidP="00AE36A9">
            <w:pPr>
              <w:pStyle w:val="sti-art"/>
              <w:spacing w:before="120" w:beforeAutospacing="0"/>
              <w:jc w:val="both"/>
              <w:rPr>
                <w:rFonts w:ascii="Arial" w:hAnsi="Arial" w:cs="Arial"/>
                <w:sz w:val="20"/>
                <w:szCs w:val="20"/>
              </w:rPr>
            </w:pPr>
            <w:r>
              <w:rPr>
                <w:rFonts w:ascii="Arial" w:hAnsi="Arial"/>
                <w:sz w:val="20"/>
              </w:rPr>
              <w:t xml:space="preserve">… </w:t>
            </w:r>
            <w:r>
              <w:rPr>
                <w:rFonts w:ascii="Arial" w:hAnsi="Arial"/>
                <w:i/>
                <w:sz w:val="20"/>
              </w:rPr>
              <w:t>[Vendi do të kryejë dhe do t'i njoftojë Komisionit një vlerësim gjithëpërfshirës të potencialit për aplikimin e kogjenerimit me efikasitet të lartë dhe ngrohjes dhe ftohjes qendrore efiçiente, që përmban informacionin e përcaktuar në Shtojcën VIII. Nëse ata kanë kryer tashmë një vlerësim ekuivalent, ata do ta njoftojnë atë tek Komisioni.]</w:t>
            </w:r>
            <w:r>
              <w:rPr>
                <w:rFonts w:ascii="Arial" w:hAnsi="Arial"/>
                <w:sz w:val="20"/>
              </w:rPr>
              <w:t xml:space="preserve"> </w:t>
            </w:r>
          </w:p>
          <w:p w14:paraId="063961E1" w14:textId="77777777" w:rsidR="00965DD1" w:rsidRPr="00965DD1" w:rsidRDefault="00965DD1" w:rsidP="00965DD1">
            <w:pPr>
              <w:pStyle w:val="sti-art"/>
              <w:spacing w:before="120" w:beforeAutospacing="0"/>
              <w:rPr>
                <w:rFonts w:ascii="Arial" w:hAnsi="Arial" w:cs="Arial"/>
                <w:b/>
                <w:sz w:val="20"/>
                <w:szCs w:val="20"/>
              </w:rPr>
            </w:pPr>
            <w:r>
              <w:rPr>
                <w:rFonts w:ascii="Arial" w:hAnsi="Arial"/>
                <w:b/>
                <w:sz w:val="20"/>
              </w:rPr>
              <w:t>DIREKTIVA (BE) 2018/2001 E PARLAMENTIT EVROPIAN DHE E KËSHILLIT e datës 11 dhjetor 2018 për promovimin e përdorimit të energjisë nga burimet e ripërtëritshme</w:t>
            </w:r>
          </w:p>
          <w:p w14:paraId="626CBAB8" w14:textId="77777777" w:rsidR="00965DD1" w:rsidRPr="00C149B5" w:rsidRDefault="00965DD1" w:rsidP="00965DD1">
            <w:pPr>
              <w:pStyle w:val="sti-art"/>
              <w:spacing w:before="120" w:beforeAutospacing="0" w:after="0" w:afterAutospacing="0"/>
              <w:rPr>
                <w:rFonts w:ascii="Arial" w:hAnsi="Arial" w:cs="Arial"/>
                <w:b/>
                <w:i/>
                <w:sz w:val="20"/>
                <w:szCs w:val="20"/>
              </w:rPr>
            </w:pPr>
            <w:r>
              <w:rPr>
                <w:rFonts w:ascii="Arial" w:hAnsi="Arial"/>
                <w:b/>
                <w:i/>
                <w:sz w:val="20"/>
              </w:rPr>
              <w:t>Neni 20: Qasja dhe funksionimi i rrjeteve</w:t>
            </w:r>
            <w:r>
              <w:rPr>
                <w:rFonts w:ascii="Arial" w:hAnsi="Arial"/>
                <w:b/>
                <w:i/>
                <w:sz w:val="20"/>
              </w:rPr>
              <w:br/>
            </w:r>
          </w:p>
          <w:p w14:paraId="004417B7" w14:textId="01C3EC83" w:rsidR="00965DD1" w:rsidRDefault="00965DD1" w:rsidP="00B943D8">
            <w:pPr>
              <w:pStyle w:val="sti-art"/>
              <w:spacing w:before="120" w:beforeAutospacing="0" w:after="0" w:afterAutospacing="0"/>
              <w:jc w:val="both"/>
              <w:rPr>
                <w:rFonts w:ascii="Arial" w:hAnsi="Arial" w:cs="Arial"/>
                <w:i/>
                <w:sz w:val="20"/>
                <w:szCs w:val="20"/>
              </w:rPr>
            </w:pPr>
            <w:r>
              <w:rPr>
                <w:rFonts w:ascii="Arial" w:hAnsi="Arial"/>
                <w:b/>
                <w:sz w:val="20"/>
              </w:rPr>
              <w:t xml:space="preserve">Pika 3. </w:t>
            </w:r>
            <w:r>
              <w:rPr>
                <w:rFonts w:ascii="Arial" w:hAnsi="Arial"/>
                <w:i/>
                <w:sz w:val="20"/>
              </w:rPr>
              <w:t>Në varësi të vlerësimit të tyre të përfshirë në planet e integruara kombëtare të energjisë dhe klimës në përputhje me Shtojcën I të Rregullores (BE) 2018/1999 mbi nevojën e ndërtimit të infrastrukturës së re për ngrohjen dhe ftohjen qendrore nga burimet e ripërtëritshme në mënyrë që të arrihet objektivi i Unionit i vendosur në Nenin 3(1) të kësaj direktive, Shtetet Anëtare, kur është e përshtatshme, do të ndërmarrin hapat e nevojshëm me synimin për të zhvilluar një infrastrukturë qendrore të ngrohjes dhe ftohjes për të akomoduar zhvillimin e ngrohjes dhe ftohjes nga qendrat e mëdha energjetike me biomasë, energji diellore, energji të ambientit dhe gjeotermale dhe nga nxehtësia dhe ftohja nga mbeturinat</w:t>
            </w:r>
          </w:p>
          <w:p w14:paraId="5455175C" w14:textId="77777777" w:rsidR="00B943D8" w:rsidRPr="00965DD1" w:rsidRDefault="00B943D8" w:rsidP="00AE36A9">
            <w:pPr>
              <w:pStyle w:val="sti-art"/>
              <w:spacing w:before="120" w:beforeAutospacing="0" w:after="0" w:afterAutospacing="0"/>
              <w:jc w:val="both"/>
              <w:rPr>
                <w:rFonts w:ascii="Arial" w:hAnsi="Arial" w:cs="Arial"/>
                <w:i/>
                <w:sz w:val="20"/>
                <w:szCs w:val="20"/>
              </w:rPr>
            </w:pPr>
          </w:p>
          <w:p w14:paraId="4F4E660D" w14:textId="77777777" w:rsidR="00965DD1" w:rsidRPr="00C149B5" w:rsidRDefault="00965DD1" w:rsidP="00965DD1">
            <w:pPr>
              <w:pStyle w:val="sti-art"/>
              <w:spacing w:before="120" w:beforeAutospacing="0"/>
              <w:rPr>
                <w:rFonts w:ascii="Arial" w:hAnsi="Arial" w:cs="Arial"/>
                <w:b/>
                <w:i/>
                <w:sz w:val="20"/>
                <w:szCs w:val="20"/>
              </w:rPr>
            </w:pPr>
            <w:r>
              <w:rPr>
                <w:rFonts w:ascii="Arial" w:hAnsi="Arial"/>
                <w:b/>
                <w:i/>
                <w:sz w:val="20"/>
              </w:rPr>
              <w:lastRenderedPageBreak/>
              <w:t>Neni 23: Integrimi i energjisë së ripërtëritshme në ngrohje dhe ftohje</w:t>
            </w:r>
          </w:p>
          <w:p w14:paraId="0DADDEC3" w14:textId="28F5B161" w:rsidR="00965DD1" w:rsidRPr="00965DD1" w:rsidRDefault="00965DD1" w:rsidP="00AE36A9">
            <w:pPr>
              <w:pStyle w:val="sti-art"/>
              <w:spacing w:before="120" w:beforeAutospacing="0"/>
              <w:jc w:val="both"/>
              <w:rPr>
                <w:rFonts w:ascii="Arial" w:hAnsi="Arial" w:cs="Arial"/>
                <w:i/>
                <w:sz w:val="20"/>
                <w:szCs w:val="20"/>
              </w:rPr>
            </w:pPr>
            <w:r>
              <w:rPr>
                <w:rFonts w:ascii="Arial" w:hAnsi="Arial"/>
                <w:b/>
                <w:i/>
                <w:sz w:val="20"/>
              </w:rPr>
              <w:t>Pika 1.</w:t>
            </w:r>
            <w:r>
              <w:rPr>
                <w:rFonts w:ascii="Arial" w:hAnsi="Arial"/>
                <w:i/>
                <w:sz w:val="20"/>
              </w:rPr>
              <w:t xml:space="preserve"> Për të nxitur përdorimin e energjisë së ripërtëritshme në sektorin e ngrohjes dhe ftohjes, çdo Shtet Anëtar do të përpiqet të rrisë pjesën e energjisë së ripërtëritshme në atë sektor me 1.3 pikë përqindje treguese si një mesatare vjetore e llogaritur për periudhat 2021-2025 dhe 2026-2030, duke filluar nga pesha e energjisë së ripërtëritshme në sektorin e ngrohjes dhe ftohjes…</w:t>
            </w:r>
          </w:p>
          <w:p w14:paraId="38FE135B" w14:textId="0EC3D72B" w:rsidR="00965DD1" w:rsidRPr="001B44CE" w:rsidRDefault="00965DD1" w:rsidP="00ED4261">
            <w:pPr>
              <w:pStyle w:val="sti-art"/>
              <w:spacing w:before="120" w:beforeAutospacing="0"/>
              <w:rPr>
                <w:rFonts w:ascii="Arial" w:hAnsi="Arial" w:cs="Arial"/>
                <w:sz w:val="20"/>
                <w:szCs w:val="20"/>
              </w:rPr>
            </w:pPr>
            <w:r>
              <w:rPr>
                <w:rFonts w:ascii="Arial" w:hAnsi="Arial"/>
                <w:b/>
                <w:i/>
                <w:sz w:val="20"/>
              </w:rPr>
              <w:t>Neni 24: Ngrohja dhe ftohja qendrore</w:t>
            </w:r>
            <w:r>
              <w:rPr>
                <w:rFonts w:ascii="Arial" w:hAnsi="Arial"/>
                <w:b/>
                <w:sz w:val="20"/>
              </w:rPr>
              <w:br/>
            </w:r>
            <w:r>
              <w:rPr>
                <w:rFonts w:ascii="Arial" w:hAnsi="Arial"/>
                <w:b/>
                <w:sz w:val="20"/>
              </w:rPr>
              <w:br/>
              <w:t>Pika 8</w:t>
            </w:r>
            <w:r>
              <w:rPr>
                <w:rFonts w:ascii="Arial" w:hAnsi="Arial"/>
                <w:sz w:val="20"/>
              </w:rPr>
              <w:t xml:space="preserve">. </w:t>
            </w:r>
            <w:r>
              <w:rPr>
                <w:rFonts w:ascii="Arial" w:hAnsi="Arial"/>
                <w:i/>
                <w:sz w:val="20"/>
              </w:rPr>
              <w:t>Shtetet anëtare u kërkojnë operatorëve të sistemit të shpërndarjes së energjisë elektrike që të vlerësojnë të paktën çdo katër vjet, në bashkëpunim me operatorët e sistemeve të ngrohjes ose ftohjes qendrore në zonën e tyre përkatëse, potencialin që sistemet e ngrohjes ose ftohjes qendrore të ofrojnë shërbime balancimi dhe të tjera të sistemit, duke përfshirë reagimin me kërkesë dhe ruajtjen e energjisë elektrike të tepërt nga burimet e ripërtëritshme, dhe nëse përdorimi i potencialit të identifikuar do të ishte më efikas në lidhje me burimet dhe koston sesa zgjidhjet alternative.</w:t>
            </w:r>
          </w:p>
          <w:p w14:paraId="4D64F26C" w14:textId="439C959A" w:rsidR="003F66B7" w:rsidRPr="001B44CE" w:rsidRDefault="003F155E" w:rsidP="00B5343C">
            <w:pPr>
              <w:pStyle w:val="Default"/>
              <w:rPr>
                <w:rFonts w:ascii="Arial" w:hAnsi="Arial" w:cs="Arial"/>
                <w:b/>
                <w:sz w:val="20"/>
                <w:szCs w:val="20"/>
              </w:rPr>
            </w:pPr>
            <w:r>
              <w:rPr>
                <w:rFonts w:ascii="Arial" w:hAnsi="Arial"/>
                <w:b/>
                <w:sz w:val="20"/>
              </w:rPr>
              <w:t>KOMISIONI EVROPIAN:</w:t>
            </w:r>
          </w:p>
          <w:p w14:paraId="3EECE2F4" w14:textId="153D714A" w:rsidR="003F66B7" w:rsidRPr="001B44CE" w:rsidRDefault="00960BF9" w:rsidP="00B5343C">
            <w:pPr>
              <w:pStyle w:val="Default"/>
              <w:rPr>
                <w:rFonts w:ascii="Arial" w:hAnsi="Arial" w:cs="Arial"/>
                <w:b/>
                <w:sz w:val="20"/>
                <w:szCs w:val="20"/>
              </w:rPr>
            </w:pPr>
            <w:r>
              <w:rPr>
                <w:rFonts w:ascii="Arial" w:hAnsi="Arial"/>
                <w:b/>
                <w:sz w:val="20"/>
              </w:rPr>
              <w:t>PLANI EKONOMIK DHE INVESTIV PËR BALLKANIN PERËNDIMOR</w:t>
            </w:r>
          </w:p>
          <w:p w14:paraId="0DDB0E16" w14:textId="70F69CBD" w:rsidR="003F66B7" w:rsidRPr="001B44CE" w:rsidRDefault="003F66B7" w:rsidP="00B5343C">
            <w:pPr>
              <w:pStyle w:val="Default"/>
              <w:rPr>
                <w:rFonts w:ascii="Arial" w:hAnsi="Arial" w:cs="Arial"/>
                <w:sz w:val="20"/>
                <w:szCs w:val="20"/>
              </w:rPr>
            </w:pPr>
            <w:r>
              <w:rPr>
                <w:rFonts w:ascii="Arial" w:hAnsi="Arial"/>
                <w:sz w:val="20"/>
              </w:rPr>
              <w:t>Investimi në energjinë e pastër</w:t>
            </w:r>
          </w:p>
          <w:p w14:paraId="21F8D4EE" w14:textId="77777777" w:rsidR="00DD187D" w:rsidRPr="003A4F6C" w:rsidRDefault="003F66B7" w:rsidP="00AE36A9">
            <w:pPr>
              <w:pStyle w:val="sti-art"/>
              <w:spacing w:before="0" w:beforeAutospacing="0" w:after="0" w:afterAutospacing="0"/>
              <w:jc w:val="both"/>
              <w:rPr>
                <w:rFonts w:ascii="Arial" w:hAnsi="Arial" w:cs="Arial"/>
                <w:sz w:val="20"/>
                <w:szCs w:val="20"/>
              </w:rPr>
            </w:pPr>
            <w:r>
              <w:rPr>
                <w:rFonts w:ascii="Arial" w:hAnsi="Arial"/>
                <w:sz w:val="20"/>
              </w:rPr>
              <w:t>Mbështetja në fushën e energjisë do të përforcohet. Theks i fuqishëm do t’i vihet integrimit të tregut të energjisë, dekarbonizimit dhe energjisë së pastër, tranzicionit të drejtë, rritjes së digjitalizimit të sistemit dhe rrjeteve inteligjente, efiçencës së energjisë, duke përfshirë modernizimin e ngrohjes qendrore dhe sigurisë së energjisë. Dekarbonizimi është një shtyllë kryesore e këtij Plani Ekonomik dhe Investiv në përputhje me synimet e Marrëveshjes së Gjelbër Evropiane. Rritja e konektivitetit dhe shtrirja e Unionit të Energjisë në Ballkanin Perëndimor do të jetë gjithashtu thelbësore për një tranzicion të suksesshëm të energjisë së pastër në rajon.</w:t>
            </w:r>
          </w:p>
          <w:p w14:paraId="35CEEF18" w14:textId="77777777" w:rsidR="00960BF9" w:rsidRDefault="00960BF9" w:rsidP="001B44CE">
            <w:pPr>
              <w:pStyle w:val="sti-art"/>
              <w:spacing w:before="0" w:beforeAutospacing="0" w:after="0" w:afterAutospacing="0"/>
              <w:rPr>
                <w:rFonts w:ascii="Arial" w:hAnsi="Arial" w:cs="Arial"/>
                <w:sz w:val="20"/>
                <w:szCs w:val="20"/>
                <w:lang w:eastAsia="en-GB"/>
              </w:rPr>
            </w:pPr>
          </w:p>
          <w:p w14:paraId="2752FD5F" w14:textId="2F15F50E" w:rsidR="00960BF9" w:rsidRPr="00960BF9" w:rsidRDefault="00960BF9" w:rsidP="00960BF9">
            <w:pPr>
              <w:autoSpaceDE w:val="0"/>
              <w:autoSpaceDN w:val="0"/>
              <w:adjustRightInd w:val="0"/>
              <w:spacing w:after="0" w:line="240" w:lineRule="auto"/>
              <w:rPr>
                <w:rFonts w:ascii="Arial" w:hAnsi="Arial" w:cs="Arial"/>
                <w:color w:val="000000"/>
                <w:sz w:val="20"/>
                <w:szCs w:val="20"/>
              </w:rPr>
            </w:pPr>
            <w:r>
              <w:rPr>
                <w:rFonts w:ascii="Arial" w:hAnsi="Arial"/>
                <w:b/>
                <w:color w:val="000000"/>
                <w:sz w:val="20"/>
              </w:rPr>
              <w:t>DEKLARATA E SOFJES PËR AGJENDËN E GJELBËR PËR BALLKANIN PERËNDIMOR</w:t>
            </w:r>
          </w:p>
          <w:p w14:paraId="1EA2451C" w14:textId="77777777" w:rsidR="00960BF9" w:rsidRPr="00960BF9" w:rsidRDefault="00960BF9" w:rsidP="001B44CE">
            <w:pPr>
              <w:pStyle w:val="sti-art"/>
              <w:spacing w:before="0" w:beforeAutospacing="0" w:after="0" w:afterAutospacing="0"/>
              <w:rPr>
                <w:rFonts w:ascii="Arial" w:hAnsi="Arial" w:cs="Arial"/>
                <w:sz w:val="20"/>
                <w:szCs w:val="20"/>
                <w:lang w:eastAsia="en-GB"/>
              </w:rPr>
            </w:pPr>
          </w:p>
          <w:p w14:paraId="7E51F67C" w14:textId="77777777" w:rsidR="00960BF9" w:rsidRPr="00960BF9" w:rsidRDefault="00960BF9" w:rsidP="00960BF9">
            <w:pPr>
              <w:autoSpaceDE w:val="0"/>
              <w:autoSpaceDN w:val="0"/>
              <w:adjustRightInd w:val="0"/>
              <w:spacing w:after="0" w:line="240" w:lineRule="auto"/>
              <w:rPr>
                <w:rFonts w:ascii="Arial" w:hAnsi="Arial" w:cs="Arial"/>
                <w:color w:val="000000"/>
                <w:sz w:val="20"/>
                <w:szCs w:val="20"/>
              </w:rPr>
            </w:pPr>
            <w:r>
              <w:rPr>
                <w:rFonts w:ascii="Arial" w:hAnsi="Arial"/>
                <w:b/>
                <w:color w:val="000000"/>
                <w:sz w:val="20"/>
              </w:rPr>
              <w:t xml:space="preserve">Klima, energjia, lëvizshmëria </w:t>
            </w:r>
          </w:p>
          <w:p w14:paraId="2969F546" w14:textId="77777777" w:rsidR="00960BF9" w:rsidRPr="003A4F6C" w:rsidRDefault="00960BF9" w:rsidP="00AE36A9">
            <w:pPr>
              <w:pStyle w:val="ListParagraph"/>
              <w:numPr>
                <w:ilvl w:val="0"/>
                <w:numId w:val="38"/>
              </w:numPr>
              <w:autoSpaceDE w:val="0"/>
              <w:autoSpaceDN w:val="0"/>
              <w:adjustRightInd w:val="0"/>
              <w:spacing w:line="240" w:lineRule="auto"/>
              <w:jc w:val="both"/>
              <w:rPr>
                <w:rFonts w:cs="Arial"/>
                <w:color w:val="000000"/>
                <w:szCs w:val="20"/>
              </w:rPr>
            </w:pPr>
            <w:r>
              <w:rPr>
                <w:color w:val="000000"/>
              </w:rPr>
              <w:t xml:space="preserve">Vendosni objektiva largpamëse për energjinë dhe klimën 2030 në përputhje me kornizën e Komunitetit të Energjisë dhe acquis të BE-së, si dhe zhvilloni dhe zbatoni plane të integruara për Energjinë dhe Klimën me masa të qarta të dizajnuara për të reduktuar emetimet e gazeve serrë në ekonomitë e Ballkanit Perëndimor duke integruar veprimet klimatike në të gjitha politikat përkatëse sektoriale; </w:t>
            </w:r>
          </w:p>
          <w:p w14:paraId="60F34C94" w14:textId="77777777" w:rsidR="00960BF9" w:rsidRPr="003A4F6C" w:rsidRDefault="00960BF9" w:rsidP="00AE36A9">
            <w:pPr>
              <w:pStyle w:val="ListParagraph"/>
              <w:numPr>
                <w:ilvl w:val="0"/>
                <w:numId w:val="38"/>
              </w:numPr>
              <w:autoSpaceDE w:val="0"/>
              <w:autoSpaceDN w:val="0"/>
              <w:adjustRightInd w:val="0"/>
              <w:spacing w:line="240" w:lineRule="auto"/>
              <w:jc w:val="both"/>
              <w:rPr>
                <w:rFonts w:cs="Arial"/>
                <w:color w:val="000000"/>
                <w:szCs w:val="20"/>
              </w:rPr>
            </w:pPr>
            <w:r>
              <w:rPr>
                <w:color w:val="000000"/>
              </w:rPr>
              <w:t>Prioriteti i efiçencës së energjisë dhe përmirësimi i tij në të gjithë sektorët;</w:t>
            </w:r>
          </w:p>
          <w:p w14:paraId="001FFF31" w14:textId="0A3D5963" w:rsidR="006E3D66" w:rsidRPr="00960BF9" w:rsidRDefault="00960BF9" w:rsidP="00AE36A9">
            <w:pPr>
              <w:pStyle w:val="sti-art"/>
              <w:numPr>
                <w:ilvl w:val="0"/>
                <w:numId w:val="39"/>
              </w:numPr>
              <w:spacing w:before="0" w:beforeAutospacing="0" w:after="0" w:afterAutospacing="0"/>
              <w:jc w:val="both"/>
              <w:rPr>
                <w:rFonts w:ascii="Arial" w:hAnsi="Arial" w:cs="Arial"/>
                <w:sz w:val="20"/>
                <w:szCs w:val="20"/>
              </w:rPr>
            </w:pPr>
            <w:r>
              <w:rPr>
                <w:rFonts w:ascii="Arial" w:hAnsi="Arial"/>
                <w:color w:val="000000"/>
                <w:sz w:val="20"/>
              </w:rPr>
              <w:t>Rritja e pjesës së burimeve të ripërtërishme të energjisë dhe sigurimi i kushteve të nevojshme investimi, në përputhje me acquis dhe objektivin e BE-së dhe Komunitetit të Energjisë.</w:t>
            </w:r>
          </w:p>
        </w:tc>
      </w:tr>
      <w:tr w:rsidR="00DD187D" w:rsidRPr="00781F2E" w14:paraId="182A57AB" w14:textId="77777777" w:rsidTr="00310010">
        <w:trPr>
          <w:trHeight w:val="330"/>
        </w:trPr>
        <w:tc>
          <w:tcPr>
            <w:tcW w:w="1870" w:type="pct"/>
            <w:tcBorders>
              <w:top w:val="single" w:sz="4" w:space="0" w:color="auto"/>
              <w:left w:val="single" w:sz="4" w:space="0" w:color="auto"/>
              <w:bottom w:val="single" w:sz="4" w:space="0" w:color="auto"/>
              <w:right w:val="single" w:sz="4" w:space="0" w:color="auto"/>
            </w:tcBorders>
            <w:shd w:val="clear" w:color="auto" w:fill="D9D9D9"/>
            <w:vAlign w:val="center"/>
          </w:tcPr>
          <w:p w14:paraId="3DBB1C6F" w14:textId="6FCDC0BB" w:rsidR="00DD187D" w:rsidRPr="00781F2E" w:rsidRDefault="00DD187D" w:rsidP="00DD187D">
            <w:pPr>
              <w:spacing w:after="0" w:line="240" w:lineRule="auto"/>
              <w:rPr>
                <w:rFonts w:ascii="Arial" w:hAnsi="Arial" w:cs="Arial"/>
                <w:sz w:val="20"/>
                <w:szCs w:val="20"/>
              </w:rPr>
            </w:pPr>
            <w:r>
              <w:rPr>
                <w:rFonts w:ascii="Arial" w:hAnsi="Arial"/>
                <w:sz w:val="20"/>
              </w:rPr>
              <w:lastRenderedPageBreak/>
              <w:t>Kontributi në objektivat e vlefshme të zhvillimit kombëtar</w:t>
            </w:r>
          </w:p>
        </w:tc>
        <w:tc>
          <w:tcPr>
            <w:tcW w:w="3130" w:type="pct"/>
            <w:tcBorders>
              <w:top w:val="single" w:sz="4" w:space="0" w:color="auto"/>
              <w:left w:val="single" w:sz="4" w:space="0" w:color="auto"/>
              <w:bottom w:val="single" w:sz="4" w:space="0" w:color="auto"/>
              <w:right w:val="single" w:sz="4" w:space="0" w:color="auto"/>
            </w:tcBorders>
          </w:tcPr>
          <w:p w14:paraId="0DF89950" w14:textId="77777777" w:rsidR="00960BF9" w:rsidRPr="00802D92" w:rsidRDefault="00960BF9" w:rsidP="00F776CE">
            <w:pPr>
              <w:pStyle w:val="NoSpacing"/>
              <w:rPr>
                <w:rFonts w:ascii="Arial" w:hAnsi="Arial" w:cs="Arial"/>
                <w:b/>
                <w:sz w:val="20"/>
                <w:szCs w:val="20"/>
                <w:lang w:val="en-US"/>
              </w:rPr>
            </w:pPr>
          </w:p>
          <w:p w14:paraId="765A4262" w14:textId="2571CB06" w:rsidR="00F776CE" w:rsidRPr="00802D92" w:rsidRDefault="006E3D66" w:rsidP="00F776CE">
            <w:pPr>
              <w:pStyle w:val="NoSpacing"/>
              <w:rPr>
                <w:rFonts w:ascii="Arial" w:hAnsi="Arial" w:cs="Arial"/>
                <w:b/>
                <w:sz w:val="20"/>
                <w:szCs w:val="20"/>
              </w:rPr>
            </w:pPr>
            <w:r>
              <w:rPr>
                <w:rFonts w:ascii="Arial" w:hAnsi="Arial"/>
                <w:b/>
                <w:sz w:val="20"/>
              </w:rPr>
              <w:t xml:space="preserve">PROGRAMI I QEVERISË 2021-2025 </w:t>
            </w:r>
          </w:p>
          <w:p w14:paraId="74008527" w14:textId="77777777" w:rsidR="00E652A5" w:rsidRPr="00802D92" w:rsidRDefault="00E652A5" w:rsidP="00F776CE">
            <w:pPr>
              <w:pStyle w:val="NoSpacing"/>
              <w:rPr>
                <w:rFonts w:ascii="Arial" w:hAnsi="Arial" w:cs="Arial"/>
                <w:b/>
                <w:sz w:val="20"/>
                <w:szCs w:val="20"/>
                <w:lang w:val="en-US"/>
              </w:rPr>
            </w:pPr>
          </w:p>
          <w:p w14:paraId="5301148A" w14:textId="138C2F36" w:rsidR="00E652A5" w:rsidRPr="00802D92" w:rsidRDefault="00E61FA8" w:rsidP="00F776CE">
            <w:pPr>
              <w:pStyle w:val="NoSpacing"/>
              <w:rPr>
                <w:rFonts w:ascii="Arial" w:hAnsi="Arial" w:cs="Arial"/>
                <w:b/>
                <w:sz w:val="20"/>
                <w:szCs w:val="20"/>
              </w:rPr>
            </w:pPr>
            <w:r>
              <w:rPr>
                <w:rFonts w:ascii="Arial" w:hAnsi="Arial"/>
                <w:b/>
                <w:sz w:val="20"/>
              </w:rPr>
              <w:t xml:space="preserve">2.4.8: Qeverisja lokale </w:t>
            </w:r>
          </w:p>
          <w:p w14:paraId="5D0DDAA6" w14:textId="77777777" w:rsidR="001B44CE" w:rsidRPr="00802D92" w:rsidRDefault="001B44CE" w:rsidP="00F776CE">
            <w:pPr>
              <w:pStyle w:val="NoSpacing"/>
              <w:rPr>
                <w:rFonts w:ascii="Arial" w:hAnsi="Arial" w:cs="Arial"/>
                <w:b/>
                <w:sz w:val="20"/>
                <w:szCs w:val="20"/>
                <w:lang w:val="en-US"/>
              </w:rPr>
            </w:pPr>
          </w:p>
          <w:p w14:paraId="05C1BC9A" w14:textId="1574A10C" w:rsidR="00E652A5" w:rsidRDefault="00F75772" w:rsidP="00B943D8">
            <w:pPr>
              <w:pStyle w:val="NoSpacing"/>
              <w:jc w:val="both"/>
              <w:rPr>
                <w:rFonts w:ascii="Arial" w:hAnsi="Arial" w:cs="Arial"/>
                <w:sz w:val="20"/>
                <w:szCs w:val="20"/>
              </w:rPr>
            </w:pPr>
            <w:r>
              <w:rPr>
                <w:rFonts w:ascii="Arial" w:hAnsi="Arial"/>
                <w:sz w:val="20"/>
              </w:rPr>
              <w:t>Do të mundësojmë autonominë e komunave për investime kapitale, përmes Grantit të katërt. Ne do të hartojmë kornizën ligjore, ku do të vendosim kritere profesionale, të cilat u mundësojnë komunave të konkurrojnë me idetë dhe projektet e tyre për zhvillim të gjithanshëm, në sektorë si turizmi rural, inovacioni, sporti, trashëgimia kulturore, arti, infrastruktura publike, sistemet e ngrohjes qendrore…</w:t>
            </w:r>
          </w:p>
          <w:p w14:paraId="3653182F" w14:textId="2CD3A036" w:rsidR="00B943D8" w:rsidRDefault="00B943D8" w:rsidP="00B943D8">
            <w:pPr>
              <w:pStyle w:val="NoSpacing"/>
              <w:jc w:val="both"/>
              <w:rPr>
                <w:rFonts w:ascii="Arial" w:hAnsi="Arial" w:cs="Arial"/>
                <w:sz w:val="20"/>
                <w:szCs w:val="20"/>
                <w:lang w:val="en"/>
              </w:rPr>
            </w:pPr>
          </w:p>
          <w:p w14:paraId="4DB608FD" w14:textId="77777777" w:rsidR="00B943D8" w:rsidRPr="00802D92" w:rsidRDefault="00B943D8" w:rsidP="00AE36A9">
            <w:pPr>
              <w:pStyle w:val="NoSpacing"/>
              <w:jc w:val="both"/>
              <w:rPr>
                <w:rFonts w:ascii="Arial" w:hAnsi="Arial" w:cs="Arial"/>
                <w:sz w:val="20"/>
                <w:szCs w:val="20"/>
                <w:lang w:val="en"/>
              </w:rPr>
            </w:pPr>
          </w:p>
          <w:p w14:paraId="6FC5A1D0" w14:textId="77777777" w:rsidR="00E61FA8" w:rsidRPr="00AE36A9" w:rsidRDefault="00E61FA8" w:rsidP="00E61FA8">
            <w:pPr>
              <w:pStyle w:val="NoSpacing"/>
              <w:rPr>
                <w:rFonts w:ascii="Arial" w:hAnsi="Arial" w:cs="Arial"/>
                <w:b/>
                <w:sz w:val="20"/>
                <w:szCs w:val="20"/>
              </w:rPr>
            </w:pPr>
            <w:r>
              <w:rPr>
                <w:rFonts w:ascii="Arial" w:hAnsi="Arial"/>
                <w:b/>
                <w:sz w:val="20"/>
              </w:rPr>
              <w:t>2.14.1: Krijimi i kushteve për furnizim të qëndrueshëm me energji</w:t>
            </w:r>
          </w:p>
          <w:p w14:paraId="0BDD99EF" w14:textId="77777777" w:rsidR="00E61FA8" w:rsidRPr="00E61FA8" w:rsidRDefault="00E61FA8" w:rsidP="00E61FA8">
            <w:pPr>
              <w:pStyle w:val="NoSpacing"/>
              <w:rPr>
                <w:rFonts w:ascii="Arial" w:hAnsi="Arial" w:cs="Arial"/>
                <w:sz w:val="20"/>
                <w:szCs w:val="20"/>
                <w:lang w:val="en"/>
              </w:rPr>
            </w:pPr>
          </w:p>
          <w:p w14:paraId="746D1418" w14:textId="5252124A" w:rsidR="00E652A5" w:rsidRPr="00802D92" w:rsidRDefault="00E61FA8" w:rsidP="00AE36A9">
            <w:pPr>
              <w:pStyle w:val="NoSpacing"/>
              <w:jc w:val="both"/>
              <w:rPr>
                <w:rFonts w:ascii="Arial" w:hAnsi="Arial" w:cs="Arial"/>
                <w:sz w:val="20"/>
                <w:szCs w:val="20"/>
              </w:rPr>
            </w:pPr>
            <w:r>
              <w:rPr>
                <w:rFonts w:ascii="Arial" w:hAnsi="Arial"/>
                <w:sz w:val="20"/>
              </w:rPr>
              <w:t>Krijimi i kushteve të favorshme për furnizim me energji të qëndrueshme dhe të përballueshme, për të gjithë qytetarët dhe ndërmarrjet në Kosovë, duke marrë parasysh ndikimin në mjedis.</w:t>
            </w:r>
          </w:p>
          <w:p w14:paraId="34EA361A" w14:textId="2EB58BD2" w:rsidR="00E652A5" w:rsidRPr="00802D92" w:rsidRDefault="00E652A5" w:rsidP="00F776CE">
            <w:pPr>
              <w:pStyle w:val="NoSpacing"/>
              <w:rPr>
                <w:rFonts w:ascii="Arial" w:hAnsi="Arial" w:cs="Arial"/>
                <w:sz w:val="20"/>
                <w:szCs w:val="20"/>
                <w:lang w:val="en"/>
              </w:rPr>
            </w:pPr>
          </w:p>
        </w:tc>
      </w:tr>
      <w:tr w:rsidR="00340249" w:rsidRPr="00781F2E" w14:paraId="00C6E83A" w14:textId="77777777" w:rsidTr="001B44CE">
        <w:trPr>
          <w:trHeight w:val="70"/>
        </w:trPr>
        <w:tc>
          <w:tcPr>
            <w:tcW w:w="1870" w:type="pct"/>
            <w:tcBorders>
              <w:top w:val="single" w:sz="4" w:space="0" w:color="auto"/>
              <w:left w:val="single" w:sz="4" w:space="0" w:color="auto"/>
              <w:bottom w:val="single" w:sz="4" w:space="0" w:color="auto"/>
              <w:right w:val="single" w:sz="4" w:space="0" w:color="auto"/>
            </w:tcBorders>
            <w:shd w:val="clear" w:color="auto" w:fill="D9D9D9"/>
            <w:vAlign w:val="center"/>
          </w:tcPr>
          <w:p w14:paraId="2B71F4E4" w14:textId="27528376" w:rsidR="00340249" w:rsidRPr="00781F2E" w:rsidRDefault="00340249" w:rsidP="00340249">
            <w:pPr>
              <w:spacing w:after="0" w:line="240" w:lineRule="auto"/>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3130" w:type="pct"/>
            <w:tcBorders>
              <w:top w:val="single" w:sz="4" w:space="0" w:color="auto"/>
              <w:left w:val="single" w:sz="4" w:space="0" w:color="auto"/>
              <w:bottom w:val="single" w:sz="4" w:space="0" w:color="auto"/>
              <w:right w:val="single" w:sz="4" w:space="0" w:color="auto"/>
            </w:tcBorders>
          </w:tcPr>
          <w:p w14:paraId="06F86E79" w14:textId="2CA50E08" w:rsidR="008770F7" w:rsidRPr="00802D92" w:rsidRDefault="006E3D66" w:rsidP="00034F43">
            <w:pPr>
              <w:pStyle w:val="NoSpacing"/>
              <w:rPr>
                <w:rFonts w:ascii="Arial" w:hAnsi="Arial" w:cs="Arial"/>
                <w:b/>
                <w:sz w:val="20"/>
                <w:szCs w:val="20"/>
              </w:rPr>
            </w:pPr>
            <w:r>
              <w:rPr>
                <w:rFonts w:ascii="Arial" w:hAnsi="Arial"/>
                <w:b/>
                <w:sz w:val="20"/>
              </w:rPr>
              <w:t xml:space="preserve">STRATEGJIA E ENERGJISË E REPUBLIKËS SË KOSOVËS 2022-2031 </w:t>
            </w:r>
          </w:p>
          <w:p w14:paraId="3C86B8BA" w14:textId="77777777" w:rsidR="00413564" w:rsidRPr="00802D92" w:rsidRDefault="00413564" w:rsidP="00413564">
            <w:pPr>
              <w:pStyle w:val="NoSpacing"/>
              <w:rPr>
                <w:rStyle w:val="SubtleEmphasis"/>
                <w:rFonts w:ascii="Arial" w:hAnsi="Arial" w:cs="Arial"/>
                <w:b/>
                <w:i w:val="0"/>
                <w:color w:val="auto"/>
                <w:szCs w:val="20"/>
              </w:rPr>
            </w:pPr>
            <w:bookmarkStart w:id="1" w:name="_Toc105408516"/>
            <w:bookmarkStart w:id="2" w:name="_Toc105408628"/>
            <w:bookmarkStart w:id="3" w:name="_Toc105506007"/>
          </w:p>
          <w:p w14:paraId="334EC0A9" w14:textId="427E4F76" w:rsidR="00FF412E" w:rsidRPr="00AE36A9" w:rsidRDefault="00413564" w:rsidP="00FF412E">
            <w:pPr>
              <w:pStyle w:val="NoSpacing"/>
              <w:rPr>
                <w:rFonts w:ascii="Arial" w:hAnsi="Arial" w:cs="Arial"/>
                <w:b/>
                <w:sz w:val="20"/>
                <w:szCs w:val="20"/>
              </w:rPr>
            </w:pPr>
            <w:r>
              <w:rPr>
                <w:rFonts w:ascii="Arial" w:hAnsi="Arial"/>
                <w:b/>
                <w:sz w:val="20"/>
              </w:rPr>
              <w:t>Objektivi strategjik 2: Dekarbonizimi dhe promovimi i energjisë së ripërtëritshme</w:t>
            </w:r>
            <w:bookmarkEnd w:id="1"/>
            <w:bookmarkEnd w:id="2"/>
            <w:bookmarkEnd w:id="3"/>
          </w:p>
          <w:p w14:paraId="19D17619" w14:textId="0D11D92D" w:rsidR="007F7D38" w:rsidRPr="004A0206" w:rsidRDefault="00413564" w:rsidP="00FF412E">
            <w:pPr>
              <w:pStyle w:val="NoSpacing"/>
              <w:rPr>
                <w:rFonts w:ascii="Arial" w:hAnsi="Arial" w:cs="Arial"/>
                <w:i/>
                <w:sz w:val="20"/>
                <w:szCs w:val="20"/>
              </w:rPr>
            </w:pPr>
            <w:r>
              <w:rPr>
                <w:rFonts w:ascii="Arial" w:hAnsi="Arial"/>
                <w:i/>
                <w:sz w:val="20"/>
              </w:rPr>
              <w:t xml:space="preserve">Objektivi specifik 2,3: Promovimi i përdorimit të energjisë së ripërtëritshme në ngrohje </w:t>
            </w:r>
          </w:p>
          <w:p w14:paraId="65EBD050" w14:textId="77777777" w:rsidR="00E652A5" w:rsidRPr="00802D92" w:rsidRDefault="00E652A5" w:rsidP="00E652A5">
            <w:pPr>
              <w:pStyle w:val="ListParagraph"/>
            </w:pPr>
          </w:p>
          <w:p w14:paraId="7D737A27" w14:textId="1DE0FB81" w:rsidR="00413564" w:rsidRPr="003A4F6C" w:rsidRDefault="00BF2F93" w:rsidP="00413564">
            <w:pPr>
              <w:pBdr>
                <w:top w:val="nil"/>
                <w:left w:val="nil"/>
                <w:bottom w:val="nil"/>
                <w:right w:val="nil"/>
                <w:between w:val="nil"/>
              </w:pBdr>
              <w:spacing w:after="120" w:line="252" w:lineRule="auto"/>
              <w:jc w:val="both"/>
              <w:rPr>
                <w:rFonts w:ascii="Arial" w:hAnsi="Arial" w:cs="Arial"/>
                <w:sz w:val="20"/>
                <w:szCs w:val="20"/>
              </w:rPr>
            </w:pPr>
            <w:r>
              <w:rPr>
                <w:rFonts w:ascii="Arial" w:hAnsi="Arial"/>
                <w:sz w:val="20"/>
              </w:rPr>
              <w:t>Do të promovohen sisteme individuale dhe/ose të ngrohjes qendrore (NQ) efikase dhe të pastra të bazuara në BRE. Studimi i fizibilitetit në vazhdim për sistemet e NQ në 8 komuna (përveç Gjakovës dhe Prishtinës që kanë NQ) do të konsiderojë BRE (p.sh. biomasa, gjeotermale, pompa e nxehtësisë diellore) si alternativa kryesore.</w:t>
            </w:r>
            <w:r w:rsidRPr="00AE36A9">
              <w:rPr>
                <w:rFonts w:ascii="Arial" w:hAnsi="Arial" w:cs="Arial"/>
                <w:sz w:val="20"/>
                <w:szCs w:val="20"/>
                <w:lang w:val="en"/>
              </w:rPr>
              <w:footnoteReference w:id="2"/>
            </w:r>
            <w:r>
              <w:rPr>
                <w:rFonts w:ascii="Arial" w:hAnsi="Arial"/>
                <w:sz w:val="20"/>
              </w:rPr>
              <w:t xml:space="preserve"> Madhësia dhe përzierja e këtyre teknologjive deri në vitin 2031 do të informohet nga studimi, ndërsa sistemi ekzistues i NQ të Prishtinës do të diversifikojë teknologjinë e tij për të përfshirë 70 MWth ngrohje me bazë diellore deri në vitin 2025. </w:t>
            </w:r>
          </w:p>
          <w:p w14:paraId="5319D0F6" w14:textId="0E11318D" w:rsidR="00FF412E" w:rsidRPr="004A0206" w:rsidRDefault="00413564" w:rsidP="00FF412E">
            <w:pPr>
              <w:pStyle w:val="NoSpacing"/>
              <w:rPr>
                <w:rFonts w:ascii="Arial" w:hAnsi="Arial" w:cs="Arial"/>
                <w:b/>
                <w:sz w:val="20"/>
                <w:szCs w:val="20"/>
              </w:rPr>
            </w:pPr>
            <w:bookmarkStart w:id="4" w:name="_Toc105408520"/>
            <w:bookmarkStart w:id="5" w:name="_Toc105408573"/>
            <w:bookmarkStart w:id="6" w:name="_Toc105408632"/>
            <w:bookmarkStart w:id="7" w:name="_Toc105506008"/>
            <w:r>
              <w:rPr>
                <w:rFonts w:ascii="Arial" w:hAnsi="Arial"/>
                <w:b/>
                <w:sz w:val="20"/>
              </w:rPr>
              <w:t>Objektivi strategjik 3: Rritja e efiçiencës së energjisë</w:t>
            </w:r>
            <w:bookmarkEnd w:id="4"/>
            <w:bookmarkEnd w:id="5"/>
            <w:bookmarkEnd w:id="6"/>
            <w:bookmarkEnd w:id="7"/>
            <w:r>
              <w:rPr>
                <w:rFonts w:ascii="Arial" w:hAnsi="Arial"/>
                <w:b/>
                <w:sz w:val="20"/>
              </w:rPr>
              <w:t xml:space="preserve"> </w:t>
            </w:r>
          </w:p>
          <w:p w14:paraId="1994FFA0" w14:textId="4A3AF6C5" w:rsidR="00413564" w:rsidRPr="004A0206" w:rsidRDefault="00413564" w:rsidP="00FF412E">
            <w:pPr>
              <w:pStyle w:val="NoSpacing"/>
              <w:rPr>
                <w:rFonts w:ascii="Arial" w:hAnsi="Arial" w:cs="Arial"/>
                <w:i/>
                <w:sz w:val="20"/>
                <w:szCs w:val="20"/>
              </w:rPr>
            </w:pPr>
            <w:r>
              <w:rPr>
                <w:rFonts w:ascii="Arial" w:hAnsi="Arial"/>
                <w:i/>
                <w:sz w:val="20"/>
              </w:rPr>
              <w:t xml:space="preserve">Objektivi specifik 3,2: Promovimi i kogjenerimit efiçient dhe sistemeve efiçiente të ngrohjes qendrore </w:t>
            </w:r>
          </w:p>
          <w:p w14:paraId="04C73315" w14:textId="77777777" w:rsidR="00BF2F93" w:rsidRPr="00802D92" w:rsidRDefault="00BF2F93" w:rsidP="00FF412E">
            <w:pPr>
              <w:pStyle w:val="NoSpacing"/>
              <w:rPr>
                <w:rFonts w:cs="Calibri"/>
                <w:b/>
              </w:rPr>
            </w:pPr>
          </w:p>
          <w:p w14:paraId="25CBE34A" w14:textId="200BB37B" w:rsidR="007F7D38" w:rsidRDefault="00BF2F93" w:rsidP="00413564">
            <w:pPr>
              <w:pBdr>
                <w:top w:val="nil"/>
                <w:left w:val="nil"/>
                <w:bottom w:val="nil"/>
                <w:right w:val="nil"/>
                <w:between w:val="nil"/>
              </w:pBdr>
              <w:spacing w:after="120" w:line="252" w:lineRule="auto"/>
              <w:jc w:val="both"/>
              <w:rPr>
                <w:rFonts w:ascii="Arial" w:hAnsi="Arial" w:cs="Arial"/>
                <w:sz w:val="20"/>
                <w:szCs w:val="20"/>
              </w:rPr>
            </w:pPr>
            <w:r>
              <w:rPr>
                <w:rFonts w:ascii="Arial" w:hAnsi="Arial"/>
                <w:sz w:val="20"/>
              </w:rPr>
              <w:t xml:space="preserve">Zhvillimi i sistemeve të NQ në komunat e tjera (Gjilan, Ferizaj, Drenas, Prizren, Obiliq, Pejë, Mitrovicë dhe Zveçan) është duke u vlerësuar. Zgjidhjet e ngrohjes do të dizajnohen në varësi të rezultateve të studimit dhe karakteristikave të zonave (p.sh. dendësia e popullsisë). Pas finalizimit do të mund të vlerësohet kontributi i këtyre projekteve në kursimin e energjisë. Sistemet e centralizuara për ngrohje kanë efikasitet të lartë dhe lidhja e ndërtesave ekzistuese me rrjetin e ngrohjes qendrore duhet të rezultojë në kursim të energjisë primare dhe përfundimtare. </w:t>
            </w:r>
          </w:p>
          <w:p w14:paraId="7BF1469A" w14:textId="77777777" w:rsidR="004A0206" w:rsidRPr="004A0206" w:rsidRDefault="004A0206" w:rsidP="00413564">
            <w:pPr>
              <w:pBdr>
                <w:top w:val="nil"/>
                <w:left w:val="nil"/>
                <w:bottom w:val="nil"/>
                <w:right w:val="nil"/>
                <w:between w:val="nil"/>
              </w:pBdr>
              <w:spacing w:after="120" w:line="252" w:lineRule="auto"/>
              <w:jc w:val="both"/>
              <w:rPr>
                <w:rFonts w:ascii="Arial" w:hAnsi="Arial" w:cs="Arial"/>
                <w:sz w:val="20"/>
                <w:szCs w:val="20"/>
                <w:lang w:val="en"/>
              </w:rPr>
            </w:pPr>
          </w:p>
          <w:p w14:paraId="19DB5272" w14:textId="213EF7EB" w:rsidR="007F7D38" w:rsidRPr="00802D92" w:rsidRDefault="007F7D38" w:rsidP="007F7D38">
            <w:pPr>
              <w:pStyle w:val="NoSpacing"/>
              <w:pBdr>
                <w:top w:val="nil"/>
                <w:left w:val="nil"/>
                <w:bottom w:val="nil"/>
                <w:right w:val="nil"/>
                <w:between w:val="nil"/>
              </w:pBdr>
              <w:rPr>
                <w:rFonts w:ascii="Arial" w:hAnsi="Arial" w:cs="Arial"/>
                <w:b/>
                <w:sz w:val="20"/>
                <w:szCs w:val="20"/>
              </w:rPr>
            </w:pPr>
            <w:r>
              <w:rPr>
                <w:rFonts w:ascii="Arial" w:hAnsi="Arial"/>
                <w:b/>
                <w:sz w:val="20"/>
              </w:rPr>
              <w:t>PROGRAMI I ZBATIMIT TË STRATEGJISË SË ENERGJISË 2022-2025</w:t>
            </w:r>
          </w:p>
          <w:p w14:paraId="589C04EE" w14:textId="77777777" w:rsidR="000064E5" w:rsidRDefault="000064E5" w:rsidP="000064E5">
            <w:pPr>
              <w:pStyle w:val="NoSpacing"/>
              <w:rPr>
                <w:rFonts w:cs="Calibri"/>
              </w:rPr>
            </w:pPr>
          </w:p>
          <w:p w14:paraId="7EE05EDA" w14:textId="77777777" w:rsidR="000B48ED" w:rsidRPr="004A0206" w:rsidRDefault="000B48ED" w:rsidP="000B48ED">
            <w:pPr>
              <w:pStyle w:val="NoSpacing"/>
              <w:rPr>
                <w:rFonts w:ascii="Arial" w:hAnsi="Arial" w:cs="Arial"/>
                <w:b/>
                <w:sz w:val="20"/>
                <w:szCs w:val="20"/>
              </w:rPr>
            </w:pPr>
            <w:r>
              <w:rPr>
                <w:rFonts w:ascii="Arial" w:hAnsi="Arial"/>
                <w:b/>
                <w:sz w:val="20"/>
              </w:rPr>
              <w:t>Objektivi strategjik 2: Dekarbonizimi dhe promovimi i energjisë së ripërtëritshme</w:t>
            </w:r>
          </w:p>
          <w:p w14:paraId="2CCD601E" w14:textId="44A6B421" w:rsidR="007F7D38" w:rsidRPr="004A0206" w:rsidRDefault="007F7D38" w:rsidP="000064E5">
            <w:pPr>
              <w:pStyle w:val="NoSpacing"/>
              <w:rPr>
                <w:rFonts w:ascii="Arial" w:hAnsi="Arial" w:cs="Arial"/>
                <w:i/>
                <w:sz w:val="20"/>
                <w:szCs w:val="20"/>
              </w:rPr>
            </w:pPr>
            <w:r>
              <w:rPr>
                <w:rFonts w:ascii="Arial" w:hAnsi="Arial"/>
                <w:i/>
                <w:sz w:val="20"/>
              </w:rPr>
              <w:t xml:space="preserve">Objektivi specifik 2,3: Promovimi i përdorimit të energjisë së ripërtëritshme në ngrohje </w:t>
            </w:r>
          </w:p>
          <w:p w14:paraId="4D7E576E" w14:textId="2F69E8B9" w:rsidR="007F7D38" w:rsidRPr="003A4F6C" w:rsidRDefault="000064E5" w:rsidP="007F7D38">
            <w:pPr>
              <w:pStyle w:val="NoSpacing"/>
              <w:pBdr>
                <w:top w:val="nil"/>
                <w:left w:val="nil"/>
                <w:bottom w:val="nil"/>
                <w:right w:val="nil"/>
                <w:between w:val="nil"/>
              </w:pBdr>
              <w:rPr>
                <w:rFonts w:asciiTheme="minorHAnsi" w:hAnsiTheme="minorHAnsi" w:cstheme="minorHAnsi"/>
                <w:bCs/>
              </w:rPr>
            </w:pPr>
            <w:r>
              <w:rPr>
                <w:rFonts w:ascii="Arial" w:hAnsi="Arial"/>
                <w:sz w:val="20"/>
              </w:rPr>
              <w:t xml:space="preserve">Aktiviteti 2.3.1: </w:t>
            </w:r>
            <w:r>
              <w:rPr>
                <w:rFonts w:asciiTheme="minorHAnsi" w:hAnsiTheme="minorHAnsi"/>
              </w:rPr>
              <w:t>Kosovë, Sistemet e Ngrohjes Qendrore: Studimi i Fizibilitetit, VNMS.</w:t>
            </w:r>
          </w:p>
          <w:p w14:paraId="7B336786" w14:textId="4091DBAF" w:rsidR="00340249" w:rsidRPr="00802D92" w:rsidRDefault="00340249" w:rsidP="00F776CE">
            <w:pPr>
              <w:pStyle w:val="NoSpacing"/>
              <w:rPr>
                <w:rFonts w:ascii="Arial" w:hAnsi="Arial" w:cs="Arial"/>
                <w:iCs/>
                <w:sz w:val="20"/>
                <w:szCs w:val="20"/>
                <w:lang w:val="en-US"/>
              </w:rPr>
            </w:pPr>
          </w:p>
        </w:tc>
      </w:tr>
    </w:tbl>
    <w:p w14:paraId="69C79FBB" w14:textId="77777777" w:rsidR="006F1611" w:rsidRPr="00781F2E" w:rsidRDefault="006F1611">
      <w:pPr>
        <w:spacing w:after="0" w:line="240" w:lineRule="auto"/>
        <w:rPr>
          <w:rFonts w:ascii="Arial" w:hAnsi="Arial" w:cs="Arial"/>
          <w:sz w:val="20"/>
          <w:szCs w:val="20"/>
        </w:rPr>
      </w:pPr>
    </w:p>
    <w:p w14:paraId="2A47BEA6" w14:textId="77777777" w:rsidR="00310010" w:rsidRPr="00781F2E" w:rsidRDefault="00310010">
      <w:pPr>
        <w:spacing w:after="0" w:line="240" w:lineRule="auto"/>
        <w:rPr>
          <w:rFonts w:ascii="Arial" w:hAnsi="Arial" w:cs="Arial"/>
          <w:sz w:val="20"/>
          <w:szCs w:val="20"/>
        </w:rPr>
      </w:pPr>
    </w:p>
    <w:p w14:paraId="1D69B2F5" w14:textId="77777777" w:rsidR="006F1611" w:rsidRPr="00781F2E" w:rsidRDefault="0074067A" w:rsidP="002136A1">
      <w:pPr>
        <w:pStyle w:val="ListParagraph"/>
        <w:numPr>
          <w:ilvl w:val="0"/>
          <w:numId w:val="37"/>
        </w:numPr>
        <w:spacing w:before="200" w:after="120"/>
        <w:rPr>
          <w:rFonts w:cs="Arial"/>
          <w:b/>
          <w:szCs w:val="20"/>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40"/>
        <w:gridCol w:w="5856"/>
      </w:tblGrid>
      <w:tr w:rsidR="0074067A" w:rsidRPr="00781F2E" w14:paraId="44E9EE2B"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0333DF" w14:textId="77777777" w:rsidR="0074067A" w:rsidRPr="00781F2E" w:rsidRDefault="0074067A" w:rsidP="0074067A">
            <w:pPr>
              <w:spacing w:after="0" w:line="240" w:lineRule="auto"/>
              <w:rPr>
                <w:rFonts w:ascii="Arial" w:hAnsi="Arial" w:cs="Arial"/>
                <w:sz w:val="20"/>
                <w:szCs w:val="20"/>
              </w:rPr>
            </w:pPr>
            <w:r>
              <w:rPr>
                <w:rFonts w:ascii="Arial" w:hAnsi="Arial"/>
                <w:b/>
                <w:sz w:val="20"/>
              </w:rPr>
              <w:t>Shpjegoni veçoritë e projektit në lidhje me:</w:t>
            </w:r>
          </w:p>
        </w:tc>
      </w:tr>
      <w:tr w:rsidR="002347EF" w:rsidRPr="00781F2E" w14:paraId="677C6D9D" w14:textId="77777777" w:rsidTr="009352C9">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D62C0B6" w14:textId="3BE384CC" w:rsidR="002347EF" w:rsidRPr="00781F2E" w:rsidRDefault="002E1900" w:rsidP="002347EF">
            <w:pPr>
              <w:spacing w:after="0" w:line="240" w:lineRule="auto"/>
              <w:rPr>
                <w:rFonts w:ascii="Arial" w:hAnsi="Arial" w:cs="Arial"/>
                <w:sz w:val="20"/>
                <w:szCs w:val="20"/>
              </w:rPr>
            </w:pPr>
            <w:r>
              <w:rPr>
                <w:rFonts w:ascii="Arial" w:hAnsi="Arial"/>
                <w:sz w:val="20"/>
              </w:rPr>
              <w:t xml:space="preserve">Përfshirja </w:t>
            </w:r>
            <w:r w:rsidR="002347EF">
              <w:rPr>
                <w:rFonts w:ascii="Arial" w:hAnsi="Arial"/>
                <w:sz w:val="20"/>
              </w:rPr>
              <w:t>në listën e fundit PECI</w:t>
            </w:r>
          </w:p>
        </w:tc>
        <w:tc>
          <w:tcPr>
            <w:tcW w:w="2989" w:type="pct"/>
            <w:tcBorders>
              <w:top w:val="single" w:sz="4" w:space="0" w:color="auto"/>
              <w:left w:val="single" w:sz="4" w:space="0" w:color="auto"/>
              <w:bottom w:val="single" w:sz="4" w:space="0" w:color="auto"/>
              <w:right w:val="single" w:sz="4" w:space="0" w:color="auto"/>
            </w:tcBorders>
          </w:tcPr>
          <w:p w14:paraId="3087DED5" w14:textId="4C2211EF" w:rsidR="002347EF" w:rsidRPr="00781F2E" w:rsidRDefault="008B7931" w:rsidP="002347EF">
            <w:pPr>
              <w:rPr>
                <w:rFonts w:ascii="Arial" w:hAnsi="Arial" w:cs="Arial"/>
                <w:sz w:val="20"/>
                <w:szCs w:val="20"/>
              </w:rPr>
            </w:pPr>
            <w:r>
              <w:rPr>
                <w:rFonts w:ascii="Arial" w:hAnsi="Arial"/>
                <w:sz w:val="20"/>
              </w:rPr>
              <w:t>No</w:t>
            </w:r>
          </w:p>
        </w:tc>
      </w:tr>
      <w:tr w:rsidR="002347EF" w:rsidRPr="00781F2E" w14:paraId="78111A2E"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B8610E1" w14:textId="77777777" w:rsidR="002347EF" w:rsidRPr="002136A1" w:rsidRDefault="002347EF" w:rsidP="002347EF">
            <w:pPr>
              <w:spacing w:after="0" w:line="240" w:lineRule="auto"/>
              <w:rPr>
                <w:rFonts w:ascii="Arial" w:hAnsi="Arial" w:cs="Arial"/>
                <w:sz w:val="20"/>
                <w:szCs w:val="20"/>
              </w:rPr>
            </w:pPr>
            <w:r>
              <w:rPr>
                <w:rFonts w:ascii="Arial" w:hAnsi="Arial"/>
                <w:sz w:val="20"/>
              </w:rPr>
              <w:lastRenderedPageBreak/>
              <w:t>Koherenca e tij me planet e zhvillimit të infrastrukturës ENTSO-E, ENTSOG</w:t>
            </w:r>
          </w:p>
        </w:tc>
        <w:tc>
          <w:tcPr>
            <w:tcW w:w="2989" w:type="pct"/>
            <w:tcBorders>
              <w:top w:val="single" w:sz="4" w:space="0" w:color="auto"/>
              <w:left w:val="single" w:sz="4" w:space="0" w:color="auto"/>
              <w:bottom w:val="single" w:sz="4" w:space="0" w:color="auto"/>
              <w:right w:val="single" w:sz="4" w:space="0" w:color="auto"/>
            </w:tcBorders>
          </w:tcPr>
          <w:p w14:paraId="51425058" w14:textId="58D70862" w:rsidR="002347EF" w:rsidRPr="002136A1" w:rsidRDefault="008B7931" w:rsidP="002347EF">
            <w:pPr>
              <w:rPr>
                <w:rFonts w:ascii="Arial" w:hAnsi="Arial" w:cs="Arial"/>
                <w:sz w:val="20"/>
                <w:szCs w:val="20"/>
              </w:rPr>
            </w:pPr>
            <w:r>
              <w:rPr>
                <w:rFonts w:ascii="Arial" w:hAnsi="Arial"/>
                <w:sz w:val="20"/>
              </w:rPr>
              <w:t>No</w:t>
            </w:r>
          </w:p>
        </w:tc>
      </w:tr>
      <w:tr w:rsidR="002347EF" w:rsidRPr="00781F2E" w14:paraId="14C9E588"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3264B39" w14:textId="2C40A5FD" w:rsidR="002347EF" w:rsidRPr="00781F2E" w:rsidRDefault="002E1900" w:rsidP="002347EF">
            <w:pPr>
              <w:spacing w:after="0" w:line="240" w:lineRule="auto"/>
              <w:rPr>
                <w:rFonts w:ascii="Arial" w:hAnsi="Arial" w:cs="Arial"/>
                <w:sz w:val="20"/>
                <w:szCs w:val="20"/>
              </w:rPr>
            </w:pPr>
            <w:r>
              <w:rPr>
                <w:rFonts w:ascii="Arial" w:hAnsi="Arial"/>
                <w:sz w:val="20"/>
              </w:rPr>
              <w:t xml:space="preserve">Kontributi </w:t>
            </w:r>
            <w:r w:rsidR="002347EF">
              <w:rPr>
                <w:rFonts w:ascii="Arial" w:hAnsi="Arial"/>
                <w:sz w:val="20"/>
              </w:rPr>
              <w:t>në përmirësimin e sigurisë së furnizimit</w:t>
            </w:r>
          </w:p>
        </w:tc>
        <w:tc>
          <w:tcPr>
            <w:tcW w:w="2989" w:type="pct"/>
            <w:tcBorders>
              <w:top w:val="single" w:sz="4" w:space="0" w:color="auto"/>
              <w:left w:val="single" w:sz="4" w:space="0" w:color="auto"/>
              <w:bottom w:val="single" w:sz="4" w:space="0" w:color="auto"/>
              <w:right w:val="single" w:sz="4" w:space="0" w:color="auto"/>
            </w:tcBorders>
          </w:tcPr>
          <w:p w14:paraId="37E9F3FB" w14:textId="4E62D48F" w:rsidR="002347EF" w:rsidRDefault="000410EB" w:rsidP="00AE36A9">
            <w:pPr>
              <w:jc w:val="both"/>
              <w:rPr>
                <w:rFonts w:ascii="Arial" w:hAnsi="Arial" w:cs="Arial"/>
                <w:sz w:val="20"/>
                <w:szCs w:val="20"/>
              </w:rPr>
            </w:pPr>
            <w:r>
              <w:rPr>
                <w:rFonts w:ascii="Arial" w:hAnsi="Arial"/>
                <w:sz w:val="20"/>
              </w:rPr>
              <w:t>Ky projekt do të ndikojë në uljen e përdorimit të energjisë elektrike për ngrohje, gjë që ndikon drejtpërdrejt në rritjen e sigurisë së furnizimit me energji përmes shfrytëzimit të burimeve të tjera si BRE.</w:t>
            </w:r>
          </w:p>
          <w:p w14:paraId="2F20B4EE" w14:textId="579917F5" w:rsidR="000410EB" w:rsidRPr="00781F2E" w:rsidRDefault="000410EB" w:rsidP="00AE36A9">
            <w:pPr>
              <w:jc w:val="both"/>
              <w:rPr>
                <w:rFonts w:ascii="Arial" w:hAnsi="Arial" w:cs="Arial"/>
                <w:sz w:val="20"/>
                <w:szCs w:val="20"/>
              </w:rPr>
            </w:pPr>
            <w:r>
              <w:rPr>
                <w:rFonts w:ascii="Arial" w:hAnsi="Arial"/>
                <w:sz w:val="20"/>
              </w:rPr>
              <w:t>Nëpërmjet këtij projekti do të ndërtohet sistemi i ngrohjes qendrore në një ose dy komuna të cilat do të përzgjidhen për ndërtimin e Ngrohjes Qendrore. Qëllimi është përdorimi i BRE-ve për ngrohje, si p.sh. Energjia diellore; Ujërat nëntokësore për përdorim në shkallë të gjerë të pompës së nxehtësisë; Nxehtësia gjeotermale; Biomasa; Biogaz; Humbja e nxehtësisë nga termocentralet ose industria, dhe kur është e mundur kogjenerimi.</w:t>
            </w:r>
          </w:p>
        </w:tc>
      </w:tr>
      <w:tr w:rsidR="002347EF" w:rsidRPr="00781F2E" w14:paraId="150A559B" w14:textId="77777777" w:rsidTr="00D012CC">
        <w:trPr>
          <w:trHeight w:val="5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077486F" w14:textId="3DCD43F1" w:rsidR="002347EF" w:rsidRPr="00781F2E" w:rsidRDefault="008C1062" w:rsidP="002347EF">
            <w:pPr>
              <w:spacing w:after="0" w:line="240" w:lineRule="auto"/>
              <w:rPr>
                <w:rFonts w:ascii="Arial" w:hAnsi="Arial" w:cs="Arial"/>
                <w:sz w:val="20"/>
                <w:szCs w:val="20"/>
              </w:rPr>
            </w:pPr>
            <w:r>
              <w:rPr>
                <w:rFonts w:ascii="Arial" w:hAnsi="Arial"/>
                <w:sz w:val="20"/>
              </w:rPr>
              <w:t xml:space="preserve">Ndikimi </w:t>
            </w:r>
            <w:r w:rsidR="002347EF">
              <w:rPr>
                <w:rFonts w:ascii="Arial" w:hAnsi="Arial"/>
                <w:sz w:val="20"/>
              </w:rPr>
              <w:t>në përmirësimin e infrastrukturës lokale</w:t>
            </w:r>
          </w:p>
        </w:tc>
        <w:tc>
          <w:tcPr>
            <w:tcW w:w="2989" w:type="pct"/>
            <w:tcBorders>
              <w:top w:val="single" w:sz="4" w:space="0" w:color="auto"/>
              <w:left w:val="single" w:sz="4" w:space="0" w:color="auto"/>
              <w:bottom w:val="single" w:sz="4" w:space="0" w:color="auto"/>
              <w:right w:val="single" w:sz="4" w:space="0" w:color="auto"/>
            </w:tcBorders>
          </w:tcPr>
          <w:p w14:paraId="1B227C61" w14:textId="08C55280" w:rsidR="00D012CC" w:rsidRPr="00781F2E" w:rsidRDefault="004908D4" w:rsidP="00AE36A9">
            <w:pPr>
              <w:jc w:val="both"/>
              <w:rPr>
                <w:rFonts w:ascii="Arial" w:hAnsi="Arial" w:cs="Arial"/>
                <w:sz w:val="20"/>
                <w:szCs w:val="20"/>
              </w:rPr>
            </w:pPr>
            <w:r>
              <w:rPr>
                <w:rFonts w:ascii="Arial" w:hAnsi="Arial"/>
                <w:sz w:val="20"/>
              </w:rPr>
              <w:t xml:space="preserve">Kjo do të përmirësojë sistemet e nxehjes qendrore në nivel lokal në Kosovë. </w:t>
            </w:r>
          </w:p>
        </w:tc>
      </w:tr>
      <w:tr w:rsidR="002347EF" w:rsidRPr="00781F2E" w14:paraId="024A820E"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882CFE8" w14:textId="77777777" w:rsidR="002347EF" w:rsidRPr="00781F2E" w:rsidRDefault="002347EF" w:rsidP="002347EF">
            <w:pPr>
              <w:spacing w:after="0" w:line="240" w:lineRule="auto"/>
              <w:rPr>
                <w:rFonts w:ascii="Arial" w:hAnsi="Arial" w:cs="Arial"/>
                <w:sz w:val="20"/>
                <w:szCs w:val="20"/>
              </w:rPr>
            </w:pPr>
            <w:r>
              <w:rPr>
                <w:rFonts w:ascii="Arial" w:hAnsi="Arial"/>
                <w:sz w:val="20"/>
              </w:rPr>
              <w:t>Rritja e burimeve të ripërtërishme të energjisë dhe/ose efiçencës së energjisë</w:t>
            </w:r>
          </w:p>
        </w:tc>
        <w:tc>
          <w:tcPr>
            <w:tcW w:w="2989" w:type="pct"/>
            <w:tcBorders>
              <w:top w:val="single" w:sz="4" w:space="0" w:color="auto"/>
              <w:left w:val="single" w:sz="4" w:space="0" w:color="auto"/>
              <w:bottom w:val="single" w:sz="4" w:space="0" w:color="auto"/>
              <w:right w:val="single" w:sz="4" w:space="0" w:color="auto"/>
            </w:tcBorders>
          </w:tcPr>
          <w:p w14:paraId="5D6EE4C0" w14:textId="5452F139" w:rsidR="002347EF" w:rsidRPr="00781F2E" w:rsidRDefault="002347EF" w:rsidP="00AE36A9">
            <w:pPr>
              <w:jc w:val="both"/>
              <w:rPr>
                <w:rFonts w:ascii="Arial" w:hAnsi="Arial" w:cs="Arial"/>
                <w:sz w:val="20"/>
                <w:szCs w:val="20"/>
              </w:rPr>
            </w:pPr>
            <w:r>
              <w:rPr>
                <w:rFonts w:ascii="Arial" w:hAnsi="Arial"/>
                <w:sz w:val="20"/>
              </w:rPr>
              <w:t xml:space="preserve">Zbatimi i projektit ka ndikim të drejtpërdrejtë në rritjen e efiçencës së energjisë dhe shfrytëzimin e BRE.  </w:t>
            </w:r>
          </w:p>
        </w:tc>
      </w:tr>
      <w:tr w:rsidR="002347EF" w:rsidRPr="00781F2E" w14:paraId="61ED03C2"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F6C0090" w14:textId="77777777" w:rsidR="002347EF" w:rsidRPr="00781F2E" w:rsidRDefault="002347EF" w:rsidP="002347EF">
            <w:pPr>
              <w:spacing w:after="0" w:line="240" w:lineRule="auto"/>
              <w:rPr>
                <w:rFonts w:ascii="Arial" w:hAnsi="Arial" w:cs="Arial"/>
                <w:sz w:val="20"/>
                <w:szCs w:val="20"/>
              </w:rPr>
            </w:pPr>
            <w:r>
              <w:rPr>
                <w:rFonts w:ascii="Arial" w:hAnsi="Arial"/>
                <w:sz w:val="20"/>
              </w:rPr>
              <w:t>Reduktimi i emetimeve të CO</w:t>
            </w:r>
            <w:r>
              <w:rPr>
                <w:rFonts w:ascii="Arial" w:hAnsi="Arial"/>
                <w:sz w:val="20"/>
                <w:vertAlign w:val="subscript"/>
              </w:rPr>
              <w:t>2</w:t>
            </w:r>
          </w:p>
        </w:tc>
        <w:tc>
          <w:tcPr>
            <w:tcW w:w="2989" w:type="pct"/>
            <w:tcBorders>
              <w:top w:val="single" w:sz="4" w:space="0" w:color="auto"/>
              <w:left w:val="single" w:sz="4" w:space="0" w:color="auto"/>
              <w:bottom w:val="single" w:sz="4" w:space="0" w:color="auto"/>
              <w:right w:val="single" w:sz="4" w:space="0" w:color="auto"/>
            </w:tcBorders>
          </w:tcPr>
          <w:p w14:paraId="6D5E9E55" w14:textId="0AFB491C" w:rsidR="00956A71" w:rsidRPr="00781F2E" w:rsidRDefault="002347EF" w:rsidP="002347EF">
            <w:pPr>
              <w:rPr>
                <w:rFonts w:ascii="Arial" w:hAnsi="Arial" w:cs="Arial"/>
                <w:sz w:val="20"/>
                <w:szCs w:val="20"/>
              </w:rPr>
            </w:pPr>
            <w:r>
              <w:rPr>
                <w:rFonts w:ascii="Arial" w:hAnsi="Arial"/>
                <w:sz w:val="20"/>
              </w:rPr>
              <w:t>Kjo ka ndikim në reduktimin e emetimeve të CO</w:t>
            </w:r>
            <w:r>
              <w:rPr>
                <w:rFonts w:ascii="Arial" w:hAnsi="Arial"/>
                <w:sz w:val="20"/>
                <w:vertAlign w:val="subscript"/>
              </w:rPr>
              <w:t>2</w:t>
            </w:r>
            <w:r>
              <w:rPr>
                <w:rFonts w:ascii="Arial" w:hAnsi="Arial"/>
                <w:sz w:val="20"/>
              </w:rPr>
              <w:t xml:space="preserve">. </w:t>
            </w:r>
          </w:p>
        </w:tc>
      </w:tr>
      <w:tr w:rsidR="00960BF9" w:rsidRPr="00781F2E" w14:paraId="7531C824" w14:textId="77777777" w:rsidTr="004A0206">
        <w:trPr>
          <w:trHeight w:val="863"/>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CB6246F" w14:textId="44BE4954" w:rsidR="00960BF9" w:rsidRPr="00781F2E" w:rsidRDefault="008C1062" w:rsidP="00960BF9">
            <w:pPr>
              <w:spacing w:after="0" w:line="240" w:lineRule="auto"/>
              <w:rPr>
                <w:rFonts w:ascii="Arial" w:hAnsi="Arial" w:cs="Arial"/>
                <w:sz w:val="20"/>
                <w:szCs w:val="20"/>
              </w:rPr>
            </w:pPr>
            <w:r>
              <w:rPr>
                <w:rFonts w:ascii="Arial" w:hAnsi="Arial"/>
                <w:sz w:val="20"/>
              </w:rPr>
              <w:t xml:space="preserve">Kontributi </w:t>
            </w:r>
            <w:r w:rsidR="00960BF9">
              <w:rPr>
                <w:rFonts w:ascii="Arial" w:hAnsi="Arial"/>
                <w:sz w:val="20"/>
              </w:rPr>
              <w:t>në rritjen e përgjithshme ekonomike</w:t>
            </w:r>
          </w:p>
        </w:tc>
        <w:tc>
          <w:tcPr>
            <w:tcW w:w="2989" w:type="pct"/>
            <w:tcBorders>
              <w:top w:val="single" w:sz="4" w:space="0" w:color="auto"/>
              <w:left w:val="single" w:sz="4" w:space="0" w:color="auto"/>
              <w:bottom w:val="single" w:sz="4" w:space="0" w:color="auto"/>
              <w:right w:val="single" w:sz="4" w:space="0" w:color="auto"/>
            </w:tcBorders>
          </w:tcPr>
          <w:p w14:paraId="52A092EF" w14:textId="0CFD0BC6" w:rsidR="00960BF9" w:rsidRPr="00781F2E" w:rsidRDefault="004908D4" w:rsidP="00AE36A9">
            <w:pPr>
              <w:jc w:val="both"/>
              <w:rPr>
                <w:rFonts w:ascii="Arial" w:hAnsi="Arial" w:cs="Arial"/>
                <w:sz w:val="20"/>
                <w:szCs w:val="20"/>
              </w:rPr>
            </w:pPr>
            <w:r>
              <w:rPr>
                <w:rFonts w:ascii="Arial" w:hAnsi="Arial"/>
                <w:sz w:val="20"/>
              </w:rPr>
              <w:t>Projekti do të kontribuojë në rritjen ekonomike, rritjen e të ardhurave financiare në nivel komunal dhe krijimin e vendeve të reja të punës.</w:t>
            </w:r>
          </w:p>
        </w:tc>
      </w:tr>
      <w:tr w:rsidR="00960BF9" w:rsidRPr="00781F2E" w14:paraId="2EEFC762"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1D80DCF" w14:textId="77777777" w:rsidR="00960BF9" w:rsidRPr="00781F2E" w:rsidRDefault="00960BF9" w:rsidP="00960BF9">
            <w:pPr>
              <w:spacing w:after="0" w:line="240" w:lineRule="auto"/>
              <w:rPr>
                <w:rFonts w:ascii="Arial" w:hAnsi="Arial" w:cs="Arial"/>
                <w:sz w:val="20"/>
                <w:szCs w:val="20"/>
              </w:rPr>
            </w:pPr>
            <w:r>
              <w:rPr>
                <w:rFonts w:ascii="Arial" w:hAnsi="Arial"/>
                <w:sz w:val="20"/>
              </w:rPr>
              <w:t>Integrimi me projekte të tjera</w:t>
            </w:r>
          </w:p>
        </w:tc>
        <w:tc>
          <w:tcPr>
            <w:tcW w:w="2989" w:type="pct"/>
            <w:tcBorders>
              <w:top w:val="single" w:sz="4" w:space="0" w:color="auto"/>
              <w:left w:val="single" w:sz="4" w:space="0" w:color="auto"/>
              <w:bottom w:val="single" w:sz="4" w:space="0" w:color="auto"/>
              <w:right w:val="single" w:sz="4" w:space="0" w:color="auto"/>
            </w:tcBorders>
          </w:tcPr>
          <w:p w14:paraId="28967413" w14:textId="0879EF2D" w:rsidR="00960BF9" w:rsidRPr="00781F2E" w:rsidRDefault="002D2E10" w:rsidP="00AE36A9">
            <w:pPr>
              <w:jc w:val="both"/>
              <w:rPr>
                <w:rFonts w:ascii="Arial" w:hAnsi="Arial" w:cs="Arial"/>
                <w:sz w:val="20"/>
                <w:szCs w:val="20"/>
              </w:rPr>
            </w:pPr>
            <w:r>
              <w:rPr>
                <w:rFonts w:ascii="Arial" w:hAnsi="Arial"/>
                <w:sz w:val="20"/>
              </w:rPr>
              <w:t xml:space="preserve">Ky projekt mund të integrohet me kogjenerimin e Termokosit me Kosova B në Komunën e Obiliqit. </w:t>
            </w:r>
          </w:p>
        </w:tc>
      </w:tr>
      <w:tr w:rsidR="002347EF" w:rsidRPr="00781F2E" w14:paraId="631EA3BE" w14:textId="77777777" w:rsidTr="009352C9">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FC0C335" w14:textId="77777777" w:rsidR="002347EF" w:rsidRPr="00781F2E" w:rsidRDefault="002347EF" w:rsidP="002347EF">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tcPr>
          <w:p w14:paraId="610DA277" w14:textId="03C51B94" w:rsidR="002347EF" w:rsidRPr="00781F2E" w:rsidRDefault="00A13C3D" w:rsidP="00AE36A9">
            <w:pPr>
              <w:jc w:val="both"/>
              <w:rPr>
                <w:rFonts w:ascii="Arial" w:hAnsi="Arial" w:cs="Arial"/>
                <w:sz w:val="20"/>
                <w:szCs w:val="20"/>
              </w:rPr>
            </w:pPr>
            <w:r>
              <w:rPr>
                <w:rFonts w:ascii="Arial" w:hAnsi="Arial"/>
                <w:sz w:val="20"/>
              </w:rPr>
              <w:t>Mosrealizimi i këtij projekti do të mundësojë vazhdimin e shfrytëzimit të energjisë elektrike për ngrohje dhe kjo do të rrezikojë edhe më tej sigurinë e furnizimit me energji elektrike, sidomos në stinën e dimrit. Gjithashtu, rreziku për projektin është afati kohor i zhvillimit të projektit dhe qasja në financa.</w:t>
            </w:r>
          </w:p>
        </w:tc>
      </w:tr>
    </w:tbl>
    <w:p w14:paraId="297C9B2C" w14:textId="77777777" w:rsidR="0074067A" w:rsidRPr="00781F2E" w:rsidRDefault="0074067A" w:rsidP="001C2CAF">
      <w:pPr>
        <w:pStyle w:val="Heading1"/>
        <w:spacing w:before="240" w:after="120"/>
        <w:jc w:val="center"/>
        <w:rPr>
          <w:rFonts w:ascii="Arial" w:hAnsi="Arial" w:cs="Arial"/>
          <w:color w:val="auto"/>
          <w:sz w:val="20"/>
          <w:szCs w:val="20"/>
        </w:rPr>
      </w:pPr>
      <w:r>
        <w:rPr>
          <w:rFonts w:ascii="Arial" w:hAnsi="Arial"/>
          <w:color w:val="auto"/>
          <w:sz w:val="20"/>
        </w:rPr>
        <w:t>Pjesa e dytë</w:t>
      </w:r>
    </w:p>
    <w:p w14:paraId="2C59B716" w14:textId="77777777" w:rsidR="0074067A" w:rsidRPr="00781F2E" w:rsidRDefault="0074067A" w:rsidP="002136A1">
      <w:pPr>
        <w:pStyle w:val="ListParagraph"/>
        <w:numPr>
          <w:ilvl w:val="0"/>
          <w:numId w:val="37"/>
        </w:numPr>
        <w:spacing w:after="120"/>
        <w:rPr>
          <w:rFonts w:cs="Arial"/>
          <w:b/>
          <w:szCs w:val="20"/>
        </w:rPr>
      </w:pPr>
      <w:r>
        <w:rPr>
          <w:b/>
        </w:rPr>
        <w:t>MATURITETI</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62"/>
        <w:gridCol w:w="1567"/>
        <w:gridCol w:w="1395"/>
        <w:gridCol w:w="1272"/>
      </w:tblGrid>
      <w:tr w:rsidR="0074067A" w:rsidRPr="00781F2E" w14:paraId="348A729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18124" w14:textId="77777777" w:rsidR="0074067A" w:rsidRPr="00781F2E" w:rsidRDefault="0074067A" w:rsidP="0074067A">
            <w:pPr>
              <w:spacing w:after="0" w:line="240" w:lineRule="auto"/>
              <w:rPr>
                <w:rFonts w:ascii="Arial" w:hAnsi="Arial" w:cs="Arial"/>
                <w:b/>
                <w:sz w:val="20"/>
                <w:szCs w:val="20"/>
              </w:rPr>
            </w:pPr>
            <w:r>
              <w:rPr>
                <w:rFonts w:ascii="Arial" w:hAnsi="Arial"/>
                <w:b/>
                <w:sz w:val="20"/>
              </w:rPr>
              <w:t>Studimet dhe dokumentet në dispozicion</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3F3C1" w14:textId="77777777" w:rsidR="0074067A" w:rsidRPr="00781F2E" w:rsidRDefault="0074067A" w:rsidP="0074067A">
            <w:pPr>
              <w:spacing w:after="0" w:line="240" w:lineRule="auto"/>
              <w:jc w:val="center"/>
              <w:rPr>
                <w:rFonts w:ascii="Arial" w:hAnsi="Arial" w:cs="Arial"/>
                <w:b/>
                <w:sz w:val="20"/>
                <w:szCs w:val="20"/>
              </w:rPr>
            </w:pPr>
            <w:r>
              <w:rPr>
                <w:rFonts w:ascii="Arial" w:hAnsi="Arial"/>
                <w:b/>
                <w:sz w:val="20"/>
              </w:rPr>
              <w:t>Gati dhe të miratuara</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B1D5C" w14:textId="77777777" w:rsidR="0074067A" w:rsidRPr="00781F2E" w:rsidRDefault="0074067A" w:rsidP="0074067A">
            <w:pPr>
              <w:spacing w:after="0" w:line="240" w:lineRule="auto"/>
              <w:jc w:val="center"/>
              <w:rPr>
                <w:rFonts w:ascii="Arial" w:hAnsi="Arial" w:cs="Arial"/>
                <w:b/>
                <w:sz w:val="20"/>
                <w:szCs w:val="20"/>
              </w:rPr>
            </w:pPr>
            <w:r>
              <w:rPr>
                <w:rFonts w:ascii="Arial" w:hAnsi="Arial"/>
                <w:b/>
                <w:sz w:val="20"/>
              </w:rPr>
              <w:t>Duke u punuar</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241FD" w14:textId="77777777" w:rsidR="0074067A" w:rsidRPr="00781F2E" w:rsidRDefault="0074067A" w:rsidP="0074067A">
            <w:pPr>
              <w:spacing w:after="0" w:line="240" w:lineRule="auto"/>
              <w:jc w:val="center"/>
              <w:rPr>
                <w:rFonts w:ascii="Arial" w:hAnsi="Arial" w:cs="Arial"/>
                <w:b/>
                <w:sz w:val="20"/>
                <w:szCs w:val="20"/>
              </w:rPr>
            </w:pPr>
            <w:r>
              <w:rPr>
                <w:rFonts w:ascii="Arial" w:hAnsi="Arial"/>
                <w:b/>
                <w:sz w:val="20"/>
              </w:rPr>
              <w:t>Nuk ka filluar ende</w:t>
            </w:r>
          </w:p>
        </w:tc>
      </w:tr>
      <w:tr w:rsidR="002A5222" w:rsidRPr="00781F2E" w14:paraId="7216BA7C"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E5A98A5" w14:textId="77777777" w:rsidR="002A5222" w:rsidRPr="00781F2E" w:rsidRDefault="002A5222" w:rsidP="0074067A">
            <w:pPr>
              <w:spacing w:after="0" w:line="240" w:lineRule="auto"/>
              <w:rPr>
                <w:rFonts w:ascii="Arial" w:hAnsi="Arial" w:cs="Arial"/>
                <w:sz w:val="20"/>
                <w:szCs w:val="20"/>
              </w:rPr>
            </w:pPr>
            <w:r>
              <w:rPr>
                <w:rFonts w:ascii="Arial" w:hAnsi="Arial"/>
                <w:sz w:val="20"/>
              </w:rPr>
              <w:t>Idea konceptuale</w:t>
            </w:r>
          </w:p>
        </w:tc>
        <w:tc>
          <w:tcPr>
            <w:tcW w:w="800" w:type="pct"/>
            <w:tcBorders>
              <w:top w:val="single" w:sz="4" w:space="0" w:color="auto"/>
              <w:left w:val="single" w:sz="4" w:space="0" w:color="auto"/>
              <w:bottom w:val="single" w:sz="4" w:space="0" w:color="auto"/>
              <w:right w:val="single" w:sz="4" w:space="0" w:color="auto"/>
            </w:tcBorders>
            <w:vAlign w:val="center"/>
          </w:tcPr>
          <w:p w14:paraId="349EB59A" w14:textId="012E5718" w:rsidR="002A5222" w:rsidRPr="00781F2E" w:rsidRDefault="004A0206" w:rsidP="004A0206">
            <w:pPr>
              <w:spacing w:after="0" w:line="240" w:lineRule="auto"/>
              <w:jc w:val="center"/>
              <w:rPr>
                <w:rFonts w:ascii="Arial" w:hAnsi="Arial" w:cs="Arial"/>
                <w:sz w:val="20"/>
                <w:szCs w:val="20"/>
              </w:rPr>
            </w:pPr>
            <w:r>
              <w:rPr>
                <w:rFonts w:ascii="Arial" w:hAnsi="Arial"/>
                <w:sz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47A9AF9C" w14:textId="77777777" w:rsidR="002A5222" w:rsidRPr="00781F2E" w:rsidRDefault="002A5222"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3C2C545" w14:textId="77777777" w:rsidR="002A5222" w:rsidRPr="00781F2E" w:rsidRDefault="002A5222" w:rsidP="004A0206">
            <w:pPr>
              <w:jc w:val="center"/>
              <w:rPr>
                <w:rFonts w:ascii="Arial" w:hAnsi="Arial" w:cs="Arial"/>
                <w:sz w:val="20"/>
                <w:szCs w:val="20"/>
              </w:rPr>
            </w:pPr>
          </w:p>
        </w:tc>
      </w:tr>
      <w:tr w:rsidR="001B5CDA" w:rsidRPr="00781F2E" w14:paraId="588AB324"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CFD1FC1" w14:textId="77777777" w:rsidR="001B5CDA" w:rsidRPr="00781F2E" w:rsidRDefault="001B5CDA" w:rsidP="001B5CDA">
            <w:pPr>
              <w:spacing w:after="0" w:line="240" w:lineRule="auto"/>
              <w:rPr>
                <w:rFonts w:ascii="Arial" w:hAnsi="Arial" w:cs="Arial"/>
                <w:sz w:val="20"/>
                <w:szCs w:val="20"/>
              </w:rPr>
            </w:pPr>
            <w:r>
              <w:rPr>
                <w:rFonts w:ascii="Arial" w:hAnsi="Arial"/>
                <w:sz w:val="20"/>
              </w:rPr>
              <w:t>Studimi paraprak i fizibilitetit</w:t>
            </w:r>
          </w:p>
        </w:tc>
        <w:tc>
          <w:tcPr>
            <w:tcW w:w="800" w:type="pct"/>
            <w:tcBorders>
              <w:top w:val="single" w:sz="4" w:space="0" w:color="auto"/>
              <w:left w:val="single" w:sz="4" w:space="0" w:color="auto"/>
              <w:bottom w:val="single" w:sz="4" w:space="0" w:color="auto"/>
              <w:right w:val="single" w:sz="4" w:space="0" w:color="auto"/>
            </w:tcBorders>
            <w:vAlign w:val="center"/>
          </w:tcPr>
          <w:p w14:paraId="45B820EE" w14:textId="22EE6005" w:rsidR="001B5CDA" w:rsidRPr="004A0206" w:rsidRDefault="004A0206" w:rsidP="004A0206">
            <w:pPr>
              <w:spacing w:line="240" w:lineRule="auto"/>
              <w:jc w:val="center"/>
              <w:rPr>
                <w:rFonts w:cs="Arial"/>
                <w:szCs w:val="20"/>
              </w:rPr>
            </w:pPr>
            <w:r>
              <w:t>X</w:t>
            </w:r>
          </w:p>
        </w:tc>
        <w:tc>
          <w:tcPr>
            <w:tcW w:w="712" w:type="pct"/>
            <w:tcBorders>
              <w:top w:val="single" w:sz="4" w:space="0" w:color="auto"/>
              <w:left w:val="single" w:sz="4" w:space="0" w:color="auto"/>
              <w:bottom w:val="single" w:sz="4" w:space="0" w:color="auto"/>
              <w:right w:val="single" w:sz="4" w:space="0" w:color="auto"/>
            </w:tcBorders>
            <w:vAlign w:val="center"/>
          </w:tcPr>
          <w:p w14:paraId="43D42101" w14:textId="77777777" w:rsidR="001B5CDA" w:rsidRPr="00802D92" w:rsidRDefault="001B5CDA" w:rsidP="004A0206">
            <w:pPr>
              <w:pStyle w:val="ListParagraph"/>
              <w:spacing w:line="240" w:lineRule="auto"/>
              <w:jc w:val="center"/>
              <w:rPr>
                <w:rFonts w:cs="Arial"/>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C02F556" w14:textId="77777777" w:rsidR="001B5CDA" w:rsidRPr="00034F43" w:rsidRDefault="001B5CDA" w:rsidP="004A0206">
            <w:pPr>
              <w:pStyle w:val="ListParagraph"/>
              <w:jc w:val="center"/>
              <w:rPr>
                <w:rFonts w:cs="Arial"/>
                <w:szCs w:val="20"/>
              </w:rPr>
            </w:pPr>
          </w:p>
        </w:tc>
      </w:tr>
      <w:tr w:rsidR="001B5CDA" w:rsidRPr="00781F2E" w14:paraId="7659321A"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C07502E" w14:textId="77777777" w:rsidR="001B5CDA" w:rsidRPr="00781F2E" w:rsidRDefault="001B5CDA" w:rsidP="001B5CDA">
            <w:pPr>
              <w:spacing w:after="0" w:line="240" w:lineRule="auto"/>
              <w:rPr>
                <w:rFonts w:ascii="Arial" w:hAnsi="Arial" w:cs="Arial"/>
                <w:sz w:val="20"/>
                <w:szCs w:val="20"/>
              </w:rPr>
            </w:pPr>
            <w:r>
              <w:rPr>
                <w:rFonts w:ascii="Arial" w:hAnsi="Arial"/>
                <w:sz w:val="20"/>
              </w:rPr>
              <w:t>Projektimi konceptual</w:t>
            </w:r>
          </w:p>
        </w:tc>
        <w:tc>
          <w:tcPr>
            <w:tcW w:w="800" w:type="pct"/>
            <w:tcBorders>
              <w:top w:val="single" w:sz="4" w:space="0" w:color="auto"/>
              <w:left w:val="single" w:sz="4" w:space="0" w:color="auto"/>
              <w:bottom w:val="single" w:sz="4" w:space="0" w:color="auto"/>
              <w:right w:val="single" w:sz="4" w:space="0" w:color="auto"/>
            </w:tcBorders>
            <w:vAlign w:val="center"/>
          </w:tcPr>
          <w:p w14:paraId="1F9BE854" w14:textId="77777777" w:rsidR="001B5CDA" w:rsidRPr="00781F2E" w:rsidRDefault="001B5CDA" w:rsidP="004A0206">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B2C9C68"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9791CF8" w14:textId="6283284A" w:rsidR="001B5CDA" w:rsidRPr="00781F2E" w:rsidRDefault="004A0206" w:rsidP="004A0206">
            <w:pPr>
              <w:spacing w:after="0" w:line="240" w:lineRule="auto"/>
              <w:jc w:val="center"/>
              <w:rPr>
                <w:rFonts w:ascii="Arial" w:hAnsi="Arial" w:cs="Arial"/>
                <w:sz w:val="20"/>
                <w:szCs w:val="20"/>
              </w:rPr>
            </w:pPr>
            <w:r>
              <w:t>X</w:t>
            </w:r>
          </w:p>
        </w:tc>
      </w:tr>
      <w:tr w:rsidR="001B5CDA" w:rsidRPr="00781F2E" w14:paraId="6774BDC1"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6E411BF" w14:textId="77777777" w:rsidR="001B5CDA" w:rsidRPr="00781F2E" w:rsidRDefault="001B5CDA" w:rsidP="001B5CDA">
            <w:pPr>
              <w:spacing w:after="0" w:line="240" w:lineRule="auto"/>
              <w:rPr>
                <w:rFonts w:ascii="Arial" w:hAnsi="Arial" w:cs="Arial"/>
                <w:sz w:val="20"/>
                <w:szCs w:val="20"/>
              </w:rPr>
            </w:pPr>
            <w:r>
              <w:rPr>
                <w:rFonts w:ascii="Arial" w:hAnsi="Arial"/>
                <w:sz w:val="20"/>
              </w:rPr>
              <w:t>Studimi i fizibilitetit + AKP</w:t>
            </w:r>
          </w:p>
        </w:tc>
        <w:tc>
          <w:tcPr>
            <w:tcW w:w="800" w:type="pct"/>
            <w:tcBorders>
              <w:top w:val="single" w:sz="4" w:space="0" w:color="auto"/>
              <w:left w:val="single" w:sz="4" w:space="0" w:color="auto"/>
              <w:bottom w:val="single" w:sz="4" w:space="0" w:color="auto"/>
              <w:right w:val="single" w:sz="4" w:space="0" w:color="auto"/>
            </w:tcBorders>
            <w:vAlign w:val="center"/>
          </w:tcPr>
          <w:p w14:paraId="0689A16F"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902D904" w14:textId="3F6A084D" w:rsidR="001B5CDA" w:rsidRPr="004A0206" w:rsidRDefault="004A0206" w:rsidP="004A0206">
            <w:pPr>
              <w:jc w:val="center"/>
              <w:rPr>
                <w:rFonts w:cs="Arial"/>
                <w:szCs w:val="20"/>
              </w:rPr>
            </w:pPr>
            <w:r>
              <w:t>X</w:t>
            </w:r>
          </w:p>
        </w:tc>
        <w:tc>
          <w:tcPr>
            <w:tcW w:w="649" w:type="pct"/>
            <w:tcBorders>
              <w:top w:val="single" w:sz="4" w:space="0" w:color="auto"/>
              <w:left w:val="single" w:sz="4" w:space="0" w:color="auto"/>
              <w:bottom w:val="single" w:sz="4" w:space="0" w:color="auto"/>
              <w:right w:val="single" w:sz="4" w:space="0" w:color="auto"/>
            </w:tcBorders>
            <w:vAlign w:val="center"/>
          </w:tcPr>
          <w:p w14:paraId="2D4C6969" w14:textId="77777777" w:rsidR="001B5CDA" w:rsidRPr="004A0869" w:rsidRDefault="001B5CDA" w:rsidP="004A0206">
            <w:pPr>
              <w:jc w:val="center"/>
              <w:rPr>
                <w:rFonts w:cs="Arial"/>
                <w:szCs w:val="20"/>
              </w:rPr>
            </w:pPr>
          </w:p>
        </w:tc>
      </w:tr>
      <w:tr w:rsidR="001B5CDA" w:rsidRPr="00781F2E" w14:paraId="67CDCBD6"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4A08270" w14:textId="77777777" w:rsidR="001B5CDA" w:rsidRPr="00781F2E" w:rsidRDefault="001B5CDA" w:rsidP="001B5CDA">
            <w:pPr>
              <w:spacing w:after="0" w:line="240" w:lineRule="auto"/>
              <w:rPr>
                <w:rFonts w:ascii="Arial" w:hAnsi="Arial" w:cs="Arial"/>
                <w:sz w:val="20"/>
                <w:szCs w:val="20"/>
              </w:rPr>
            </w:pPr>
            <w:r>
              <w:rPr>
                <w:rFonts w:ascii="Arial" w:hAnsi="Arial"/>
                <w:sz w:val="20"/>
              </w:rPr>
              <w:t>Studimi i VNM (nëse nevojitet)</w:t>
            </w:r>
          </w:p>
        </w:tc>
        <w:tc>
          <w:tcPr>
            <w:tcW w:w="800" w:type="pct"/>
            <w:tcBorders>
              <w:top w:val="single" w:sz="4" w:space="0" w:color="auto"/>
              <w:left w:val="single" w:sz="4" w:space="0" w:color="auto"/>
              <w:bottom w:val="single" w:sz="4" w:space="0" w:color="auto"/>
              <w:right w:val="single" w:sz="4" w:space="0" w:color="auto"/>
            </w:tcBorders>
            <w:vAlign w:val="center"/>
          </w:tcPr>
          <w:p w14:paraId="1CB8B6B1"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5455A05" w14:textId="5DC6804D" w:rsidR="001B5CDA" w:rsidRPr="004A0206" w:rsidRDefault="004A0206" w:rsidP="004A0206">
            <w:pPr>
              <w:jc w:val="center"/>
              <w:rPr>
                <w:rFonts w:cs="Arial"/>
                <w:szCs w:val="20"/>
              </w:rPr>
            </w:pPr>
            <w:r>
              <w:t>X</w:t>
            </w:r>
          </w:p>
        </w:tc>
        <w:tc>
          <w:tcPr>
            <w:tcW w:w="649" w:type="pct"/>
            <w:tcBorders>
              <w:top w:val="single" w:sz="4" w:space="0" w:color="auto"/>
              <w:left w:val="single" w:sz="4" w:space="0" w:color="auto"/>
              <w:bottom w:val="single" w:sz="4" w:space="0" w:color="auto"/>
              <w:right w:val="single" w:sz="4" w:space="0" w:color="auto"/>
            </w:tcBorders>
            <w:vAlign w:val="center"/>
          </w:tcPr>
          <w:p w14:paraId="009B7B17" w14:textId="77777777" w:rsidR="001B5CDA" w:rsidRPr="00781F2E" w:rsidRDefault="001B5CDA" w:rsidP="004A0206">
            <w:pPr>
              <w:pStyle w:val="ListParagraph"/>
              <w:jc w:val="center"/>
              <w:rPr>
                <w:rFonts w:cs="Arial"/>
                <w:szCs w:val="20"/>
                <w:lang w:val="en-GB"/>
              </w:rPr>
            </w:pPr>
          </w:p>
        </w:tc>
      </w:tr>
      <w:tr w:rsidR="001B5CDA" w:rsidRPr="00781F2E" w14:paraId="65A8FC72"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D11D092" w14:textId="77777777" w:rsidR="001B5CDA" w:rsidRPr="00781F2E" w:rsidRDefault="001B5CDA" w:rsidP="001B5CDA">
            <w:pPr>
              <w:spacing w:after="0" w:line="240" w:lineRule="auto"/>
              <w:rPr>
                <w:rFonts w:ascii="Arial" w:hAnsi="Arial" w:cs="Arial"/>
                <w:sz w:val="20"/>
                <w:szCs w:val="20"/>
              </w:rPr>
            </w:pPr>
            <w:r>
              <w:rPr>
                <w:rFonts w:ascii="Arial" w:hAnsi="Arial"/>
                <w:sz w:val="20"/>
              </w:rPr>
              <w:t>Dokumentet e vlefshme të planifikimit hapësinor</w:t>
            </w:r>
          </w:p>
        </w:tc>
        <w:tc>
          <w:tcPr>
            <w:tcW w:w="800" w:type="pct"/>
            <w:tcBorders>
              <w:top w:val="single" w:sz="4" w:space="0" w:color="auto"/>
              <w:left w:val="single" w:sz="4" w:space="0" w:color="auto"/>
              <w:bottom w:val="single" w:sz="4" w:space="0" w:color="auto"/>
              <w:right w:val="single" w:sz="4" w:space="0" w:color="auto"/>
            </w:tcBorders>
            <w:vAlign w:val="center"/>
          </w:tcPr>
          <w:p w14:paraId="0F7B51B3"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8F9FFA5"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9D11895" w14:textId="75E54F6A" w:rsidR="001B5CDA" w:rsidRPr="004A0206" w:rsidRDefault="004A0206" w:rsidP="004A0206">
            <w:pPr>
              <w:jc w:val="center"/>
              <w:rPr>
                <w:rFonts w:cs="Arial"/>
                <w:szCs w:val="20"/>
              </w:rPr>
            </w:pPr>
            <w:r>
              <w:t>X</w:t>
            </w:r>
          </w:p>
        </w:tc>
      </w:tr>
      <w:tr w:rsidR="001B5CDA" w:rsidRPr="00781F2E" w14:paraId="28A51AC6"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EE9860C" w14:textId="77777777" w:rsidR="001B5CDA" w:rsidRPr="00781F2E" w:rsidRDefault="001B5CDA" w:rsidP="001B5CDA">
            <w:pPr>
              <w:spacing w:after="0" w:line="240" w:lineRule="auto"/>
              <w:rPr>
                <w:rFonts w:ascii="Arial" w:hAnsi="Arial" w:cs="Arial"/>
                <w:sz w:val="20"/>
                <w:szCs w:val="20"/>
              </w:rPr>
            </w:pPr>
            <w:r>
              <w:rPr>
                <w:rFonts w:ascii="Arial" w:hAnsi="Arial"/>
                <w:sz w:val="20"/>
              </w:rPr>
              <w:t>Prona tokë e zgjidhur</w:t>
            </w:r>
          </w:p>
        </w:tc>
        <w:tc>
          <w:tcPr>
            <w:tcW w:w="800" w:type="pct"/>
            <w:tcBorders>
              <w:top w:val="single" w:sz="4" w:space="0" w:color="auto"/>
              <w:left w:val="single" w:sz="4" w:space="0" w:color="auto"/>
              <w:bottom w:val="single" w:sz="4" w:space="0" w:color="auto"/>
              <w:right w:val="single" w:sz="4" w:space="0" w:color="auto"/>
            </w:tcBorders>
            <w:vAlign w:val="center"/>
          </w:tcPr>
          <w:p w14:paraId="7FC82BA9"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D3FE02A" w14:textId="77777777" w:rsidR="001B5CDA" w:rsidRPr="00781F2E" w:rsidRDefault="001B5CDA" w:rsidP="004A0206">
            <w:pPr>
              <w:spacing w:after="0" w:line="240" w:lineRule="auto"/>
              <w:ind w:left="7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6878924" w14:textId="62E610FE" w:rsidR="001B5CDA" w:rsidRPr="00781F2E" w:rsidRDefault="004A0206" w:rsidP="004A0206">
            <w:pPr>
              <w:spacing w:after="0" w:line="240" w:lineRule="auto"/>
              <w:jc w:val="center"/>
              <w:rPr>
                <w:rFonts w:ascii="Arial" w:hAnsi="Arial" w:cs="Arial"/>
                <w:sz w:val="20"/>
                <w:szCs w:val="20"/>
              </w:rPr>
            </w:pPr>
            <w:r>
              <w:t>X</w:t>
            </w:r>
          </w:p>
        </w:tc>
      </w:tr>
      <w:tr w:rsidR="001B5CDA" w:rsidRPr="00781F2E" w14:paraId="4393BFE6"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100D899" w14:textId="77777777" w:rsidR="001B5CDA" w:rsidRPr="00781F2E" w:rsidRDefault="001B5CDA" w:rsidP="001B5CDA">
            <w:pPr>
              <w:spacing w:after="0" w:line="240" w:lineRule="auto"/>
              <w:rPr>
                <w:rFonts w:ascii="Arial" w:hAnsi="Arial" w:cs="Arial"/>
                <w:sz w:val="20"/>
                <w:szCs w:val="20"/>
              </w:rPr>
            </w:pPr>
            <w:r>
              <w:rPr>
                <w:rFonts w:ascii="Arial" w:hAnsi="Arial"/>
                <w:sz w:val="20"/>
              </w:rPr>
              <w:t>Projektimi paraprak</w:t>
            </w:r>
          </w:p>
        </w:tc>
        <w:tc>
          <w:tcPr>
            <w:tcW w:w="800" w:type="pct"/>
            <w:tcBorders>
              <w:top w:val="single" w:sz="4" w:space="0" w:color="auto"/>
              <w:left w:val="single" w:sz="4" w:space="0" w:color="auto"/>
              <w:bottom w:val="single" w:sz="4" w:space="0" w:color="auto"/>
              <w:right w:val="single" w:sz="4" w:space="0" w:color="auto"/>
            </w:tcBorders>
            <w:vAlign w:val="center"/>
          </w:tcPr>
          <w:p w14:paraId="78824809"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9127509" w14:textId="77777777" w:rsidR="001B5CDA" w:rsidRPr="00781F2E" w:rsidRDefault="001B5CDA" w:rsidP="004A0206">
            <w:pPr>
              <w:spacing w:after="0" w:line="240" w:lineRule="auto"/>
              <w:ind w:left="7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420A62D" w14:textId="219E2A4C" w:rsidR="001B5CDA" w:rsidRPr="00781F2E" w:rsidRDefault="004A0206" w:rsidP="004A0206">
            <w:pPr>
              <w:spacing w:after="0" w:line="240" w:lineRule="auto"/>
              <w:jc w:val="center"/>
              <w:rPr>
                <w:rFonts w:ascii="Arial" w:hAnsi="Arial" w:cs="Arial"/>
                <w:sz w:val="20"/>
                <w:szCs w:val="20"/>
              </w:rPr>
            </w:pPr>
            <w:r>
              <w:t>X</w:t>
            </w:r>
          </w:p>
        </w:tc>
      </w:tr>
      <w:tr w:rsidR="001B5CDA" w:rsidRPr="00781F2E" w14:paraId="2AD3C241"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635B333" w14:textId="77777777" w:rsidR="001B5CDA" w:rsidRPr="00781F2E" w:rsidRDefault="001B5CDA" w:rsidP="001B5CDA">
            <w:pPr>
              <w:spacing w:after="0" w:line="240" w:lineRule="auto"/>
              <w:rPr>
                <w:rFonts w:ascii="Arial" w:hAnsi="Arial" w:cs="Arial"/>
                <w:sz w:val="20"/>
                <w:szCs w:val="20"/>
              </w:rPr>
            </w:pPr>
            <w:r>
              <w:rPr>
                <w:rFonts w:ascii="Arial" w:hAnsi="Arial"/>
                <w:sz w:val="20"/>
              </w:rPr>
              <w:lastRenderedPageBreak/>
              <w:t>Projektimi kryesor/projektimi i detajuar</w:t>
            </w:r>
          </w:p>
        </w:tc>
        <w:tc>
          <w:tcPr>
            <w:tcW w:w="800" w:type="pct"/>
            <w:tcBorders>
              <w:top w:val="single" w:sz="4" w:space="0" w:color="auto"/>
              <w:left w:val="single" w:sz="4" w:space="0" w:color="auto"/>
              <w:bottom w:val="single" w:sz="4" w:space="0" w:color="auto"/>
              <w:right w:val="single" w:sz="4" w:space="0" w:color="auto"/>
            </w:tcBorders>
            <w:vAlign w:val="center"/>
          </w:tcPr>
          <w:p w14:paraId="25285A6F"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182222ED"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0A2A653" w14:textId="4AA5B105" w:rsidR="001B5CDA" w:rsidRPr="00781F2E" w:rsidRDefault="004A0206" w:rsidP="004A0206">
            <w:pPr>
              <w:spacing w:after="0" w:line="240" w:lineRule="auto"/>
              <w:jc w:val="center"/>
              <w:rPr>
                <w:rFonts w:ascii="Arial" w:hAnsi="Arial" w:cs="Arial"/>
                <w:sz w:val="20"/>
                <w:szCs w:val="20"/>
              </w:rPr>
            </w:pPr>
            <w:r>
              <w:t>X</w:t>
            </w:r>
          </w:p>
        </w:tc>
      </w:tr>
      <w:tr w:rsidR="001B5CDA" w:rsidRPr="00781F2E" w14:paraId="3B7151A0"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8CFF415" w14:textId="77777777" w:rsidR="001B5CDA" w:rsidRPr="00781F2E" w:rsidRDefault="001B5CDA" w:rsidP="001B5CDA">
            <w:pPr>
              <w:spacing w:after="0" w:line="240" w:lineRule="auto"/>
              <w:rPr>
                <w:rFonts w:ascii="Arial" w:hAnsi="Arial" w:cs="Arial"/>
                <w:sz w:val="20"/>
                <w:szCs w:val="20"/>
              </w:rPr>
            </w:pPr>
            <w:r>
              <w:rPr>
                <w:rFonts w:ascii="Arial" w:hAnsi="Arial"/>
                <w:sz w:val="20"/>
              </w:rPr>
              <w:t>Dokumentacioni i tenderit</w:t>
            </w:r>
          </w:p>
        </w:tc>
        <w:tc>
          <w:tcPr>
            <w:tcW w:w="800" w:type="pct"/>
            <w:tcBorders>
              <w:top w:val="single" w:sz="4" w:space="0" w:color="auto"/>
              <w:left w:val="single" w:sz="4" w:space="0" w:color="auto"/>
              <w:bottom w:val="single" w:sz="4" w:space="0" w:color="auto"/>
              <w:right w:val="single" w:sz="4" w:space="0" w:color="auto"/>
            </w:tcBorders>
            <w:vAlign w:val="center"/>
          </w:tcPr>
          <w:p w14:paraId="7CD39381"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BCEBFD0"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5A16375" w14:textId="3FA24FB4" w:rsidR="001B5CDA" w:rsidRPr="00781F2E" w:rsidRDefault="004A0206" w:rsidP="004A0206">
            <w:pPr>
              <w:spacing w:after="0" w:line="240" w:lineRule="auto"/>
              <w:jc w:val="center"/>
              <w:rPr>
                <w:rFonts w:ascii="Arial" w:hAnsi="Arial" w:cs="Arial"/>
                <w:sz w:val="20"/>
                <w:szCs w:val="20"/>
              </w:rPr>
            </w:pPr>
            <w:r>
              <w:t>X</w:t>
            </w:r>
          </w:p>
        </w:tc>
      </w:tr>
      <w:tr w:rsidR="001B5CDA" w:rsidRPr="00781F2E" w14:paraId="1393601D"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55543F7" w14:textId="77777777" w:rsidR="001B5CDA" w:rsidRPr="00781F2E" w:rsidRDefault="001B5CDA" w:rsidP="001B5CDA">
            <w:pPr>
              <w:spacing w:after="0" w:line="240" w:lineRule="auto"/>
              <w:rPr>
                <w:rFonts w:ascii="Arial" w:hAnsi="Arial" w:cs="Arial"/>
                <w:sz w:val="20"/>
                <w:szCs w:val="20"/>
              </w:rPr>
            </w:pPr>
            <w:r>
              <w:rPr>
                <w:rFonts w:ascii="Arial" w:hAnsi="Arial"/>
                <w:sz w:val="20"/>
              </w:rPr>
              <w:t>Lejet e ndërtimit dhe të tjera</w:t>
            </w:r>
          </w:p>
        </w:tc>
        <w:tc>
          <w:tcPr>
            <w:tcW w:w="800" w:type="pct"/>
            <w:tcBorders>
              <w:top w:val="single" w:sz="4" w:space="0" w:color="auto"/>
              <w:left w:val="single" w:sz="4" w:space="0" w:color="auto"/>
              <w:bottom w:val="single" w:sz="4" w:space="0" w:color="auto"/>
              <w:right w:val="single" w:sz="4" w:space="0" w:color="auto"/>
            </w:tcBorders>
            <w:vAlign w:val="center"/>
          </w:tcPr>
          <w:p w14:paraId="331D103B"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D04756E"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F1A0089" w14:textId="3488E824" w:rsidR="001B5CDA" w:rsidRPr="00781F2E" w:rsidRDefault="004A0206" w:rsidP="004A0206">
            <w:pPr>
              <w:spacing w:after="0" w:line="240" w:lineRule="auto"/>
              <w:jc w:val="center"/>
              <w:rPr>
                <w:rFonts w:ascii="Arial" w:hAnsi="Arial" w:cs="Arial"/>
                <w:sz w:val="20"/>
                <w:szCs w:val="20"/>
              </w:rPr>
            </w:pPr>
            <w:r>
              <w:t>X</w:t>
            </w:r>
          </w:p>
        </w:tc>
      </w:tr>
      <w:tr w:rsidR="001B5CDA" w:rsidRPr="00781F2E" w14:paraId="0486A84D" w14:textId="77777777" w:rsidTr="009352C9">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7DAF1EF" w14:textId="77777777" w:rsidR="001B5CDA" w:rsidRPr="00781F2E" w:rsidRDefault="001B5CDA" w:rsidP="001B5CDA">
            <w:pPr>
              <w:spacing w:after="0" w:line="240" w:lineRule="auto"/>
              <w:rPr>
                <w:rFonts w:ascii="Arial" w:hAnsi="Arial" w:cs="Arial"/>
                <w:sz w:val="20"/>
                <w:szCs w:val="20"/>
              </w:rPr>
            </w:pPr>
            <w:r>
              <w:rPr>
                <w:rFonts w:ascii="Arial" w:hAnsi="Arial"/>
                <w:sz w:val="20"/>
              </w:rPr>
              <w:t>Kontrata e ndërtimit është nënshkruar</w:t>
            </w:r>
          </w:p>
        </w:tc>
        <w:tc>
          <w:tcPr>
            <w:tcW w:w="800" w:type="pct"/>
            <w:tcBorders>
              <w:top w:val="single" w:sz="4" w:space="0" w:color="auto"/>
              <w:left w:val="single" w:sz="4" w:space="0" w:color="auto"/>
              <w:bottom w:val="single" w:sz="4" w:space="0" w:color="auto"/>
              <w:right w:val="single" w:sz="4" w:space="0" w:color="auto"/>
            </w:tcBorders>
            <w:vAlign w:val="center"/>
          </w:tcPr>
          <w:p w14:paraId="4580168C" w14:textId="77777777" w:rsidR="001B5CDA" w:rsidRPr="00781F2E" w:rsidRDefault="001B5CDA" w:rsidP="004A0206">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DEDBF97" w14:textId="77777777" w:rsidR="001B5CDA" w:rsidRPr="00781F2E" w:rsidRDefault="001B5CDA" w:rsidP="004A0206">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4DBEFAE" w14:textId="25262680" w:rsidR="001B5CDA" w:rsidRPr="00781F2E" w:rsidRDefault="004A0206" w:rsidP="004A0206">
            <w:pPr>
              <w:spacing w:after="0" w:line="240" w:lineRule="auto"/>
              <w:jc w:val="center"/>
              <w:rPr>
                <w:rFonts w:ascii="Arial" w:hAnsi="Arial" w:cs="Arial"/>
                <w:sz w:val="20"/>
                <w:szCs w:val="20"/>
              </w:rPr>
            </w:pPr>
            <w:r>
              <w:t>X</w:t>
            </w:r>
          </w:p>
        </w:tc>
      </w:tr>
    </w:tbl>
    <w:p w14:paraId="3CF34D64" w14:textId="77777777" w:rsidR="0074067A" w:rsidRPr="00781F2E" w:rsidRDefault="0074067A" w:rsidP="001C2CAF">
      <w:pPr>
        <w:spacing w:after="120"/>
        <w:rPr>
          <w:rFonts w:ascii="Arial" w:hAnsi="Arial" w:cs="Arial"/>
          <w:b/>
          <w:sz w:val="20"/>
          <w:szCs w:val="20"/>
        </w:rPr>
      </w:pPr>
    </w:p>
    <w:p w14:paraId="5CECD0BD" w14:textId="77777777" w:rsidR="001C2CAF" w:rsidRPr="00781F2E" w:rsidRDefault="001C2CAF" w:rsidP="002136A1">
      <w:pPr>
        <w:pStyle w:val="ListParagraph"/>
        <w:numPr>
          <w:ilvl w:val="0"/>
          <w:numId w:val="37"/>
        </w:numPr>
        <w:spacing w:after="120"/>
        <w:rPr>
          <w:rFonts w:cs="Arial"/>
          <w:b/>
          <w:szCs w:val="20"/>
        </w:rPr>
      </w:pPr>
      <w:r>
        <w:rPr>
          <w:b/>
        </w:rPr>
        <w:t>PËRCAKTIMI I BURIMIT TË FINANCIMIT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12"/>
        <w:gridCol w:w="673"/>
        <w:gridCol w:w="4156"/>
        <w:gridCol w:w="560"/>
      </w:tblGrid>
      <w:tr w:rsidR="001C2CAF" w:rsidRPr="00781F2E" w14:paraId="7758D0D8"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0D395" w14:textId="77777777" w:rsidR="001C2CAF" w:rsidRPr="00781F2E"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1A458" w14:textId="77777777" w:rsidR="001C2CAF" w:rsidRPr="00781F2E" w:rsidRDefault="001C2CAF" w:rsidP="001C2CAF">
            <w:pPr>
              <w:spacing w:after="0" w:line="240" w:lineRule="auto"/>
              <w:jc w:val="center"/>
              <w:rPr>
                <w:rFonts w:ascii="Arial" w:hAnsi="Arial" w:cs="Arial"/>
                <w:sz w:val="20"/>
                <w:szCs w:val="20"/>
              </w:rPr>
            </w:pPr>
            <w:r>
              <w:rPr>
                <w:rFonts w:ascii="Arial" w:hAnsi="Arial"/>
                <w:sz w:val="20"/>
              </w:rPr>
              <w:t>Po</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A73B3" w14:textId="77777777" w:rsidR="001C2CAF" w:rsidRPr="00781F2E" w:rsidRDefault="001C2CAF" w:rsidP="001C2CAF">
            <w:pPr>
              <w:spacing w:after="0" w:line="240" w:lineRule="auto"/>
              <w:jc w:val="center"/>
              <w:rPr>
                <w:rFonts w:ascii="Arial" w:hAnsi="Arial" w:cs="Arial"/>
                <w:sz w:val="20"/>
                <w:szCs w:val="20"/>
              </w:rPr>
            </w:pPr>
            <w:r>
              <w:rPr>
                <w:rFonts w:ascii="Arial" w:hAnsi="Arial"/>
                <w:sz w:val="20"/>
              </w:rPr>
              <w:t>Arsyetimi</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5688D" w14:textId="77777777" w:rsidR="001C2CAF" w:rsidRPr="00781F2E" w:rsidRDefault="001C2CAF" w:rsidP="001C2CAF">
            <w:pPr>
              <w:spacing w:after="0" w:line="240" w:lineRule="auto"/>
              <w:jc w:val="center"/>
              <w:rPr>
                <w:rFonts w:ascii="Arial" w:hAnsi="Arial" w:cs="Arial"/>
                <w:sz w:val="20"/>
                <w:szCs w:val="20"/>
              </w:rPr>
            </w:pPr>
            <w:r>
              <w:rPr>
                <w:rFonts w:ascii="Arial" w:hAnsi="Arial"/>
                <w:sz w:val="20"/>
              </w:rPr>
              <w:t>Jo</w:t>
            </w:r>
          </w:p>
        </w:tc>
      </w:tr>
      <w:tr w:rsidR="0098031C" w:rsidRPr="00781F2E" w14:paraId="3EC10202" w14:textId="77777777" w:rsidTr="00DA73C0">
        <w:trPr>
          <w:trHeight w:val="26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2550F6B1" w14:textId="1724A789" w:rsidR="0098031C" w:rsidRPr="00781F2E" w:rsidRDefault="0098031C" w:rsidP="008C1062">
            <w:pPr>
              <w:spacing w:after="0" w:line="240" w:lineRule="auto"/>
              <w:rPr>
                <w:rFonts w:ascii="Arial" w:hAnsi="Arial" w:cs="Arial"/>
                <w:sz w:val="20"/>
                <w:szCs w:val="20"/>
              </w:rPr>
            </w:pPr>
            <w:r>
              <w:rPr>
                <w:rFonts w:ascii="Arial" w:hAnsi="Arial"/>
                <w:sz w:val="20"/>
              </w:rPr>
              <w:t xml:space="preserve">A e përmirëson projekti </w:t>
            </w:r>
            <w:r w:rsidR="008C1062">
              <w:rPr>
                <w:rFonts w:ascii="Arial" w:hAnsi="Arial"/>
                <w:sz w:val="20"/>
              </w:rPr>
              <w:t>ndërlidhshmërinë</w:t>
            </w:r>
            <w:bookmarkStart w:id="8" w:name="_GoBack"/>
            <w:bookmarkEnd w:id="8"/>
            <w:r>
              <w:rPr>
                <w:rFonts w:ascii="Arial" w:hAnsi="Arial"/>
                <w:sz w:val="20"/>
              </w:rPr>
              <w:t>?</w:t>
            </w:r>
          </w:p>
        </w:tc>
        <w:tc>
          <w:tcPr>
            <w:tcW w:w="340" w:type="pct"/>
            <w:tcBorders>
              <w:top w:val="single" w:sz="4" w:space="0" w:color="auto"/>
              <w:left w:val="single" w:sz="4" w:space="0" w:color="auto"/>
              <w:bottom w:val="single" w:sz="4" w:space="0" w:color="auto"/>
              <w:right w:val="single" w:sz="4" w:space="0" w:color="auto"/>
            </w:tcBorders>
          </w:tcPr>
          <w:p w14:paraId="2E14A078" w14:textId="77777777" w:rsidR="0098031C" w:rsidRPr="00781F2E" w:rsidRDefault="0098031C" w:rsidP="009352C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685CEFF6" w14:textId="77777777" w:rsidR="0098031C" w:rsidRPr="00781F2E" w:rsidRDefault="0098031C" w:rsidP="009352C9">
            <w:pPr>
              <w:rPr>
                <w:rFonts w:ascii="Arial" w:hAnsi="Arial" w:cs="Arial"/>
                <w:color w:val="548DD4"/>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506E9E70" w14:textId="77777777" w:rsidR="0098031C" w:rsidRPr="00781F2E" w:rsidRDefault="0098031C" w:rsidP="00DA73C0">
            <w:pPr>
              <w:jc w:val="center"/>
              <w:rPr>
                <w:rFonts w:ascii="Arial" w:hAnsi="Arial" w:cs="Arial"/>
                <w:sz w:val="20"/>
                <w:szCs w:val="20"/>
              </w:rPr>
            </w:pPr>
            <w:r>
              <w:rPr>
                <w:rFonts w:ascii="Arial" w:hAnsi="Arial"/>
                <w:sz w:val="20"/>
              </w:rPr>
              <w:t>X</w:t>
            </w:r>
          </w:p>
        </w:tc>
      </w:tr>
      <w:tr w:rsidR="0098031C" w:rsidRPr="00781F2E" w14:paraId="30554120" w14:textId="77777777" w:rsidTr="00DA73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0D76DFF8" w14:textId="77777777" w:rsidR="0098031C" w:rsidRPr="00781F2E" w:rsidRDefault="0098031C" w:rsidP="001C2CAF">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0" w:type="pct"/>
            <w:tcBorders>
              <w:top w:val="single" w:sz="4" w:space="0" w:color="auto"/>
              <w:left w:val="single" w:sz="4" w:space="0" w:color="auto"/>
              <w:bottom w:val="single" w:sz="4" w:space="0" w:color="auto"/>
              <w:right w:val="single" w:sz="4" w:space="0" w:color="auto"/>
            </w:tcBorders>
          </w:tcPr>
          <w:p w14:paraId="247AED62" w14:textId="77777777" w:rsidR="0098031C" w:rsidRPr="00781F2E" w:rsidRDefault="0098031C" w:rsidP="009352C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1AF19C99" w14:textId="77777777" w:rsidR="0098031C" w:rsidRPr="00781F2E" w:rsidRDefault="0098031C" w:rsidP="009352C9">
            <w:pP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421164CF" w14:textId="77777777" w:rsidR="0098031C" w:rsidRPr="00781F2E" w:rsidRDefault="00D408F9" w:rsidP="00DA73C0">
            <w:pPr>
              <w:jc w:val="center"/>
              <w:rPr>
                <w:rFonts w:ascii="Arial" w:hAnsi="Arial" w:cs="Arial"/>
                <w:sz w:val="20"/>
                <w:szCs w:val="20"/>
              </w:rPr>
            </w:pPr>
            <w:r>
              <w:rPr>
                <w:rFonts w:ascii="Arial" w:hAnsi="Arial"/>
                <w:sz w:val="20"/>
              </w:rPr>
              <w:t>X</w:t>
            </w:r>
          </w:p>
        </w:tc>
      </w:tr>
      <w:tr w:rsidR="0098031C" w:rsidRPr="00781F2E" w14:paraId="139CAFAD" w14:textId="77777777" w:rsidTr="00DA73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51B03FFE" w14:textId="77777777" w:rsidR="0098031C" w:rsidRPr="00781F2E" w:rsidRDefault="0098031C" w:rsidP="001C2CAF">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40" w:type="pct"/>
            <w:tcBorders>
              <w:top w:val="single" w:sz="4" w:space="0" w:color="auto"/>
              <w:left w:val="single" w:sz="4" w:space="0" w:color="auto"/>
              <w:bottom w:val="single" w:sz="4" w:space="0" w:color="auto"/>
              <w:right w:val="single" w:sz="4" w:space="0" w:color="auto"/>
            </w:tcBorders>
          </w:tcPr>
          <w:p w14:paraId="7193C52B" w14:textId="77777777" w:rsidR="0098031C" w:rsidRPr="00781F2E" w:rsidRDefault="0098031C" w:rsidP="009352C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4CFFF0EA" w14:textId="77777777" w:rsidR="0098031C" w:rsidRPr="00781F2E" w:rsidRDefault="0098031C" w:rsidP="009352C9">
            <w:pPr>
              <w:rPr>
                <w:rFonts w:ascii="Arial" w:hAnsi="Arial" w:cs="Arial"/>
                <w:sz w:val="20"/>
                <w:szCs w:val="20"/>
              </w:rPr>
            </w:pPr>
            <w:r>
              <w:rPr>
                <w:rFonts w:ascii="Arial" w:hAnsi="Arial"/>
                <w:sz w:val="20"/>
              </w:rPr>
              <w:t>.</w:t>
            </w:r>
          </w:p>
        </w:tc>
        <w:tc>
          <w:tcPr>
            <w:tcW w:w="283" w:type="pct"/>
            <w:tcBorders>
              <w:top w:val="single" w:sz="4" w:space="0" w:color="auto"/>
              <w:left w:val="single" w:sz="4" w:space="0" w:color="auto"/>
              <w:bottom w:val="single" w:sz="4" w:space="0" w:color="auto"/>
              <w:right w:val="single" w:sz="4" w:space="0" w:color="auto"/>
            </w:tcBorders>
            <w:vAlign w:val="center"/>
          </w:tcPr>
          <w:p w14:paraId="11CA293C" w14:textId="77777777" w:rsidR="0098031C" w:rsidRPr="00781F2E" w:rsidRDefault="0098031C" w:rsidP="00DA73C0">
            <w:pPr>
              <w:jc w:val="center"/>
              <w:rPr>
                <w:rFonts w:ascii="Arial" w:hAnsi="Arial" w:cs="Arial"/>
                <w:sz w:val="20"/>
                <w:szCs w:val="20"/>
              </w:rPr>
            </w:pPr>
            <w:r>
              <w:rPr>
                <w:rFonts w:ascii="Arial" w:hAnsi="Arial"/>
                <w:sz w:val="20"/>
              </w:rPr>
              <w:t>X</w:t>
            </w:r>
          </w:p>
        </w:tc>
      </w:tr>
    </w:tbl>
    <w:p w14:paraId="1DE210D0" w14:textId="77777777" w:rsidR="004A0206" w:rsidRPr="00781F2E" w:rsidRDefault="004A0206" w:rsidP="001C2CAF">
      <w:pPr>
        <w:rPr>
          <w:rFonts w:ascii="Arial" w:hAnsi="Arial" w:cs="Arial"/>
          <w:b/>
          <w:sz w:val="20"/>
          <w:szCs w:val="20"/>
        </w:rPr>
      </w:pPr>
    </w:p>
    <w:p w14:paraId="4CAD1518" w14:textId="5FB8F0F8" w:rsidR="001C2CAF" w:rsidRPr="002136A1" w:rsidRDefault="008C1062" w:rsidP="002136A1">
      <w:pPr>
        <w:pStyle w:val="ListParagraph"/>
        <w:numPr>
          <w:ilvl w:val="0"/>
          <w:numId w:val="37"/>
        </w:numPr>
        <w:spacing w:after="120"/>
        <w:rPr>
          <w:rFonts w:cs="Arial"/>
          <w:b/>
          <w:szCs w:val="20"/>
        </w:rPr>
      </w:pPr>
      <w:r>
        <w:rPr>
          <w:b/>
        </w:rPr>
        <w:t>PLANIFIKIMI I SHPENZIMEVE</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812"/>
        <w:gridCol w:w="889"/>
        <w:gridCol w:w="809"/>
        <w:gridCol w:w="916"/>
        <w:gridCol w:w="912"/>
        <w:gridCol w:w="916"/>
        <w:gridCol w:w="908"/>
        <w:gridCol w:w="932"/>
        <w:gridCol w:w="932"/>
        <w:gridCol w:w="926"/>
      </w:tblGrid>
      <w:tr w:rsidR="00655A01" w:rsidRPr="00655A01" w14:paraId="1A568BD3" w14:textId="51BF5288" w:rsidTr="008C1062">
        <w:trPr>
          <w:trHeight w:val="930"/>
        </w:trPr>
        <w:tc>
          <w:tcPr>
            <w:tcW w:w="496" w:type="pct"/>
            <w:shd w:val="clear" w:color="auto" w:fill="D9D9D9" w:themeFill="background1" w:themeFillShade="D9"/>
          </w:tcPr>
          <w:p w14:paraId="270F0972" w14:textId="77777777" w:rsidR="00655A01" w:rsidRPr="00655A01" w:rsidRDefault="00655A01" w:rsidP="00DF4743">
            <w:pPr>
              <w:spacing w:after="0" w:line="260" w:lineRule="atLeast"/>
              <w:rPr>
                <w:rFonts w:ascii="Arial" w:hAnsi="Arial" w:cs="Arial"/>
                <w:sz w:val="18"/>
                <w:szCs w:val="18"/>
              </w:rPr>
            </w:pPr>
          </w:p>
        </w:tc>
        <w:tc>
          <w:tcPr>
            <w:tcW w:w="408" w:type="pct"/>
            <w:shd w:val="clear" w:color="auto" w:fill="D9D9D9" w:themeFill="background1" w:themeFillShade="D9"/>
          </w:tcPr>
          <w:p w14:paraId="06EA1815" w14:textId="6A14C27E" w:rsidR="00655A01" w:rsidRPr="00655A01" w:rsidRDefault="00655A01" w:rsidP="00DF4743">
            <w:pPr>
              <w:spacing w:after="0" w:line="260" w:lineRule="atLeast"/>
              <w:rPr>
                <w:rFonts w:ascii="Arial" w:hAnsi="Arial" w:cs="Arial"/>
                <w:sz w:val="18"/>
                <w:szCs w:val="18"/>
              </w:rPr>
            </w:pPr>
            <w:r>
              <w:rPr>
                <w:rFonts w:ascii="Arial" w:hAnsi="Arial"/>
                <w:sz w:val="18"/>
              </w:rPr>
              <w:t>2022</w:t>
            </w:r>
          </w:p>
        </w:tc>
        <w:tc>
          <w:tcPr>
            <w:tcW w:w="447" w:type="pct"/>
            <w:shd w:val="clear" w:color="auto" w:fill="D9D9D9" w:themeFill="background1" w:themeFillShade="D9"/>
          </w:tcPr>
          <w:p w14:paraId="5DAAA3E9" w14:textId="39765C20" w:rsidR="00655A01" w:rsidRPr="00655A01" w:rsidRDefault="00655A01" w:rsidP="00DF4743">
            <w:pPr>
              <w:spacing w:after="0" w:line="260" w:lineRule="atLeast"/>
              <w:rPr>
                <w:rFonts w:ascii="Arial" w:hAnsi="Arial" w:cs="Arial"/>
                <w:sz w:val="18"/>
                <w:szCs w:val="18"/>
              </w:rPr>
            </w:pPr>
            <w:r>
              <w:rPr>
                <w:rFonts w:ascii="Arial" w:hAnsi="Arial"/>
                <w:sz w:val="18"/>
              </w:rPr>
              <w:t>2023</w:t>
            </w:r>
          </w:p>
        </w:tc>
        <w:tc>
          <w:tcPr>
            <w:tcW w:w="407" w:type="pct"/>
            <w:shd w:val="clear" w:color="auto" w:fill="D9D9D9" w:themeFill="background1" w:themeFillShade="D9"/>
          </w:tcPr>
          <w:p w14:paraId="765F0A04" w14:textId="0CB9173D" w:rsidR="00655A01" w:rsidRPr="00655A01" w:rsidRDefault="00655A01" w:rsidP="00DF4743">
            <w:pPr>
              <w:spacing w:after="0" w:line="260" w:lineRule="atLeast"/>
              <w:rPr>
                <w:rFonts w:ascii="Arial" w:hAnsi="Arial" w:cs="Arial"/>
                <w:sz w:val="18"/>
                <w:szCs w:val="18"/>
              </w:rPr>
            </w:pPr>
            <w:r>
              <w:rPr>
                <w:rFonts w:ascii="Arial" w:hAnsi="Arial"/>
                <w:sz w:val="18"/>
              </w:rPr>
              <w:t>2024</w:t>
            </w:r>
          </w:p>
        </w:tc>
        <w:tc>
          <w:tcPr>
            <w:tcW w:w="461" w:type="pct"/>
            <w:shd w:val="clear" w:color="auto" w:fill="D9D9D9" w:themeFill="background1" w:themeFillShade="D9"/>
          </w:tcPr>
          <w:p w14:paraId="37103CA1" w14:textId="33BD29F2" w:rsidR="00655A01" w:rsidRPr="00655A01" w:rsidRDefault="00655A01" w:rsidP="00DF4743">
            <w:pPr>
              <w:spacing w:after="0" w:line="260" w:lineRule="atLeast"/>
              <w:rPr>
                <w:rFonts w:ascii="Arial" w:hAnsi="Arial" w:cs="Arial"/>
                <w:sz w:val="18"/>
                <w:szCs w:val="18"/>
              </w:rPr>
            </w:pPr>
            <w:r>
              <w:rPr>
                <w:rFonts w:ascii="Arial" w:hAnsi="Arial"/>
                <w:sz w:val="18"/>
              </w:rPr>
              <w:t>2025</w:t>
            </w:r>
          </w:p>
        </w:tc>
        <w:tc>
          <w:tcPr>
            <w:tcW w:w="459" w:type="pct"/>
            <w:shd w:val="clear" w:color="auto" w:fill="D9D9D9" w:themeFill="background1" w:themeFillShade="D9"/>
          </w:tcPr>
          <w:p w14:paraId="04F2CC07" w14:textId="7AFEF7E3" w:rsidR="00655A01" w:rsidRPr="00655A01" w:rsidRDefault="00655A01" w:rsidP="00DF4743">
            <w:pPr>
              <w:spacing w:after="0" w:line="260" w:lineRule="atLeast"/>
              <w:rPr>
                <w:rFonts w:ascii="Arial" w:hAnsi="Arial" w:cs="Arial"/>
                <w:sz w:val="18"/>
                <w:szCs w:val="18"/>
              </w:rPr>
            </w:pPr>
            <w:r>
              <w:rPr>
                <w:rFonts w:ascii="Arial" w:hAnsi="Arial"/>
                <w:sz w:val="18"/>
              </w:rPr>
              <w:t>2026</w:t>
            </w:r>
          </w:p>
        </w:tc>
        <w:tc>
          <w:tcPr>
            <w:tcW w:w="461" w:type="pct"/>
            <w:shd w:val="clear" w:color="auto" w:fill="D9D9D9" w:themeFill="background1" w:themeFillShade="D9"/>
          </w:tcPr>
          <w:p w14:paraId="7189CC5B" w14:textId="2278AA8A" w:rsidR="00655A01" w:rsidRPr="00655A01" w:rsidRDefault="00655A01" w:rsidP="00DF4743">
            <w:pPr>
              <w:spacing w:after="0" w:line="260" w:lineRule="atLeast"/>
              <w:rPr>
                <w:rFonts w:ascii="Arial" w:hAnsi="Arial" w:cs="Arial"/>
                <w:sz w:val="18"/>
                <w:szCs w:val="18"/>
              </w:rPr>
            </w:pPr>
            <w:r>
              <w:rPr>
                <w:rFonts w:ascii="Arial" w:hAnsi="Arial"/>
                <w:sz w:val="18"/>
              </w:rPr>
              <w:t>2027</w:t>
            </w:r>
          </w:p>
        </w:tc>
        <w:tc>
          <w:tcPr>
            <w:tcW w:w="457" w:type="pct"/>
            <w:shd w:val="clear" w:color="auto" w:fill="D9D9D9" w:themeFill="background1" w:themeFillShade="D9"/>
          </w:tcPr>
          <w:p w14:paraId="4E71B884" w14:textId="45318D41" w:rsidR="00655A01" w:rsidRPr="00655A01" w:rsidRDefault="00655A01" w:rsidP="00DF4743">
            <w:pPr>
              <w:spacing w:after="0" w:line="260" w:lineRule="atLeast"/>
              <w:rPr>
                <w:rFonts w:ascii="Arial" w:hAnsi="Arial" w:cs="Arial"/>
                <w:sz w:val="18"/>
                <w:szCs w:val="18"/>
              </w:rPr>
            </w:pPr>
            <w:r>
              <w:rPr>
                <w:rFonts w:ascii="Arial" w:hAnsi="Arial"/>
                <w:sz w:val="18"/>
              </w:rPr>
              <w:t>2028</w:t>
            </w:r>
          </w:p>
        </w:tc>
        <w:tc>
          <w:tcPr>
            <w:tcW w:w="469" w:type="pct"/>
            <w:shd w:val="clear" w:color="auto" w:fill="D9D9D9" w:themeFill="background1" w:themeFillShade="D9"/>
          </w:tcPr>
          <w:p w14:paraId="7BC08AB9" w14:textId="62ED2EAD" w:rsidR="00655A01" w:rsidRPr="00655A01" w:rsidRDefault="00655A01" w:rsidP="00DF4743">
            <w:pPr>
              <w:spacing w:after="0" w:line="260" w:lineRule="atLeast"/>
              <w:rPr>
                <w:rFonts w:ascii="Arial" w:hAnsi="Arial" w:cs="Arial"/>
                <w:sz w:val="18"/>
                <w:szCs w:val="18"/>
              </w:rPr>
            </w:pPr>
            <w:r>
              <w:rPr>
                <w:rFonts w:ascii="Arial" w:hAnsi="Arial"/>
                <w:sz w:val="18"/>
              </w:rPr>
              <w:t>2029</w:t>
            </w:r>
          </w:p>
        </w:tc>
        <w:tc>
          <w:tcPr>
            <w:tcW w:w="469" w:type="pct"/>
            <w:shd w:val="clear" w:color="auto" w:fill="D9D9D9" w:themeFill="background1" w:themeFillShade="D9"/>
          </w:tcPr>
          <w:p w14:paraId="4F6F7911" w14:textId="0D2E0194" w:rsidR="00655A01" w:rsidRPr="00F062B1" w:rsidRDefault="00655A01" w:rsidP="00DF4743">
            <w:pPr>
              <w:spacing w:after="0" w:line="260" w:lineRule="atLeast"/>
              <w:rPr>
                <w:rFonts w:ascii="Arial" w:hAnsi="Arial" w:cs="Arial"/>
                <w:sz w:val="18"/>
                <w:szCs w:val="18"/>
              </w:rPr>
            </w:pPr>
            <w:r>
              <w:rPr>
                <w:rFonts w:ascii="Arial" w:hAnsi="Arial"/>
                <w:sz w:val="18"/>
              </w:rPr>
              <w:t>2030</w:t>
            </w:r>
          </w:p>
        </w:tc>
        <w:tc>
          <w:tcPr>
            <w:tcW w:w="467" w:type="pct"/>
            <w:shd w:val="clear" w:color="auto" w:fill="D9D9D9" w:themeFill="background1" w:themeFillShade="D9"/>
          </w:tcPr>
          <w:p w14:paraId="33CE1D00" w14:textId="38FF4A88" w:rsidR="00655A01" w:rsidRPr="00F062B1" w:rsidRDefault="00655A01" w:rsidP="00DF4743">
            <w:pPr>
              <w:spacing w:after="0" w:line="260" w:lineRule="atLeast"/>
              <w:rPr>
                <w:rFonts w:ascii="Arial" w:hAnsi="Arial" w:cs="Arial"/>
                <w:sz w:val="18"/>
                <w:szCs w:val="18"/>
              </w:rPr>
            </w:pPr>
            <w:r>
              <w:rPr>
                <w:rFonts w:ascii="Arial" w:hAnsi="Arial"/>
                <w:sz w:val="18"/>
              </w:rPr>
              <w:t>2031</w:t>
            </w:r>
          </w:p>
        </w:tc>
      </w:tr>
      <w:tr w:rsidR="00655A01" w:rsidRPr="00655A01" w14:paraId="64E61A13" w14:textId="053B4A91" w:rsidTr="008C1062">
        <w:trPr>
          <w:trHeight w:hRule="exact" w:val="1054"/>
        </w:trPr>
        <w:tc>
          <w:tcPr>
            <w:tcW w:w="496" w:type="pct"/>
            <w:shd w:val="clear" w:color="auto" w:fill="D9D9D9" w:themeFill="background1" w:themeFillShade="D9"/>
          </w:tcPr>
          <w:p w14:paraId="053EDADF" w14:textId="0333C275" w:rsidR="00655A01" w:rsidRPr="00655A01" w:rsidRDefault="00655A01" w:rsidP="00655A01">
            <w:pPr>
              <w:spacing w:after="0" w:line="260" w:lineRule="atLeast"/>
              <w:rPr>
                <w:rFonts w:ascii="Arial" w:hAnsi="Arial" w:cs="Arial"/>
                <w:b/>
                <w:sz w:val="18"/>
                <w:szCs w:val="18"/>
              </w:rPr>
            </w:pPr>
            <w:r>
              <w:rPr>
                <w:rFonts w:ascii="Arial" w:hAnsi="Arial"/>
                <w:b/>
                <w:sz w:val="18"/>
              </w:rPr>
              <w:t>Kostot (në euro) të:</w:t>
            </w:r>
          </w:p>
        </w:tc>
        <w:tc>
          <w:tcPr>
            <w:tcW w:w="408" w:type="pct"/>
            <w:tcBorders>
              <w:top w:val="nil"/>
              <w:left w:val="nil"/>
              <w:bottom w:val="single" w:sz="8" w:space="0" w:color="auto"/>
              <w:right w:val="single" w:sz="8" w:space="0" w:color="auto"/>
            </w:tcBorders>
            <w:shd w:val="clear" w:color="auto" w:fill="auto"/>
            <w:vAlign w:val="center"/>
          </w:tcPr>
          <w:p w14:paraId="575F5FD9" w14:textId="0B8BC692" w:rsidR="00655A01" w:rsidRPr="00F90A05" w:rsidRDefault="00655A01" w:rsidP="00A861FA">
            <w:pPr>
              <w:spacing w:line="260" w:lineRule="atLeast"/>
              <w:jc w:val="center"/>
              <w:rPr>
                <w:rFonts w:ascii="Arial" w:hAnsi="Arial" w:cs="Arial"/>
                <w:sz w:val="18"/>
                <w:szCs w:val="16"/>
              </w:rPr>
            </w:pPr>
            <w:r>
              <w:rPr>
                <w:rFonts w:ascii="Arial" w:hAnsi="Arial"/>
                <w:sz w:val="18"/>
              </w:rPr>
              <w:t>1,000,000</w:t>
            </w:r>
          </w:p>
        </w:tc>
        <w:tc>
          <w:tcPr>
            <w:tcW w:w="447" w:type="pct"/>
            <w:tcBorders>
              <w:top w:val="nil"/>
              <w:left w:val="nil"/>
              <w:bottom w:val="single" w:sz="8" w:space="0" w:color="auto"/>
              <w:right w:val="single" w:sz="8" w:space="0" w:color="auto"/>
            </w:tcBorders>
            <w:shd w:val="clear" w:color="auto" w:fill="auto"/>
            <w:vAlign w:val="center"/>
          </w:tcPr>
          <w:p w14:paraId="00ECE293" w14:textId="1610428F" w:rsidR="00655A01" w:rsidRPr="00F90A05" w:rsidRDefault="00655A01" w:rsidP="00A861FA">
            <w:pPr>
              <w:spacing w:line="260" w:lineRule="atLeast"/>
              <w:jc w:val="center"/>
              <w:rPr>
                <w:rFonts w:ascii="Arial" w:hAnsi="Arial" w:cs="Arial"/>
                <w:sz w:val="18"/>
                <w:szCs w:val="16"/>
              </w:rPr>
            </w:pPr>
            <w:r>
              <w:rPr>
                <w:rFonts w:ascii="Arial" w:hAnsi="Arial"/>
                <w:sz w:val="18"/>
              </w:rPr>
              <w:t>1,000,000</w:t>
            </w:r>
          </w:p>
        </w:tc>
        <w:tc>
          <w:tcPr>
            <w:tcW w:w="407" w:type="pct"/>
            <w:tcBorders>
              <w:top w:val="nil"/>
              <w:left w:val="nil"/>
              <w:bottom w:val="single" w:sz="8" w:space="0" w:color="auto"/>
              <w:right w:val="single" w:sz="8" w:space="0" w:color="auto"/>
            </w:tcBorders>
            <w:shd w:val="clear" w:color="auto" w:fill="auto"/>
            <w:vAlign w:val="center"/>
          </w:tcPr>
          <w:p w14:paraId="1ABCD39B" w14:textId="17CD42F2" w:rsidR="00655A01" w:rsidRPr="00F90A05" w:rsidRDefault="00655A01" w:rsidP="00A861FA">
            <w:pPr>
              <w:spacing w:line="260" w:lineRule="atLeast"/>
              <w:jc w:val="center"/>
              <w:rPr>
                <w:rFonts w:ascii="Arial" w:hAnsi="Arial" w:cs="Arial"/>
                <w:sz w:val="18"/>
                <w:szCs w:val="16"/>
              </w:rPr>
            </w:pPr>
            <w:r>
              <w:rPr>
                <w:rFonts w:ascii="Arial" w:hAnsi="Arial"/>
                <w:sz w:val="18"/>
              </w:rPr>
              <w:t>200,000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90EAF9C" w14:textId="19BC0A6F" w:rsidR="00655A01" w:rsidRPr="00F90A05" w:rsidRDefault="006D18A9" w:rsidP="00A861FA">
            <w:pPr>
              <w:spacing w:line="260" w:lineRule="atLeast"/>
              <w:jc w:val="center"/>
              <w:rPr>
                <w:rFonts w:ascii="Arial" w:hAnsi="Arial" w:cs="Arial"/>
                <w:sz w:val="18"/>
                <w:szCs w:val="16"/>
              </w:rPr>
            </w:pPr>
            <w:r>
              <w:rPr>
                <w:rFonts w:ascii="Arial" w:hAnsi="Arial"/>
                <w:sz w:val="18"/>
              </w:rPr>
              <w:t>3,750,000</w:t>
            </w:r>
          </w:p>
        </w:tc>
        <w:tc>
          <w:tcPr>
            <w:tcW w:w="459" w:type="pct"/>
            <w:tcBorders>
              <w:top w:val="single" w:sz="4" w:space="0" w:color="auto"/>
              <w:left w:val="nil"/>
              <w:bottom w:val="single" w:sz="4" w:space="0" w:color="auto"/>
              <w:right w:val="single" w:sz="4" w:space="0" w:color="auto"/>
            </w:tcBorders>
            <w:shd w:val="clear" w:color="auto" w:fill="auto"/>
            <w:vAlign w:val="center"/>
          </w:tcPr>
          <w:p w14:paraId="2373D1E5" w14:textId="601AEE7A" w:rsidR="00655A01" w:rsidRPr="00F90A05" w:rsidRDefault="0031720C" w:rsidP="00A861FA">
            <w:pPr>
              <w:spacing w:line="260" w:lineRule="atLeast"/>
              <w:jc w:val="center"/>
              <w:rPr>
                <w:rFonts w:ascii="Arial" w:hAnsi="Arial" w:cs="Arial"/>
                <w:sz w:val="18"/>
                <w:szCs w:val="16"/>
              </w:rPr>
            </w:pPr>
            <w:r>
              <w:rPr>
                <w:rFonts w:ascii="Arial" w:hAnsi="Arial"/>
                <w:sz w:val="18"/>
              </w:rPr>
              <w:t>3,750,000</w:t>
            </w:r>
          </w:p>
        </w:tc>
        <w:tc>
          <w:tcPr>
            <w:tcW w:w="461" w:type="pct"/>
            <w:tcBorders>
              <w:top w:val="single" w:sz="4" w:space="0" w:color="auto"/>
              <w:left w:val="nil"/>
              <w:bottom w:val="single" w:sz="4" w:space="0" w:color="auto"/>
              <w:right w:val="single" w:sz="4" w:space="0" w:color="auto"/>
            </w:tcBorders>
            <w:shd w:val="clear" w:color="auto" w:fill="auto"/>
            <w:vAlign w:val="center"/>
          </w:tcPr>
          <w:p w14:paraId="2D4814A9" w14:textId="5C32B5DB" w:rsidR="00655A01" w:rsidRPr="00F90A05" w:rsidRDefault="0031720C" w:rsidP="00A861FA">
            <w:pPr>
              <w:spacing w:line="260" w:lineRule="atLeast"/>
              <w:jc w:val="center"/>
              <w:rPr>
                <w:rFonts w:ascii="Arial" w:hAnsi="Arial" w:cs="Arial"/>
                <w:sz w:val="18"/>
                <w:szCs w:val="16"/>
              </w:rPr>
            </w:pPr>
            <w:r>
              <w:rPr>
                <w:rFonts w:ascii="Arial" w:hAnsi="Arial"/>
                <w:sz w:val="18"/>
              </w:rPr>
              <w:t>28,500,000</w:t>
            </w:r>
          </w:p>
        </w:tc>
        <w:tc>
          <w:tcPr>
            <w:tcW w:w="457" w:type="pct"/>
            <w:tcBorders>
              <w:top w:val="single" w:sz="4" w:space="0" w:color="auto"/>
              <w:left w:val="nil"/>
              <w:bottom w:val="single" w:sz="4" w:space="0" w:color="auto"/>
              <w:right w:val="single" w:sz="4" w:space="0" w:color="auto"/>
            </w:tcBorders>
            <w:shd w:val="clear" w:color="auto" w:fill="auto"/>
            <w:vAlign w:val="center"/>
          </w:tcPr>
          <w:p w14:paraId="414D6266" w14:textId="6CB94B5A" w:rsidR="00655A01" w:rsidRPr="00F90A05" w:rsidRDefault="0031720C" w:rsidP="00A861FA">
            <w:pPr>
              <w:spacing w:line="260" w:lineRule="atLeast"/>
              <w:jc w:val="center"/>
              <w:rPr>
                <w:rFonts w:ascii="Arial" w:hAnsi="Arial" w:cs="Arial"/>
                <w:sz w:val="18"/>
                <w:szCs w:val="16"/>
              </w:rPr>
            </w:pPr>
            <w:r>
              <w:rPr>
                <w:rFonts w:ascii="Arial" w:hAnsi="Arial"/>
                <w:sz w:val="18"/>
              </w:rPr>
              <w:t>28,500,000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50C4B613" w14:textId="004AE14E" w:rsidR="00655A01" w:rsidRPr="00F90A05" w:rsidRDefault="0031720C" w:rsidP="00A861FA">
            <w:pPr>
              <w:spacing w:line="260" w:lineRule="atLeast"/>
              <w:jc w:val="center"/>
              <w:rPr>
                <w:rFonts w:ascii="Arial" w:hAnsi="Arial" w:cs="Arial"/>
                <w:sz w:val="18"/>
                <w:szCs w:val="16"/>
              </w:rPr>
            </w:pPr>
            <w:r>
              <w:rPr>
                <w:rFonts w:ascii="Arial" w:hAnsi="Arial"/>
                <w:sz w:val="18"/>
              </w:rPr>
              <w:t>28,500,000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2B2E73EB" w14:textId="7245CCE2" w:rsidR="00655A01" w:rsidRPr="00F90A05" w:rsidRDefault="0031720C" w:rsidP="00A861FA">
            <w:pPr>
              <w:spacing w:line="260" w:lineRule="atLeast"/>
              <w:jc w:val="center"/>
              <w:rPr>
                <w:rFonts w:ascii="Arial" w:hAnsi="Arial" w:cs="Arial"/>
                <w:bCs/>
                <w:sz w:val="18"/>
                <w:szCs w:val="16"/>
              </w:rPr>
            </w:pPr>
            <w:r>
              <w:rPr>
                <w:rFonts w:ascii="Arial" w:hAnsi="Arial"/>
                <w:sz w:val="18"/>
              </w:rPr>
              <w:t>28,500,000</w:t>
            </w:r>
          </w:p>
        </w:tc>
        <w:tc>
          <w:tcPr>
            <w:tcW w:w="467" w:type="pct"/>
            <w:tcBorders>
              <w:top w:val="single" w:sz="4" w:space="0" w:color="auto"/>
              <w:left w:val="nil"/>
              <w:bottom w:val="single" w:sz="4" w:space="0" w:color="auto"/>
              <w:right w:val="single" w:sz="4" w:space="0" w:color="auto"/>
            </w:tcBorders>
            <w:shd w:val="clear" w:color="auto" w:fill="auto"/>
            <w:vAlign w:val="center"/>
          </w:tcPr>
          <w:p w14:paraId="4EA84DAE" w14:textId="60D05E4C" w:rsidR="00655A01" w:rsidRPr="00F90A05" w:rsidRDefault="0031720C" w:rsidP="00A861FA">
            <w:pPr>
              <w:spacing w:line="260" w:lineRule="atLeast"/>
              <w:jc w:val="center"/>
              <w:rPr>
                <w:rFonts w:ascii="Arial" w:hAnsi="Arial" w:cs="Arial"/>
                <w:bCs/>
                <w:sz w:val="18"/>
                <w:szCs w:val="16"/>
              </w:rPr>
            </w:pPr>
            <w:r>
              <w:rPr>
                <w:rFonts w:ascii="Arial" w:hAnsi="Arial"/>
                <w:sz w:val="18"/>
              </w:rPr>
              <w:t>28,500,000</w:t>
            </w:r>
          </w:p>
        </w:tc>
      </w:tr>
      <w:tr w:rsidR="00655A01" w:rsidRPr="00655A01" w14:paraId="28E69875" w14:textId="29B8DE1C" w:rsidTr="008C1062">
        <w:trPr>
          <w:trHeight w:hRule="exact" w:val="1181"/>
        </w:trPr>
        <w:tc>
          <w:tcPr>
            <w:tcW w:w="496" w:type="pct"/>
            <w:shd w:val="clear" w:color="auto" w:fill="D9D9D9" w:themeFill="background1" w:themeFillShade="D9"/>
          </w:tcPr>
          <w:p w14:paraId="6A833885" w14:textId="77777777" w:rsidR="00655A01" w:rsidRPr="00655A01" w:rsidRDefault="00655A01" w:rsidP="00655A01">
            <w:pPr>
              <w:spacing w:after="0" w:line="260" w:lineRule="atLeast"/>
              <w:rPr>
                <w:rFonts w:ascii="Arial" w:hAnsi="Arial" w:cs="Arial"/>
                <w:sz w:val="18"/>
                <w:szCs w:val="18"/>
              </w:rPr>
            </w:pPr>
            <w:r>
              <w:rPr>
                <w:rFonts w:ascii="Arial" w:hAnsi="Arial"/>
                <w:sz w:val="18"/>
              </w:rPr>
              <w:t>Përgatitja e projektit (TA)</w:t>
            </w:r>
          </w:p>
        </w:tc>
        <w:tc>
          <w:tcPr>
            <w:tcW w:w="408" w:type="pct"/>
            <w:tcBorders>
              <w:top w:val="nil"/>
              <w:left w:val="nil"/>
              <w:bottom w:val="single" w:sz="8" w:space="0" w:color="auto"/>
              <w:right w:val="single" w:sz="8" w:space="0" w:color="auto"/>
            </w:tcBorders>
            <w:shd w:val="clear" w:color="auto" w:fill="auto"/>
            <w:vAlign w:val="center"/>
          </w:tcPr>
          <w:p w14:paraId="471C3C8E" w14:textId="5AA54460" w:rsidR="00655A01" w:rsidRPr="00F90A05" w:rsidRDefault="00655A01" w:rsidP="00A861FA">
            <w:pPr>
              <w:spacing w:line="260" w:lineRule="atLeast"/>
              <w:jc w:val="center"/>
              <w:rPr>
                <w:rFonts w:ascii="Arial" w:hAnsi="Arial" w:cs="Arial"/>
                <w:sz w:val="18"/>
                <w:szCs w:val="16"/>
              </w:rPr>
            </w:pPr>
            <w:r>
              <w:rPr>
                <w:rFonts w:ascii="Arial" w:hAnsi="Arial"/>
                <w:sz w:val="18"/>
              </w:rPr>
              <w:t>1,000,000</w:t>
            </w:r>
          </w:p>
        </w:tc>
        <w:tc>
          <w:tcPr>
            <w:tcW w:w="447" w:type="pct"/>
            <w:tcBorders>
              <w:top w:val="nil"/>
              <w:left w:val="nil"/>
              <w:bottom w:val="single" w:sz="8" w:space="0" w:color="auto"/>
              <w:right w:val="single" w:sz="8" w:space="0" w:color="auto"/>
            </w:tcBorders>
            <w:shd w:val="clear" w:color="auto" w:fill="auto"/>
            <w:vAlign w:val="center"/>
          </w:tcPr>
          <w:p w14:paraId="214BDF31" w14:textId="6AB4A519" w:rsidR="00655A01" w:rsidRPr="00F90A05" w:rsidRDefault="00655A01" w:rsidP="00A861FA">
            <w:pPr>
              <w:spacing w:line="260" w:lineRule="atLeast"/>
              <w:jc w:val="center"/>
              <w:rPr>
                <w:rFonts w:ascii="Arial" w:hAnsi="Arial" w:cs="Arial"/>
                <w:sz w:val="18"/>
                <w:szCs w:val="16"/>
              </w:rPr>
            </w:pPr>
            <w:r>
              <w:rPr>
                <w:rFonts w:ascii="Arial" w:hAnsi="Arial"/>
                <w:sz w:val="18"/>
              </w:rPr>
              <w:t>1,000,000</w:t>
            </w:r>
          </w:p>
        </w:tc>
        <w:tc>
          <w:tcPr>
            <w:tcW w:w="407" w:type="pct"/>
            <w:tcBorders>
              <w:top w:val="nil"/>
              <w:left w:val="nil"/>
              <w:bottom w:val="single" w:sz="8" w:space="0" w:color="auto"/>
              <w:right w:val="single" w:sz="8" w:space="0" w:color="auto"/>
            </w:tcBorders>
            <w:shd w:val="clear" w:color="auto" w:fill="auto"/>
            <w:vAlign w:val="center"/>
          </w:tcPr>
          <w:p w14:paraId="76BE18D7" w14:textId="2A1FD55F" w:rsidR="00655A01" w:rsidRPr="00F90A05" w:rsidRDefault="00655A01" w:rsidP="00A861FA">
            <w:pPr>
              <w:spacing w:line="260" w:lineRule="atLeast"/>
              <w:jc w:val="center"/>
              <w:rPr>
                <w:rFonts w:ascii="Arial" w:hAnsi="Arial" w:cs="Arial"/>
                <w:sz w:val="18"/>
                <w:szCs w:val="16"/>
              </w:rPr>
            </w:pPr>
            <w:r>
              <w:rPr>
                <w:rFonts w:ascii="Arial" w:hAnsi="Arial"/>
                <w:sz w:val="18"/>
              </w:rPr>
              <w:t>200,000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75CBD93A" w14:textId="2FC2B5A2" w:rsidR="00655A01" w:rsidRPr="00F90A05" w:rsidRDefault="0031720C" w:rsidP="00A861FA">
            <w:pPr>
              <w:spacing w:line="260" w:lineRule="atLeast"/>
              <w:jc w:val="center"/>
              <w:rPr>
                <w:rFonts w:ascii="Arial" w:hAnsi="Arial" w:cs="Arial"/>
                <w:sz w:val="18"/>
                <w:szCs w:val="16"/>
              </w:rPr>
            </w:pPr>
            <w:r>
              <w:rPr>
                <w:rFonts w:ascii="Arial" w:hAnsi="Arial"/>
                <w:sz w:val="18"/>
              </w:rPr>
              <w:t>3,750,000</w:t>
            </w:r>
          </w:p>
        </w:tc>
        <w:tc>
          <w:tcPr>
            <w:tcW w:w="459" w:type="pct"/>
            <w:tcBorders>
              <w:top w:val="single" w:sz="4" w:space="0" w:color="auto"/>
              <w:left w:val="nil"/>
              <w:bottom w:val="single" w:sz="4" w:space="0" w:color="auto"/>
              <w:right w:val="single" w:sz="4" w:space="0" w:color="auto"/>
            </w:tcBorders>
            <w:shd w:val="clear" w:color="auto" w:fill="auto"/>
            <w:vAlign w:val="center"/>
          </w:tcPr>
          <w:p w14:paraId="28598048" w14:textId="4477D9E3" w:rsidR="00655A01" w:rsidRPr="00F90A05" w:rsidRDefault="0031720C" w:rsidP="00A861FA">
            <w:pPr>
              <w:spacing w:line="260" w:lineRule="atLeast"/>
              <w:jc w:val="center"/>
              <w:rPr>
                <w:rFonts w:ascii="Arial" w:hAnsi="Arial" w:cs="Arial"/>
                <w:sz w:val="18"/>
                <w:szCs w:val="16"/>
              </w:rPr>
            </w:pPr>
            <w:r>
              <w:rPr>
                <w:rFonts w:ascii="Arial" w:hAnsi="Arial"/>
                <w:sz w:val="18"/>
              </w:rPr>
              <w:t>3,750,000</w:t>
            </w:r>
          </w:p>
        </w:tc>
        <w:tc>
          <w:tcPr>
            <w:tcW w:w="461" w:type="pct"/>
            <w:tcBorders>
              <w:top w:val="nil"/>
              <w:left w:val="nil"/>
              <w:bottom w:val="single" w:sz="8" w:space="0" w:color="auto"/>
              <w:right w:val="single" w:sz="8" w:space="0" w:color="auto"/>
            </w:tcBorders>
            <w:shd w:val="clear" w:color="auto" w:fill="auto"/>
            <w:vAlign w:val="center"/>
          </w:tcPr>
          <w:p w14:paraId="0C9B0787" w14:textId="3281453C" w:rsidR="00655A01" w:rsidRPr="00F90A05" w:rsidRDefault="00655A01" w:rsidP="00A861FA">
            <w:pPr>
              <w:spacing w:line="260" w:lineRule="atLeast"/>
              <w:jc w:val="center"/>
              <w:rPr>
                <w:rFonts w:ascii="Arial" w:hAnsi="Arial" w:cs="Arial"/>
                <w:sz w:val="18"/>
                <w:szCs w:val="16"/>
                <w:lang w:val="en-US"/>
              </w:rPr>
            </w:pPr>
          </w:p>
        </w:tc>
        <w:tc>
          <w:tcPr>
            <w:tcW w:w="457" w:type="pct"/>
            <w:tcBorders>
              <w:top w:val="nil"/>
              <w:left w:val="nil"/>
              <w:bottom w:val="single" w:sz="8" w:space="0" w:color="auto"/>
              <w:right w:val="single" w:sz="8" w:space="0" w:color="auto"/>
            </w:tcBorders>
            <w:shd w:val="clear" w:color="auto" w:fill="auto"/>
            <w:vAlign w:val="center"/>
          </w:tcPr>
          <w:p w14:paraId="327C7074" w14:textId="2449D934" w:rsidR="00655A01" w:rsidRPr="00F90A05" w:rsidRDefault="00655A01" w:rsidP="00A861FA">
            <w:pPr>
              <w:spacing w:line="260" w:lineRule="atLeast"/>
              <w:jc w:val="center"/>
              <w:rPr>
                <w:rFonts w:ascii="Arial" w:hAnsi="Arial" w:cs="Arial"/>
                <w:sz w:val="18"/>
                <w:szCs w:val="16"/>
                <w:lang w:val="en-US"/>
              </w:rPr>
            </w:pPr>
          </w:p>
        </w:tc>
        <w:tc>
          <w:tcPr>
            <w:tcW w:w="469" w:type="pct"/>
            <w:tcBorders>
              <w:top w:val="nil"/>
              <w:left w:val="nil"/>
              <w:bottom w:val="single" w:sz="8" w:space="0" w:color="auto"/>
              <w:right w:val="single" w:sz="8" w:space="0" w:color="auto"/>
            </w:tcBorders>
            <w:shd w:val="clear" w:color="auto" w:fill="auto"/>
            <w:vAlign w:val="center"/>
          </w:tcPr>
          <w:p w14:paraId="6AF2E4A2" w14:textId="401E6187" w:rsidR="00655A01" w:rsidRPr="00F90A05" w:rsidRDefault="00655A01" w:rsidP="00A861FA">
            <w:pPr>
              <w:spacing w:line="260" w:lineRule="atLeast"/>
              <w:jc w:val="center"/>
              <w:rPr>
                <w:rFonts w:ascii="Arial" w:hAnsi="Arial" w:cs="Arial"/>
                <w:sz w:val="18"/>
                <w:szCs w:val="16"/>
                <w:lang w:val="en-US"/>
              </w:rPr>
            </w:pPr>
          </w:p>
        </w:tc>
        <w:tc>
          <w:tcPr>
            <w:tcW w:w="469" w:type="pct"/>
            <w:tcBorders>
              <w:top w:val="nil"/>
              <w:left w:val="nil"/>
              <w:bottom w:val="single" w:sz="8" w:space="0" w:color="auto"/>
              <w:right w:val="single" w:sz="8" w:space="0" w:color="auto"/>
            </w:tcBorders>
            <w:vAlign w:val="center"/>
          </w:tcPr>
          <w:p w14:paraId="1C79436B" w14:textId="77777777" w:rsidR="00655A01" w:rsidRPr="00F90A05" w:rsidRDefault="00655A01" w:rsidP="00A861FA">
            <w:pPr>
              <w:spacing w:line="260" w:lineRule="atLeast"/>
              <w:jc w:val="center"/>
              <w:rPr>
                <w:rFonts w:ascii="Arial" w:hAnsi="Arial" w:cs="Arial"/>
                <w:sz w:val="18"/>
                <w:szCs w:val="16"/>
                <w:lang w:val="en-US"/>
              </w:rPr>
            </w:pPr>
          </w:p>
        </w:tc>
        <w:tc>
          <w:tcPr>
            <w:tcW w:w="467" w:type="pct"/>
            <w:tcBorders>
              <w:top w:val="nil"/>
              <w:left w:val="nil"/>
              <w:bottom w:val="single" w:sz="8" w:space="0" w:color="auto"/>
              <w:right w:val="single" w:sz="8" w:space="0" w:color="auto"/>
            </w:tcBorders>
            <w:vAlign w:val="center"/>
          </w:tcPr>
          <w:p w14:paraId="342DA01B" w14:textId="77777777" w:rsidR="00655A01" w:rsidRPr="00F90A05" w:rsidRDefault="00655A01" w:rsidP="00A861FA">
            <w:pPr>
              <w:spacing w:line="260" w:lineRule="atLeast"/>
              <w:jc w:val="center"/>
              <w:rPr>
                <w:rFonts w:ascii="Arial" w:hAnsi="Arial" w:cs="Arial"/>
                <w:sz w:val="18"/>
                <w:szCs w:val="16"/>
                <w:lang w:val="en-US"/>
              </w:rPr>
            </w:pPr>
          </w:p>
        </w:tc>
      </w:tr>
      <w:tr w:rsidR="00655A01" w:rsidRPr="00655A01" w14:paraId="3310FA73" w14:textId="5563EDAB" w:rsidTr="008C1062">
        <w:trPr>
          <w:trHeight w:hRule="exact" w:val="713"/>
        </w:trPr>
        <w:tc>
          <w:tcPr>
            <w:tcW w:w="496" w:type="pct"/>
            <w:shd w:val="clear" w:color="auto" w:fill="D9D9D9" w:themeFill="background1" w:themeFillShade="D9"/>
          </w:tcPr>
          <w:p w14:paraId="31739BD8" w14:textId="77777777" w:rsidR="00655A01" w:rsidRPr="00655A01" w:rsidRDefault="00655A01" w:rsidP="00655A01">
            <w:pPr>
              <w:spacing w:after="0" w:line="260" w:lineRule="atLeast"/>
              <w:rPr>
                <w:rFonts w:ascii="Arial" w:hAnsi="Arial" w:cs="Arial"/>
                <w:sz w:val="18"/>
                <w:szCs w:val="18"/>
              </w:rPr>
            </w:pPr>
            <w:r>
              <w:rPr>
                <w:rFonts w:ascii="Arial" w:hAnsi="Arial"/>
                <w:sz w:val="18"/>
              </w:rPr>
              <w:t xml:space="preserve">Investimi </w:t>
            </w:r>
          </w:p>
        </w:tc>
        <w:tc>
          <w:tcPr>
            <w:tcW w:w="408" w:type="pct"/>
            <w:tcBorders>
              <w:top w:val="nil"/>
              <w:left w:val="nil"/>
              <w:bottom w:val="single" w:sz="8" w:space="0" w:color="auto"/>
              <w:right w:val="single" w:sz="8" w:space="0" w:color="auto"/>
            </w:tcBorders>
            <w:shd w:val="clear" w:color="auto" w:fill="auto"/>
            <w:vAlign w:val="center"/>
          </w:tcPr>
          <w:p w14:paraId="3B2E710E" w14:textId="68905660" w:rsidR="00655A01" w:rsidRPr="00F90A05" w:rsidRDefault="00655A01" w:rsidP="00A861FA">
            <w:pPr>
              <w:spacing w:line="260" w:lineRule="atLeast"/>
              <w:jc w:val="center"/>
              <w:rPr>
                <w:rFonts w:ascii="Arial" w:hAnsi="Arial" w:cs="Arial"/>
                <w:sz w:val="18"/>
                <w:szCs w:val="16"/>
                <w:lang w:val="en-US"/>
              </w:rPr>
            </w:pPr>
          </w:p>
        </w:tc>
        <w:tc>
          <w:tcPr>
            <w:tcW w:w="447" w:type="pct"/>
            <w:tcBorders>
              <w:top w:val="nil"/>
              <w:left w:val="nil"/>
              <w:bottom w:val="single" w:sz="8" w:space="0" w:color="auto"/>
              <w:right w:val="single" w:sz="8" w:space="0" w:color="auto"/>
            </w:tcBorders>
            <w:shd w:val="clear" w:color="auto" w:fill="auto"/>
            <w:vAlign w:val="center"/>
          </w:tcPr>
          <w:p w14:paraId="7FB3F9C7" w14:textId="044E9505" w:rsidR="00655A01" w:rsidRPr="00F90A05" w:rsidRDefault="00655A01" w:rsidP="00A861FA">
            <w:pPr>
              <w:spacing w:line="260" w:lineRule="atLeast"/>
              <w:jc w:val="center"/>
              <w:rPr>
                <w:rFonts w:ascii="Arial" w:hAnsi="Arial" w:cs="Arial"/>
                <w:sz w:val="18"/>
                <w:szCs w:val="16"/>
                <w:lang w:val="en-US"/>
              </w:rPr>
            </w:pPr>
          </w:p>
        </w:tc>
        <w:tc>
          <w:tcPr>
            <w:tcW w:w="407" w:type="pct"/>
            <w:tcBorders>
              <w:top w:val="nil"/>
              <w:left w:val="nil"/>
              <w:bottom w:val="single" w:sz="8" w:space="0" w:color="auto"/>
              <w:right w:val="single" w:sz="8" w:space="0" w:color="auto"/>
            </w:tcBorders>
            <w:shd w:val="clear" w:color="auto" w:fill="auto"/>
            <w:vAlign w:val="center"/>
          </w:tcPr>
          <w:p w14:paraId="36824360" w14:textId="55B782C2" w:rsidR="00655A01" w:rsidRPr="00F90A05" w:rsidRDefault="00655A01" w:rsidP="00A861FA">
            <w:pPr>
              <w:spacing w:line="260" w:lineRule="atLeast"/>
              <w:jc w:val="center"/>
              <w:rPr>
                <w:rFonts w:ascii="Arial" w:hAnsi="Arial" w:cs="Arial"/>
                <w:sz w:val="18"/>
                <w:szCs w:val="16"/>
                <w:lang w:val="en-US"/>
              </w:rPr>
            </w:pPr>
          </w:p>
        </w:tc>
        <w:tc>
          <w:tcPr>
            <w:tcW w:w="461" w:type="pct"/>
            <w:tcBorders>
              <w:top w:val="nil"/>
              <w:left w:val="nil"/>
              <w:bottom w:val="single" w:sz="8" w:space="0" w:color="auto"/>
              <w:right w:val="single" w:sz="8" w:space="0" w:color="auto"/>
            </w:tcBorders>
            <w:shd w:val="clear" w:color="auto" w:fill="auto"/>
            <w:vAlign w:val="center"/>
          </w:tcPr>
          <w:p w14:paraId="3E5F8BEC" w14:textId="7C20312D" w:rsidR="00655A01" w:rsidRPr="00F90A05" w:rsidRDefault="00655A01" w:rsidP="00A861FA">
            <w:pPr>
              <w:spacing w:line="260" w:lineRule="atLeast"/>
              <w:jc w:val="center"/>
              <w:rPr>
                <w:rFonts w:ascii="Arial" w:hAnsi="Arial" w:cs="Arial"/>
                <w:sz w:val="18"/>
                <w:szCs w:val="16"/>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287B299" w14:textId="1179170D" w:rsidR="00655A01" w:rsidRPr="00F90A05" w:rsidRDefault="00655A01" w:rsidP="00A861FA">
            <w:pPr>
              <w:spacing w:line="260" w:lineRule="atLeast"/>
              <w:jc w:val="center"/>
              <w:rPr>
                <w:rFonts w:ascii="Arial" w:hAnsi="Arial" w:cs="Arial"/>
                <w:sz w:val="18"/>
                <w:szCs w:val="16"/>
                <w:lang w:val="en-US"/>
              </w:rPr>
            </w:pPr>
          </w:p>
        </w:tc>
        <w:tc>
          <w:tcPr>
            <w:tcW w:w="461" w:type="pct"/>
            <w:tcBorders>
              <w:top w:val="single" w:sz="4" w:space="0" w:color="auto"/>
              <w:left w:val="nil"/>
              <w:bottom w:val="single" w:sz="4" w:space="0" w:color="auto"/>
              <w:right w:val="single" w:sz="4" w:space="0" w:color="auto"/>
            </w:tcBorders>
            <w:shd w:val="clear" w:color="auto" w:fill="auto"/>
            <w:vAlign w:val="center"/>
          </w:tcPr>
          <w:p w14:paraId="5ADB9DED" w14:textId="7246640C" w:rsidR="00655A01" w:rsidRPr="00F90A05" w:rsidRDefault="0031720C" w:rsidP="00A861FA">
            <w:pPr>
              <w:spacing w:line="260" w:lineRule="atLeast"/>
              <w:jc w:val="center"/>
              <w:rPr>
                <w:rFonts w:ascii="Arial" w:hAnsi="Arial" w:cs="Arial"/>
                <w:sz w:val="18"/>
                <w:szCs w:val="16"/>
              </w:rPr>
            </w:pPr>
            <w:r>
              <w:rPr>
                <w:rFonts w:ascii="Arial" w:hAnsi="Arial"/>
                <w:sz w:val="18"/>
              </w:rPr>
              <w:t>28,500,000</w:t>
            </w:r>
          </w:p>
        </w:tc>
        <w:tc>
          <w:tcPr>
            <w:tcW w:w="457" w:type="pct"/>
            <w:tcBorders>
              <w:top w:val="single" w:sz="4" w:space="0" w:color="auto"/>
              <w:left w:val="nil"/>
              <w:bottom w:val="single" w:sz="4" w:space="0" w:color="auto"/>
              <w:right w:val="single" w:sz="4" w:space="0" w:color="auto"/>
            </w:tcBorders>
            <w:shd w:val="clear" w:color="auto" w:fill="auto"/>
            <w:vAlign w:val="center"/>
          </w:tcPr>
          <w:p w14:paraId="3646812A" w14:textId="617AE5D2" w:rsidR="00655A01" w:rsidRPr="00F90A05" w:rsidRDefault="0031720C" w:rsidP="00A861FA">
            <w:pPr>
              <w:spacing w:line="260" w:lineRule="atLeast"/>
              <w:jc w:val="center"/>
              <w:rPr>
                <w:rFonts w:ascii="Arial" w:hAnsi="Arial" w:cs="Arial"/>
                <w:sz w:val="18"/>
                <w:szCs w:val="16"/>
              </w:rPr>
            </w:pPr>
            <w:r>
              <w:rPr>
                <w:rFonts w:ascii="Arial" w:hAnsi="Arial"/>
                <w:sz w:val="18"/>
              </w:rPr>
              <w:t>28,500,000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49D5E998" w14:textId="308CBC24" w:rsidR="00655A01" w:rsidRPr="00F90A05" w:rsidRDefault="0031720C" w:rsidP="00A861FA">
            <w:pPr>
              <w:spacing w:line="260" w:lineRule="atLeast"/>
              <w:jc w:val="center"/>
              <w:rPr>
                <w:rFonts w:ascii="Arial" w:hAnsi="Arial" w:cs="Arial"/>
                <w:sz w:val="18"/>
                <w:szCs w:val="16"/>
              </w:rPr>
            </w:pPr>
            <w:r>
              <w:rPr>
                <w:rFonts w:ascii="Arial" w:hAnsi="Arial"/>
                <w:sz w:val="18"/>
              </w:rPr>
              <w:t>28,500,000</w:t>
            </w:r>
          </w:p>
        </w:tc>
        <w:tc>
          <w:tcPr>
            <w:tcW w:w="469" w:type="pct"/>
            <w:tcBorders>
              <w:top w:val="single" w:sz="4" w:space="0" w:color="auto"/>
              <w:left w:val="nil"/>
              <w:bottom w:val="single" w:sz="4" w:space="0" w:color="auto"/>
              <w:right w:val="single" w:sz="4" w:space="0" w:color="auto"/>
            </w:tcBorders>
            <w:shd w:val="clear" w:color="auto" w:fill="auto"/>
            <w:vAlign w:val="center"/>
          </w:tcPr>
          <w:p w14:paraId="1710AFA7" w14:textId="6D398318" w:rsidR="00655A01" w:rsidRPr="00F90A05" w:rsidRDefault="0031720C" w:rsidP="00A861FA">
            <w:pPr>
              <w:spacing w:line="260" w:lineRule="atLeast"/>
              <w:jc w:val="center"/>
              <w:rPr>
                <w:rFonts w:ascii="Arial" w:hAnsi="Arial" w:cs="Arial"/>
                <w:bCs/>
                <w:sz w:val="18"/>
                <w:szCs w:val="16"/>
              </w:rPr>
            </w:pPr>
            <w:r>
              <w:rPr>
                <w:rFonts w:ascii="Arial" w:hAnsi="Arial"/>
                <w:sz w:val="18"/>
              </w:rPr>
              <w:t>28,500,000</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5A1AC5C" w14:textId="5B78448D" w:rsidR="00655A01" w:rsidRPr="00F90A05" w:rsidRDefault="0031720C" w:rsidP="00A861FA">
            <w:pPr>
              <w:spacing w:line="260" w:lineRule="atLeast"/>
              <w:jc w:val="center"/>
              <w:rPr>
                <w:rFonts w:ascii="Arial" w:hAnsi="Arial" w:cs="Arial"/>
                <w:bCs/>
                <w:sz w:val="18"/>
                <w:szCs w:val="16"/>
              </w:rPr>
            </w:pPr>
            <w:r>
              <w:rPr>
                <w:rFonts w:ascii="Arial" w:hAnsi="Arial"/>
                <w:sz w:val="18"/>
              </w:rPr>
              <w:t>28,500,000</w:t>
            </w:r>
          </w:p>
        </w:tc>
      </w:tr>
    </w:tbl>
    <w:p w14:paraId="2D64DA21" w14:textId="77777777" w:rsidR="00BE2A05" w:rsidRPr="00781F2E" w:rsidRDefault="00BE2A05" w:rsidP="00002E32">
      <w:pPr>
        <w:tabs>
          <w:tab w:val="left" w:pos="8733"/>
        </w:tabs>
        <w:spacing w:before="240" w:after="0"/>
        <w:rPr>
          <w:rFonts w:ascii="Arial" w:hAnsi="Arial" w:cs="Arial"/>
          <w:sz w:val="20"/>
          <w:szCs w:val="20"/>
        </w:rPr>
      </w:pPr>
    </w:p>
    <w:p w14:paraId="1111015A" w14:textId="77777777" w:rsidR="00BE2A05" w:rsidRPr="00781F2E" w:rsidRDefault="00BE2A05" w:rsidP="00BE2A05">
      <w:pPr>
        <w:rPr>
          <w:rFonts w:ascii="Arial" w:hAnsi="Arial" w:cs="Arial"/>
          <w:sz w:val="20"/>
          <w:szCs w:val="20"/>
        </w:rPr>
      </w:pPr>
    </w:p>
    <w:p w14:paraId="546D999C" w14:textId="77777777" w:rsidR="0019538C" w:rsidRPr="00781F2E" w:rsidRDefault="0019538C" w:rsidP="004A0206">
      <w:pPr>
        <w:rPr>
          <w:rFonts w:ascii="Arial" w:hAnsi="Arial" w:cs="Arial"/>
          <w:sz w:val="20"/>
          <w:szCs w:val="20"/>
        </w:rPr>
      </w:pPr>
    </w:p>
    <w:sectPr w:rsidR="0019538C" w:rsidRPr="00781F2E" w:rsidSect="003A4F6C">
      <w:footerReference w:type="default" r:id="rId11"/>
      <w:headerReference w:type="first" r:id="rId12"/>
      <w:footerReference w:type="first" r:id="rId13"/>
      <w:pgSz w:w="11913" w:h="16834" w:code="9"/>
      <w:pgMar w:top="720" w:right="720" w:bottom="720" w:left="720" w:header="403" w:footer="0" w:gutter="562"/>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AA79" w16cex:dateUtc="2023-01-18T16:27:00Z"/>
  <w16cex:commentExtensible w16cex:durableId="2772AC02" w16cex:dateUtc="2023-01-18T16:33:00Z"/>
  <w16cex:commentExtensible w16cex:durableId="2772B6AD" w16cex:dateUtc="2023-01-18T17:19:00Z"/>
  <w16cex:commentExtensible w16cex:durableId="2772BCE1" w16cex:dateUtc="2023-01-18T17:45:00Z"/>
  <w16cex:commentExtensible w16cex:durableId="2772BF66" w16cex:dateUtc="2023-01-18T17:56:00Z"/>
  <w16cex:commentExtensible w16cex:durableId="2772C81E" w16cex:dateUtc="2023-01-18T18:33:00Z"/>
  <w16cex:commentExtensible w16cex:durableId="2772C627" w16cex:dateUtc="2023-01-18T18:25:00Z"/>
  <w16cex:commentExtensible w16cex:durableId="2772DA3A" w16cex:dateUtc="2023-01-18T19:51: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8903" w14:textId="77777777" w:rsidR="00126F45" w:rsidRDefault="00126F45" w:rsidP="00CE33CC">
      <w:pPr>
        <w:spacing w:after="0" w:line="240" w:lineRule="auto"/>
      </w:pPr>
      <w:r>
        <w:separator/>
      </w:r>
    </w:p>
  </w:endnote>
  <w:endnote w:type="continuationSeparator" w:id="0">
    <w:p w14:paraId="7060F1C7" w14:textId="77777777" w:rsidR="00126F45" w:rsidRDefault="00126F45"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 w:name="EC Square Sans Cond Pro Thin">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11E293E5" w14:textId="0508F91B" w:rsidR="00B05BF9" w:rsidRPr="0083451C" w:rsidRDefault="00B05BF9">
        <w:pPr>
          <w:pStyle w:val="Footer"/>
          <w:jc w:val="right"/>
          <w:rPr>
            <w:rFonts w:ascii="Arial" w:hAnsi="Arial" w:cs="Arial"/>
            <w:noProof/>
            <w:color w:val="003870"/>
            <w:sz w:val="17"/>
            <w:szCs w:val="17"/>
          </w:rPr>
        </w:pPr>
      </w:p>
      <w:p w14:paraId="3C5062D3" w14:textId="36DC7936" w:rsidR="00B05BF9" w:rsidRDefault="00126F45">
        <w:pPr>
          <w:pStyle w:val="Footer"/>
          <w:jc w:val="right"/>
        </w:pPr>
      </w:p>
    </w:sdtContent>
  </w:sdt>
  <w:p w14:paraId="72EC200D" w14:textId="77777777" w:rsidR="00B05BF9" w:rsidRDefault="00B05B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6B3EC93E" w14:textId="51AF3F6C" w:rsidR="00B05BF9" w:rsidRPr="0083451C" w:rsidRDefault="00B05BF9" w:rsidP="00FC644F">
        <w:pPr>
          <w:pStyle w:val="Footer"/>
          <w:jc w:val="right"/>
          <w:rPr>
            <w:rFonts w:ascii="Arial" w:hAnsi="Arial" w:cs="Arial"/>
            <w:noProof/>
            <w:color w:val="003870"/>
            <w:sz w:val="17"/>
            <w:szCs w:val="17"/>
          </w:rPr>
        </w:pPr>
        <w:r>
          <w:rPr>
            <w:rFonts w:ascii="Arial" w:hAnsi="Arial"/>
            <w:color w:val="003870"/>
            <w:sz w:val="17"/>
          </w:rPr>
          <w:br/>
        </w:r>
        <w:r w:rsidRPr="0083451C">
          <w:rPr>
            <w:rFonts w:ascii="Arial" w:hAnsi="Arial" w:cs="Arial"/>
            <w:color w:val="003870"/>
            <w:sz w:val="17"/>
          </w:rPr>
          <w:fldChar w:fldCharType="begin"/>
        </w:r>
        <w:r w:rsidRPr="0083451C">
          <w:rPr>
            <w:rFonts w:ascii="Arial" w:hAnsi="Arial" w:cs="Arial"/>
            <w:color w:val="003870"/>
            <w:sz w:val="17"/>
          </w:rPr>
          <w:instrText xml:space="preserve"> PAGE   \* MERGEFORMAT </w:instrText>
        </w:r>
        <w:r w:rsidRPr="0083451C">
          <w:rPr>
            <w:rFonts w:ascii="Arial" w:hAnsi="Arial" w:cs="Arial"/>
            <w:color w:val="003870"/>
            <w:sz w:val="17"/>
          </w:rPr>
          <w:fldChar w:fldCharType="separate"/>
        </w:r>
        <w:r w:rsidR="008C1062">
          <w:rPr>
            <w:rFonts w:ascii="Arial" w:hAnsi="Arial" w:cs="Arial"/>
            <w:noProof/>
            <w:color w:val="003870"/>
            <w:sz w:val="17"/>
          </w:rPr>
          <w:t>1</w:t>
        </w:r>
        <w:r w:rsidRPr="0083451C">
          <w:rPr>
            <w:rFonts w:ascii="Arial" w:hAnsi="Arial" w:cs="Arial"/>
            <w:color w:val="003870"/>
            <w:sz w:val="17"/>
          </w:rPr>
          <w:fldChar w:fldCharType="end"/>
        </w:r>
      </w:p>
      <w:p w14:paraId="62BB39FF" w14:textId="7CC8CEC7" w:rsidR="00B05BF9" w:rsidRDefault="00126F45" w:rsidP="00FC644F">
        <w:pPr>
          <w:pStyle w:val="Footer"/>
          <w:jc w:val="right"/>
          <w:rPr>
            <w:noProof/>
          </w:rPr>
        </w:pPr>
      </w:p>
    </w:sdtContent>
  </w:sdt>
  <w:p w14:paraId="43ACC9D2" w14:textId="77777777" w:rsidR="00B05BF9" w:rsidRPr="00CE33CC" w:rsidRDefault="00B05BF9"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F206" w14:textId="77777777" w:rsidR="00126F45" w:rsidRDefault="00126F45" w:rsidP="00CE33CC">
      <w:pPr>
        <w:spacing w:after="0" w:line="240" w:lineRule="auto"/>
      </w:pPr>
      <w:r>
        <w:separator/>
      </w:r>
    </w:p>
  </w:footnote>
  <w:footnote w:type="continuationSeparator" w:id="0">
    <w:p w14:paraId="442498CF" w14:textId="77777777" w:rsidR="00126F45" w:rsidRDefault="00126F45" w:rsidP="00CE33CC">
      <w:pPr>
        <w:spacing w:after="0" w:line="240" w:lineRule="auto"/>
      </w:pPr>
      <w:r>
        <w:continuationSeparator/>
      </w:r>
    </w:p>
  </w:footnote>
  <w:footnote w:id="1">
    <w:p w14:paraId="39CBA598" w14:textId="77777777" w:rsidR="00AC59C3" w:rsidRPr="00F71D6B" w:rsidRDefault="00AC59C3" w:rsidP="00AC59C3">
      <w:pPr>
        <w:pStyle w:val="FootnoteText"/>
        <w:rPr>
          <w:sz w:val="16"/>
          <w:szCs w:val="16"/>
        </w:rPr>
      </w:pPr>
    </w:p>
  </w:footnote>
  <w:footnote w:id="2">
    <w:p w14:paraId="1846B8EB" w14:textId="77777777" w:rsidR="00BF2F93" w:rsidRPr="002C04EB" w:rsidRDefault="00BF2F93" w:rsidP="00BF2F93">
      <w:pPr>
        <w:spacing w:after="0" w:line="240" w:lineRule="auto"/>
        <w:rPr>
          <w:rFonts w:asciiTheme="minorHAnsi" w:hAnsiTheme="minorHAnsi"/>
          <w:sz w:val="18"/>
          <w:szCs w:val="18"/>
        </w:rPr>
      </w:pPr>
      <w:r>
        <w:rPr>
          <w:rStyle w:val="FootnoteReference"/>
          <w:rFonts w:asciiTheme="minorHAnsi" w:hAnsiTheme="minorHAnsi"/>
          <w:sz w:val="18"/>
          <w:szCs w:val="18"/>
        </w:rPr>
        <w:footnoteRef/>
      </w:r>
      <w:r>
        <w:rPr>
          <w:rFonts w:asciiTheme="minorHAnsi" w:hAnsiTheme="minorHAnsi"/>
          <w:sz w:val="18"/>
        </w:rPr>
        <w:t xml:space="preserve"> Në një proces paralel, sistemi i verifikimit të burimit të biomasës do të përmirësohet për të mundësuar përdorim më transparent të produkteve të biomasës të qëndrueshme të pylltarisë dhe bujqësisë.</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F617" w14:textId="77777777" w:rsidR="00B05BF9" w:rsidRDefault="00B05BF9"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C5"/>
    <w:multiLevelType w:val="hybridMultilevel"/>
    <w:tmpl w:val="FFE0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1EE2"/>
    <w:multiLevelType w:val="multilevel"/>
    <w:tmpl w:val="BCCEAF66"/>
    <w:lvl w:ilvl="0">
      <w:start w:val="1"/>
      <w:numFmt w:val="decimal"/>
      <w:pStyle w:val="NumberedParagraph"/>
      <w:lvlText w:val="%1."/>
      <w:lvlJc w:val="left"/>
      <w:pPr>
        <w:ind w:left="567" w:hanging="567"/>
      </w:pPr>
      <w:rPr>
        <w:b w:val="0"/>
        <w:i w:val="0"/>
        <w:caps w:val="0"/>
        <w:strike w:val="0"/>
        <w:vanish w:val="0"/>
        <w:u w:val="none"/>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1399A"/>
    <w:multiLevelType w:val="hybridMultilevel"/>
    <w:tmpl w:val="26E2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32504"/>
    <w:multiLevelType w:val="hybridMultilevel"/>
    <w:tmpl w:val="71961B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DE4E07"/>
    <w:multiLevelType w:val="hybridMultilevel"/>
    <w:tmpl w:val="5408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F4FA8"/>
    <w:multiLevelType w:val="hybridMultilevel"/>
    <w:tmpl w:val="47366FE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0F352859"/>
    <w:multiLevelType w:val="hybridMultilevel"/>
    <w:tmpl w:val="9B44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8EF51AF"/>
    <w:multiLevelType w:val="hybridMultilevel"/>
    <w:tmpl w:val="D6D074E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B20E02"/>
    <w:multiLevelType w:val="hybridMultilevel"/>
    <w:tmpl w:val="3056D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F7B22"/>
    <w:multiLevelType w:val="hybridMultilevel"/>
    <w:tmpl w:val="01E8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43BA2"/>
    <w:multiLevelType w:val="hybridMultilevel"/>
    <w:tmpl w:val="BB7C0D9C"/>
    <w:lvl w:ilvl="0" w:tplc="C2688F22">
      <w:numFmt w:val="bullet"/>
      <w:lvlText w:val="•"/>
      <w:lvlJc w:val="left"/>
      <w:pPr>
        <w:ind w:left="450" w:hanging="360"/>
      </w:pPr>
      <w:rPr>
        <w:rFonts w:ascii="Tahoma" w:eastAsia="Times New Roman" w:hAnsi="Tahoma"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A1D49C0"/>
    <w:multiLevelType w:val="hybridMultilevel"/>
    <w:tmpl w:val="0F2434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533" w:hanging="360"/>
      </w:pPr>
      <w:rPr>
        <w:rFonts w:ascii="Courier New" w:hAnsi="Courier New" w:cs="Courier New" w:hint="default"/>
      </w:rPr>
    </w:lvl>
    <w:lvl w:ilvl="2" w:tplc="04070005">
      <w:start w:val="1"/>
      <w:numFmt w:val="bullet"/>
      <w:lvlText w:val=""/>
      <w:lvlJc w:val="left"/>
      <w:pPr>
        <w:ind w:left="1253" w:hanging="360"/>
      </w:pPr>
      <w:rPr>
        <w:rFonts w:ascii="Wingdings" w:hAnsi="Wingdings" w:hint="default"/>
      </w:rPr>
    </w:lvl>
    <w:lvl w:ilvl="3" w:tplc="FBB88F32">
      <w:start w:val="1"/>
      <w:numFmt w:val="bullet"/>
      <w:lvlText w:val="-"/>
      <w:lvlJc w:val="left"/>
      <w:pPr>
        <w:ind w:left="1973" w:hanging="360"/>
      </w:pPr>
      <w:rPr>
        <w:rFonts w:ascii="Calibri" w:eastAsia="Times New Roman" w:hAnsi="Calibri" w:cs="Calibri" w:hint="default"/>
      </w:rPr>
    </w:lvl>
    <w:lvl w:ilvl="4" w:tplc="FBB88F32">
      <w:start w:val="1"/>
      <w:numFmt w:val="bullet"/>
      <w:lvlText w:val="-"/>
      <w:lvlJc w:val="left"/>
      <w:pPr>
        <w:ind w:left="2693" w:hanging="360"/>
      </w:pPr>
      <w:rPr>
        <w:rFonts w:ascii="Calibri" w:eastAsia="Times New Roman" w:hAnsi="Calibri" w:cs="Calibri" w:hint="default"/>
      </w:rPr>
    </w:lvl>
    <w:lvl w:ilvl="5" w:tplc="04070005" w:tentative="1">
      <w:start w:val="1"/>
      <w:numFmt w:val="bullet"/>
      <w:lvlText w:val=""/>
      <w:lvlJc w:val="left"/>
      <w:pPr>
        <w:ind w:left="3413" w:hanging="360"/>
      </w:pPr>
      <w:rPr>
        <w:rFonts w:ascii="Wingdings" w:hAnsi="Wingdings" w:hint="default"/>
      </w:rPr>
    </w:lvl>
    <w:lvl w:ilvl="6" w:tplc="04070001" w:tentative="1">
      <w:start w:val="1"/>
      <w:numFmt w:val="bullet"/>
      <w:lvlText w:val=""/>
      <w:lvlJc w:val="left"/>
      <w:pPr>
        <w:ind w:left="4133" w:hanging="360"/>
      </w:pPr>
      <w:rPr>
        <w:rFonts w:ascii="Symbol" w:hAnsi="Symbol" w:hint="default"/>
      </w:rPr>
    </w:lvl>
    <w:lvl w:ilvl="7" w:tplc="04070003" w:tentative="1">
      <w:start w:val="1"/>
      <w:numFmt w:val="bullet"/>
      <w:lvlText w:val="o"/>
      <w:lvlJc w:val="left"/>
      <w:pPr>
        <w:ind w:left="4853" w:hanging="360"/>
      </w:pPr>
      <w:rPr>
        <w:rFonts w:ascii="Courier New" w:hAnsi="Courier New" w:cs="Courier New" w:hint="default"/>
      </w:rPr>
    </w:lvl>
    <w:lvl w:ilvl="8" w:tplc="04070005" w:tentative="1">
      <w:start w:val="1"/>
      <w:numFmt w:val="bullet"/>
      <w:lvlText w:val=""/>
      <w:lvlJc w:val="left"/>
      <w:pPr>
        <w:ind w:left="5573" w:hanging="360"/>
      </w:pPr>
      <w:rPr>
        <w:rFonts w:ascii="Wingdings" w:hAnsi="Wingdings" w:hint="default"/>
      </w:rPr>
    </w:lvl>
  </w:abstractNum>
  <w:abstractNum w:abstractNumId="13" w15:restartNumberingAfterBreak="0">
    <w:nsid w:val="2B3970A4"/>
    <w:multiLevelType w:val="hybridMultilevel"/>
    <w:tmpl w:val="551E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F4598"/>
    <w:multiLevelType w:val="multilevel"/>
    <w:tmpl w:val="45A078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1B07B3A"/>
    <w:multiLevelType w:val="hybridMultilevel"/>
    <w:tmpl w:val="4F5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10BC0"/>
    <w:multiLevelType w:val="hybridMultilevel"/>
    <w:tmpl w:val="FFAC0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C35B8"/>
    <w:multiLevelType w:val="hybridMultilevel"/>
    <w:tmpl w:val="FF343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73E88"/>
    <w:multiLevelType w:val="hybridMultilevel"/>
    <w:tmpl w:val="4C0E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03B89"/>
    <w:multiLevelType w:val="hybridMultilevel"/>
    <w:tmpl w:val="2C6A284E"/>
    <w:lvl w:ilvl="0" w:tplc="BD7AABCC">
      <w:start w:val="1"/>
      <w:numFmt w:val="bullet"/>
      <w:lvlText w:val=""/>
      <w:lvlJc w:val="left"/>
      <w:pPr>
        <w:ind w:left="1696" w:hanging="360"/>
      </w:pPr>
      <w:rPr>
        <w:rFonts w:ascii="Wingdings" w:hAnsi="Wingdings" w:hint="default"/>
        <w:color w:val="auto"/>
      </w:r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21" w15:restartNumberingAfterBreak="0">
    <w:nsid w:val="40BF1405"/>
    <w:multiLevelType w:val="hybridMultilevel"/>
    <w:tmpl w:val="F7F03D60"/>
    <w:lvl w:ilvl="0" w:tplc="04090001">
      <w:start w:val="1"/>
      <w:numFmt w:val="bullet"/>
      <w:lvlText w:val=""/>
      <w:lvlJc w:val="left"/>
      <w:pPr>
        <w:ind w:left="1704" w:hanging="360"/>
      </w:pPr>
      <w:rPr>
        <w:rFonts w:ascii="Symbol" w:hAnsi="Symbol" w:hint="default"/>
      </w:rPr>
    </w:lvl>
    <w:lvl w:ilvl="1" w:tplc="04090003">
      <w:start w:val="1"/>
      <w:numFmt w:val="bullet"/>
      <w:lvlText w:val="o"/>
      <w:lvlJc w:val="left"/>
      <w:pPr>
        <w:ind w:left="2424" w:hanging="360"/>
      </w:pPr>
      <w:rPr>
        <w:rFonts w:ascii="Courier New" w:hAnsi="Courier New" w:cs="Courier New" w:hint="default"/>
      </w:rPr>
    </w:lvl>
    <w:lvl w:ilvl="2" w:tplc="04090005">
      <w:start w:val="1"/>
      <w:numFmt w:val="bullet"/>
      <w:lvlText w:val=""/>
      <w:lvlJc w:val="left"/>
      <w:pPr>
        <w:ind w:left="3144" w:hanging="360"/>
      </w:pPr>
      <w:rPr>
        <w:rFonts w:ascii="Wingdings" w:hAnsi="Wingdings" w:hint="default"/>
      </w:rPr>
    </w:lvl>
    <w:lvl w:ilvl="3" w:tplc="0409000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2" w15:restartNumberingAfterBreak="0">
    <w:nsid w:val="424F1283"/>
    <w:multiLevelType w:val="hybridMultilevel"/>
    <w:tmpl w:val="9ADECD12"/>
    <w:lvl w:ilvl="0" w:tplc="04090001">
      <w:start w:val="1"/>
      <w:numFmt w:val="bullet"/>
      <w:lvlText w:val=""/>
      <w:lvlJc w:val="left"/>
      <w:pPr>
        <w:ind w:left="10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58B173B"/>
    <w:multiLevelType w:val="hybridMultilevel"/>
    <w:tmpl w:val="CE6A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F5AD5"/>
    <w:multiLevelType w:val="hybridMultilevel"/>
    <w:tmpl w:val="8BDAD3FC"/>
    <w:lvl w:ilvl="0" w:tplc="A9C8C7A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FEE2B15"/>
    <w:multiLevelType w:val="hybridMultilevel"/>
    <w:tmpl w:val="361090CC"/>
    <w:lvl w:ilvl="0" w:tplc="7312E74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60EB4"/>
    <w:multiLevelType w:val="hybridMultilevel"/>
    <w:tmpl w:val="9D36B58A"/>
    <w:lvl w:ilvl="0" w:tplc="736464AC">
      <w:start w:val="1"/>
      <w:numFmt w:val="bullet"/>
      <w:lvlText w:val="o"/>
      <w:lvlJc w:val="left"/>
      <w:pPr>
        <w:ind w:left="1704" w:hanging="360"/>
      </w:pPr>
      <w:rPr>
        <w:rFonts w:ascii="Courier New" w:hAnsi="Courier New" w:cs="Courier New" w:hint="default"/>
      </w:rPr>
    </w:lvl>
    <w:lvl w:ilvl="1" w:tplc="041A0003">
      <w:start w:val="1"/>
      <w:numFmt w:val="bullet"/>
      <w:lvlText w:val="o"/>
      <w:lvlJc w:val="left"/>
      <w:pPr>
        <w:ind w:left="2424" w:hanging="360"/>
      </w:pPr>
      <w:rPr>
        <w:rFonts w:ascii="Courier New" w:hAnsi="Courier New" w:cs="Courier New" w:hint="default"/>
      </w:rPr>
    </w:lvl>
    <w:lvl w:ilvl="2" w:tplc="041A0005">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cs="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cs="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27" w15:restartNumberingAfterBreak="0">
    <w:nsid w:val="51515A8D"/>
    <w:multiLevelType w:val="hybridMultilevel"/>
    <w:tmpl w:val="D7AC73AE"/>
    <w:lvl w:ilvl="0" w:tplc="04090003">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5315223C"/>
    <w:multiLevelType w:val="hybridMultilevel"/>
    <w:tmpl w:val="3378EDE4"/>
    <w:lvl w:ilvl="0" w:tplc="0409000D">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531F01D0"/>
    <w:multiLevelType w:val="hybridMultilevel"/>
    <w:tmpl w:val="1A7A312E"/>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533F70BD"/>
    <w:multiLevelType w:val="hybridMultilevel"/>
    <w:tmpl w:val="897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664C2"/>
    <w:multiLevelType w:val="hybridMultilevel"/>
    <w:tmpl w:val="629464D4"/>
    <w:lvl w:ilvl="0" w:tplc="04090001">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F5F71"/>
    <w:multiLevelType w:val="hybridMultilevel"/>
    <w:tmpl w:val="80A2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E673F"/>
    <w:multiLevelType w:val="hybridMultilevel"/>
    <w:tmpl w:val="6C687030"/>
    <w:lvl w:ilvl="0" w:tplc="040900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232CB"/>
    <w:multiLevelType w:val="hybridMultilevel"/>
    <w:tmpl w:val="F8F8CC9E"/>
    <w:lvl w:ilvl="0" w:tplc="55F896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9B193E"/>
    <w:multiLevelType w:val="hybridMultilevel"/>
    <w:tmpl w:val="4BAC5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C2167"/>
    <w:multiLevelType w:val="hybridMultilevel"/>
    <w:tmpl w:val="62B6630A"/>
    <w:lvl w:ilvl="0" w:tplc="C2688F2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6380B"/>
    <w:multiLevelType w:val="hybridMultilevel"/>
    <w:tmpl w:val="5B1E2680"/>
    <w:lvl w:ilvl="0" w:tplc="C2688F2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71BC8"/>
    <w:multiLevelType w:val="hybridMultilevel"/>
    <w:tmpl w:val="F2949E42"/>
    <w:lvl w:ilvl="0" w:tplc="0409000D">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6A30E9D"/>
    <w:multiLevelType w:val="hybridMultilevel"/>
    <w:tmpl w:val="29EE05D0"/>
    <w:lvl w:ilvl="0" w:tplc="58B69662">
      <w:start w:val="1"/>
      <w:numFmt w:val="bullet"/>
      <w:lvlText w:val=""/>
      <w:lvlJc w:val="left"/>
      <w:pPr>
        <w:ind w:left="720" w:hanging="360"/>
      </w:pPr>
      <w:rPr>
        <w:rFonts w:ascii="Symbol" w:hAnsi="Symbol" w:hint="default"/>
      </w:rPr>
    </w:lvl>
    <w:lvl w:ilvl="1" w:tplc="95F0AABE" w:tentative="1">
      <w:start w:val="1"/>
      <w:numFmt w:val="bullet"/>
      <w:lvlText w:val="o"/>
      <w:lvlJc w:val="left"/>
      <w:pPr>
        <w:ind w:left="1440" w:hanging="360"/>
      </w:pPr>
      <w:rPr>
        <w:rFonts w:ascii="Courier New" w:hAnsi="Courier New" w:cs="Courier New" w:hint="default"/>
      </w:rPr>
    </w:lvl>
    <w:lvl w:ilvl="2" w:tplc="E4D0C230" w:tentative="1">
      <w:start w:val="1"/>
      <w:numFmt w:val="bullet"/>
      <w:lvlText w:val=""/>
      <w:lvlJc w:val="left"/>
      <w:pPr>
        <w:ind w:left="2160" w:hanging="360"/>
      </w:pPr>
      <w:rPr>
        <w:rFonts w:ascii="Wingdings" w:hAnsi="Wingdings" w:hint="default"/>
      </w:rPr>
    </w:lvl>
    <w:lvl w:ilvl="3" w:tplc="1DFE0ADC" w:tentative="1">
      <w:start w:val="1"/>
      <w:numFmt w:val="bullet"/>
      <w:lvlText w:val=""/>
      <w:lvlJc w:val="left"/>
      <w:pPr>
        <w:ind w:left="2880" w:hanging="360"/>
      </w:pPr>
      <w:rPr>
        <w:rFonts w:ascii="Symbol" w:hAnsi="Symbol" w:hint="default"/>
      </w:rPr>
    </w:lvl>
    <w:lvl w:ilvl="4" w:tplc="1E805D54" w:tentative="1">
      <w:start w:val="1"/>
      <w:numFmt w:val="bullet"/>
      <w:lvlText w:val="o"/>
      <w:lvlJc w:val="left"/>
      <w:pPr>
        <w:ind w:left="3600" w:hanging="360"/>
      </w:pPr>
      <w:rPr>
        <w:rFonts w:ascii="Courier New" w:hAnsi="Courier New" w:cs="Courier New" w:hint="default"/>
      </w:rPr>
    </w:lvl>
    <w:lvl w:ilvl="5" w:tplc="D46A5EEC" w:tentative="1">
      <w:start w:val="1"/>
      <w:numFmt w:val="bullet"/>
      <w:lvlText w:val=""/>
      <w:lvlJc w:val="left"/>
      <w:pPr>
        <w:ind w:left="4320" w:hanging="360"/>
      </w:pPr>
      <w:rPr>
        <w:rFonts w:ascii="Wingdings" w:hAnsi="Wingdings" w:hint="default"/>
      </w:rPr>
    </w:lvl>
    <w:lvl w:ilvl="6" w:tplc="E59E6192" w:tentative="1">
      <w:start w:val="1"/>
      <w:numFmt w:val="bullet"/>
      <w:lvlText w:val=""/>
      <w:lvlJc w:val="left"/>
      <w:pPr>
        <w:ind w:left="5040" w:hanging="360"/>
      </w:pPr>
      <w:rPr>
        <w:rFonts w:ascii="Symbol" w:hAnsi="Symbol" w:hint="default"/>
      </w:rPr>
    </w:lvl>
    <w:lvl w:ilvl="7" w:tplc="AC76B212" w:tentative="1">
      <w:start w:val="1"/>
      <w:numFmt w:val="bullet"/>
      <w:lvlText w:val="o"/>
      <w:lvlJc w:val="left"/>
      <w:pPr>
        <w:ind w:left="5760" w:hanging="360"/>
      </w:pPr>
      <w:rPr>
        <w:rFonts w:ascii="Courier New" w:hAnsi="Courier New" w:cs="Courier New" w:hint="default"/>
      </w:rPr>
    </w:lvl>
    <w:lvl w:ilvl="8" w:tplc="D88C244E" w:tentative="1">
      <w:start w:val="1"/>
      <w:numFmt w:val="bullet"/>
      <w:lvlText w:val=""/>
      <w:lvlJc w:val="left"/>
      <w:pPr>
        <w:ind w:left="6480" w:hanging="360"/>
      </w:pPr>
      <w:rPr>
        <w:rFonts w:ascii="Wingdings" w:hAnsi="Wingdings" w:hint="default"/>
      </w:rPr>
    </w:lvl>
  </w:abstractNum>
  <w:abstractNum w:abstractNumId="40" w15:restartNumberingAfterBreak="0">
    <w:nsid w:val="78610617"/>
    <w:multiLevelType w:val="hybridMultilevel"/>
    <w:tmpl w:val="8E52876E"/>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1" w15:restartNumberingAfterBreak="0">
    <w:nsid w:val="79EA46E2"/>
    <w:multiLevelType w:val="hybridMultilevel"/>
    <w:tmpl w:val="6E86A9FE"/>
    <w:lvl w:ilvl="0" w:tplc="04090001">
      <w:start w:val="1"/>
      <w:numFmt w:val="upp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7BA70B20"/>
    <w:multiLevelType w:val="hybridMultilevel"/>
    <w:tmpl w:val="A190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E509A"/>
    <w:multiLevelType w:val="hybridMultilevel"/>
    <w:tmpl w:val="B15A36C6"/>
    <w:lvl w:ilvl="0" w:tplc="04090013">
      <w:start w:val="1"/>
      <w:numFmt w:val="bullet"/>
      <w:lvlText w:val=""/>
      <w:lvlJc w:val="left"/>
      <w:pPr>
        <w:ind w:left="436" w:hanging="360"/>
      </w:pPr>
      <w:rPr>
        <w:rFonts w:ascii="Symbol" w:hAnsi="Symbol" w:hint="default"/>
      </w:rPr>
    </w:lvl>
    <w:lvl w:ilvl="1" w:tplc="04090019">
      <w:start w:val="1"/>
      <w:numFmt w:val="bullet"/>
      <w:lvlText w:val="o"/>
      <w:lvlJc w:val="left"/>
      <w:pPr>
        <w:ind w:left="1156" w:hanging="360"/>
      </w:pPr>
      <w:rPr>
        <w:rFonts w:ascii="Courier New" w:hAnsi="Courier New" w:cs="Courier New" w:hint="default"/>
      </w:rPr>
    </w:lvl>
    <w:lvl w:ilvl="2" w:tplc="0409001B">
      <w:start w:val="1"/>
      <w:numFmt w:val="bullet"/>
      <w:lvlText w:val=""/>
      <w:lvlJc w:val="left"/>
      <w:pPr>
        <w:ind w:left="1876" w:hanging="360"/>
      </w:pPr>
      <w:rPr>
        <w:rFonts w:ascii="Wingdings" w:hAnsi="Wingdings" w:hint="default"/>
      </w:rPr>
    </w:lvl>
    <w:lvl w:ilvl="3" w:tplc="0409000F" w:tentative="1">
      <w:start w:val="1"/>
      <w:numFmt w:val="bullet"/>
      <w:lvlText w:val=""/>
      <w:lvlJc w:val="left"/>
      <w:pPr>
        <w:ind w:left="2596" w:hanging="360"/>
      </w:pPr>
      <w:rPr>
        <w:rFonts w:ascii="Symbol" w:hAnsi="Symbol" w:hint="default"/>
      </w:rPr>
    </w:lvl>
    <w:lvl w:ilvl="4" w:tplc="04090019" w:tentative="1">
      <w:start w:val="1"/>
      <w:numFmt w:val="bullet"/>
      <w:lvlText w:val="o"/>
      <w:lvlJc w:val="left"/>
      <w:pPr>
        <w:ind w:left="3316" w:hanging="360"/>
      </w:pPr>
      <w:rPr>
        <w:rFonts w:ascii="Courier New" w:hAnsi="Courier New" w:cs="Courier New" w:hint="default"/>
      </w:rPr>
    </w:lvl>
    <w:lvl w:ilvl="5" w:tplc="0409001B" w:tentative="1">
      <w:start w:val="1"/>
      <w:numFmt w:val="bullet"/>
      <w:lvlText w:val=""/>
      <w:lvlJc w:val="left"/>
      <w:pPr>
        <w:ind w:left="4036" w:hanging="360"/>
      </w:pPr>
      <w:rPr>
        <w:rFonts w:ascii="Wingdings" w:hAnsi="Wingdings" w:hint="default"/>
      </w:rPr>
    </w:lvl>
    <w:lvl w:ilvl="6" w:tplc="0409000F" w:tentative="1">
      <w:start w:val="1"/>
      <w:numFmt w:val="bullet"/>
      <w:lvlText w:val=""/>
      <w:lvlJc w:val="left"/>
      <w:pPr>
        <w:ind w:left="4756" w:hanging="360"/>
      </w:pPr>
      <w:rPr>
        <w:rFonts w:ascii="Symbol" w:hAnsi="Symbol" w:hint="default"/>
      </w:rPr>
    </w:lvl>
    <w:lvl w:ilvl="7" w:tplc="04090019" w:tentative="1">
      <w:start w:val="1"/>
      <w:numFmt w:val="bullet"/>
      <w:lvlText w:val="o"/>
      <w:lvlJc w:val="left"/>
      <w:pPr>
        <w:ind w:left="5476" w:hanging="360"/>
      </w:pPr>
      <w:rPr>
        <w:rFonts w:ascii="Courier New" w:hAnsi="Courier New" w:cs="Courier New" w:hint="default"/>
      </w:rPr>
    </w:lvl>
    <w:lvl w:ilvl="8" w:tplc="0409001B" w:tentative="1">
      <w:start w:val="1"/>
      <w:numFmt w:val="bullet"/>
      <w:lvlText w:val=""/>
      <w:lvlJc w:val="left"/>
      <w:pPr>
        <w:ind w:left="6196" w:hanging="360"/>
      </w:pPr>
      <w:rPr>
        <w:rFonts w:ascii="Wingdings" w:hAnsi="Wingdings" w:hint="default"/>
      </w:rPr>
    </w:lvl>
  </w:abstractNum>
  <w:abstractNum w:abstractNumId="44" w15:restartNumberingAfterBreak="0">
    <w:nsid w:val="7D34134F"/>
    <w:multiLevelType w:val="hybridMultilevel"/>
    <w:tmpl w:val="9D903B62"/>
    <w:lvl w:ilvl="0" w:tplc="44E8F8D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A620A"/>
    <w:multiLevelType w:val="hybridMultilevel"/>
    <w:tmpl w:val="BAD4E26A"/>
    <w:lvl w:ilvl="0" w:tplc="04090001">
      <w:start w:val="1"/>
      <w:numFmt w:val="bullet"/>
      <w:lvlText w:val=""/>
      <w:lvlJc w:val="left"/>
      <w:pPr>
        <w:ind w:left="720" w:hanging="360"/>
      </w:pPr>
      <w:rPr>
        <w:rFonts w:ascii="Symbol" w:hAnsi="Symbol" w:hint="default"/>
        <w:b/>
        <w:i w:val="0"/>
        <w:color w:val="0070C0"/>
        <w:sz w:val="22"/>
        <w:u w:color="4472C4" w:themeColor="accent5"/>
      </w:rPr>
    </w:lvl>
    <w:lvl w:ilvl="1" w:tplc="041A0019">
      <w:start w:val="1"/>
      <w:numFmt w:val="lowerLetter"/>
      <w:lvlText w:val="%2."/>
      <w:lvlJc w:val="left"/>
      <w:pPr>
        <w:ind w:left="660" w:hanging="360"/>
      </w:pPr>
    </w:lvl>
    <w:lvl w:ilvl="2" w:tplc="041A001B">
      <w:start w:val="1"/>
      <w:numFmt w:val="lowerRoman"/>
      <w:lvlText w:val="%3."/>
      <w:lvlJc w:val="right"/>
      <w:pPr>
        <w:ind w:left="1380" w:hanging="180"/>
      </w:pPr>
    </w:lvl>
    <w:lvl w:ilvl="3" w:tplc="041A000F" w:tentative="1">
      <w:start w:val="1"/>
      <w:numFmt w:val="decimal"/>
      <w:lvlText w:val="%4."/>
      <w:lvlJc w:val="left"/>
      <w:pPr>
        <w:ind w:left="2100" w:hanging="360"/>
      </w:pPr>
    </w:lvl>
    <w:lvl w:ilvl="4" w:tplc="041A0019" w:tentative="1">
      <w:start w:val="1"/>
      <w:numFmt w:val="lowerLetter"/>
      <w:lvlText w:val="%5."/>
      <w:lvlJc w:val="left"/>
      <w:pPr>
        <w:ind w:left="2820" w:hanging="360"/>
      </w:pPr>
    </w:lvl>
    <w:lvl w:ilvl="5" w:tplc="041A001B" w:tentative="1">
      <w:start w:val="1"/>
      <w:numFmt w:val="lowerRoman"/>
      <w:lvlText w:val="%6."/>
      <w:lvlJc w:val="right"/>
      <w:pPr>
        <w:ind w:left="3540" w:hanging="180"/>
      </w:pPr>
    </w:lvl>
    <w:lvl w:ilvl="6" w:tplc="041A000F" w:tentative="1">
      <w:start w:val="1"/>
      <w:numFmt w:val="decimal"/>
      <w:lvlText w:val="%7."/>
      <w:lvlJc w:val="left"/>
      <w:pPr>
        <w:ind w:left="4260" w:hanging="360"/>
      </w:pPr>
    </w:lvl>
    <w:lvl w:ilvl="7" w:tplc="041A0019" w:tentative="1">
      <w:start w:val="1"/>
      <w:numFmt w:val="lowerLetter"/>
      <w:lvlText w:val="%8."/>
      <w:lvlJc w:val="left"/>
      <w:pPr>
        <w:ind w:left="4980" w:hanging="360"/>
      </w:pPr>
    </w:lvl>
    <w:lvl w:ilvl="8" w:tplc="041A001B" w:tentative="1">
      <w:start w:val="1"/>
      <w:numFmt w:val="lowerRoman"/>
      <w:lvlText w:val="%9."/>
      <w:lvlJc w:val="right"/>
      <w:pPr>
        <w:ind w:left="5700" w:hanging="180"/>
      </w:pPr>
    </w:lvl>
  </w:abstractNum>
  <w:abstractNum w:abstractNumId="46" w15:restartNumberingAfterBreak="0">
    <w:nsid w:val="7DB56518"/>
    <w:multiLevelType w:val="hybridMultilevel"/>
    <w:tmpl w:val="E7E0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539C9"/>
    <w:multiLevelType w:val="hybridMultilevel"/>
    <w:tmpl w:val="4CEE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032A2"/>
    <w:multiLevelType w:val="hybridMultilevel"/>
    <w:tmpl w:val="CB9003B0"/>
    <w:lvl w:ilvl="0" w:tplc="04090001">
      <w:start w:val="1"/>
      <w:numFmt w:val="bullet"/>
      <w:lvlText w:val=""/>
      <w:lvlJc w:val="left"/>
      <w:pPr>
        <w:ind w:left="340" w:hanging="34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7"/>
  </w:num>
  <w:num w:numId="2">
    <w:abstractNumId w:val="48"/>
  </w:num>
  <w:num w:numId="3">
    <w:abstractNumId w:val="17"/>
  </w:num>
  <w:num w:numId="4">
    <w:abstractNumId w:val="21"/>
  </w:num>
  <w:num w:numId="5">
    <w:abstractNumId w:val="29"/>
  </w:num>
  <w:num w:numId="6">
    <w:abstractNumId w:val="41"/>
  </w:num>
  <w:num w:numId="7">
    <w:abstractNumId w:val="47"/>
  </w:num>
  <w:num w:numId="8">
    <w:abstractNumId w:val="33"/>
  </w:num>
  <w:num w:numId="9">
    <w:abstractNumId w:val="5"/>
  </w:num>
  <w:num w:numId="10">
    <w:abstractNumId w:val="43"/>
  </w:num>
  <w:num w:numId="11">
    <w:abstractNumId w:val="26"/>
  </w:num>
  <w:num w:numId="12">
    <w:abstractNumId w:val="32"/>
  </w:num>
  <w:num w:numId="13">
    <w:abstractNumId w:val="20"/>
  </w:num>
  <w:num w:numId="14">
    <w:abstractNumId w:val="2"/>
  </w:num>
  <w:num w:numId="15">
    <w:abstractNumId w:val="30"/>
  </w:num>
  <w:num w:numId="16">
    <w:abstractNumId w:val="46"/>
  </w:num>
  <w:num w:numId="17">
    <w:abstractNumId w:val="23"/>
  </w:num>
  <w:num w:numId="18">
    <w:abstractNumId w:val="0"/>
  </w:num>
  <w:num w:numId="19">
    <w:abstractNumId w:val="6"/>
  </w:num>
  <w:num w:numId="20">
    <w:abstractNumId w:val="10"/>
  </w:num>
  <w:num w:numId="21">
    <w:abstractNumId w:val="15"/>
  </w:num>
  <w:num w:numId="22">
    <w:abstractNumId w:val="27"/>
  </w:num>
  <w:num w:numId="23">
    <w:abstractNumId w:val="34"/>
  </w:num>
  <w:num w:numId="24">
    <w:abstractNumId w:val="19"/>
  </w:num>
  <w:num w:numId="25">
    <w:abstractNumId w:val="39"/>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5"/>
  </w:num>
  <w:num w:numId="29">
    <w:abstractNumId w:val="42"/>
  </w:num>
  <w:num w:numId="30">
    <w:abstractNumId w:val="8"/>
  </w:num>
  <w:num w:numId="31">
    <w:abstractNumId w:val="44"/>
  </w:num>
  <w:num w:numId="32">
    <w:abstractNumId w:val="25"/>
  </w:num>
  <w:num w:numId="33">
    <w:abstractNumId w:val="11"/>
  </w:num>
  <w:num w:numId="34">
    <w:abstractNumId w:val="36"/>
  </w:num>
  <w:num w:numId="35">
    <w:abstractNumId w:val="12"/>
  </w:num>
  <w:num w:numId="36">
    <w:abstractNumId w:val="40"/>
  </w:num>
  <w:num w:numId="37">
    <w:abstractNumId w:val="13"/>
  </w:num>
  <w:num w:numId="38">
    <w:abstractNumId w:val="37"/>
  </w:num>
  <w:num w:numId="39">
    <w:abstractNumId w:val="4"/>
  </w:num>
  <w:num w:numId="40">
    <w:abstractNumId w:val="16"/>
  </w:num>
  <w:num w:numId="41">
    <w:abstractNumId w:val="18"/>
  </w:num>
  <w:num w:numId="42">
    <w:abstractNumId w:val="3"/>
  </w:num>
  <w:num w:numId="43">
    <w:abstractNumId w:val="14"/>
  </w:num>
  <w:num w:numId="44">
    <w:abstractNumId w:val="38"/>
  </w:num>
  <w:num w:numId="45">
    <w:abstractNumId w:val="28"/>
  </w:num>
  <w:num w:numId="46">
    <w:abstractNumId w:val="1"/>
  </w:num>
  <w:num w:numId="47">
    <w:abstractNumId w:val="24"/>
  </w:num>
  <w:num w:numId="48">
    <w:abstractNumId w:val="31"/>
  </w:num>
  <w:num w:numId="4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45BD"/>
    <w:rsid w:val="00005871"/>
    <w:rsid w:val="000064E5"/>
    <w:rsid w:val="00006CA3"/>
    <w:rsid w:val="00017C2C"/>
    <w:rsid w:val="00021598"/>
    <w:rsid w:val="00024F00"/>
    <w:rsid w:val="00034F43"/>
    <w:rsid w:val="000410EB"/>
    <w:rsid w:val="00041E17"/>
    <w:rsid w:val="00042AA8"/>
    <w:rsid w:val="00042B95"/>
    <w:rsid w:val="00044766"/>
    <w:rsid w:val="000525F5"/>
    <w:rsid w:val="000622FA"/>
    <w:rsid w:val="00064677"/>
    <w:rsid w:val="000757F4"/>
    <w:rsid w:val="000760C1"/>
    <w:rsid w:val="00077EBE"/>
    <w:rsid w:val="0008375B"/>
    <w:rsid w:val="00090EDA"/>
    <w:rsid w:val="00094F5E"/>
    <w:rsid w:val="000A4E3E"/>
    <w:rsid w:val="000A5EAA"/>
    <w:rsid w:val="000A7D12"/>
    <w:rsid w:val="000B021F"/>
    <w:rsid w:val="000B48ED"/>
    <w:rsid w:val="000B788C"/>
    <w:rsid w:val="000D393E"/>
    <w:rsid w:val="000E16B9"/>
    <w:rsid w:val="000E4786"/>
    <w:rsid w:val="000F19DE"/>
    <w:rsid w:val="000F7DE3"/>
    <w:rsid w:val="00100275"/>
    <w:rsid w:val="0010075B"/>
    <w:rsid w:val="00104D52"/>
    <w:rsid w:val="0011083E"/>
    <w:rsid w:val="0012661D"/>
    <w:rsid w:val="00126F45"/>
    <w:rsid w:val="001271AC"/>
    <w:rsid w:val="00137996"/>
    <w:rsid w:val="00141AD3"/>
    <w:rsid w:val="00144E2F"/>
    <w:rsid w:val="00150741"/>
    <w:rsid w:val="001510B1"/>
    <w:rsid w:val="00152042"/>
    <w:rsid w:val="00156BF4"/>
    <w:rsid w:val="001577A9"/>
    <w:rsid w:val="00164336"/>
    <w:rsid w:val="00170C0C"/>
    <w:rsid w:val="0018576E"/>
    <w:rsid w:val="001860C6"/>
    <w:rsid w:val="001913E5"/>
    <w:rsid w:val="00191F71"/>
    <w:rsid w:val="00192D3C"/>
    <w:rsid w:val="0019538C"/>
    <w:rsid w:val="00197CB7"/>
    <w:rsid w:val="001A0193"/>
    <w:rsid w:val="001A0C4F"/>
    <w:rsid w:val="001A129D"/>
    <w:rsid w:val="001A1984"/>
    <w:rsid w:val="001A3B83"/>
    <w:rsid w:val="001A4C68"/>
    <w:rsid w:val="001A5237"/>
    <w:rsid w:val="001B0472"/>
    <w:rsid w:val="001B44CE"/>
    <w:rsid w:val="001B5CDA"/>
    <w:rsid w:val="001C0896"/>
    <w:rsid w:val="001C2CAF"/>
    <w:rsid w:val="001C6272"/>
    <w:rsid w:val="001D0875"/>
    <w:rsid w:val="001D3812"/>
    <w:rsid w:val="001E03A3"/>
    <w:rsid w:val="001E21A8"/>
    <w:rsid w:val="001E2F49"/>
    <w:rsid w:val="001E33F7"/>
    <w:rsid w:val="001E4498"/>
    <w:rsid w:val="001E7488"/>
    <w:rsid w:val="001F18C8"/>
    <w:rsid w:val="001F3B5B"/>
    <w:rsid w:val="001F405F"/>
    <w:rsid w:val="001F66ED"/>
    <w:rsid w:val="00207EF4"/>
    <w:rsid w:val="002136A1"/>
    <w:rsid w:val="00213B73"/>
    <w:rsid w:val="002146EA"/>
    <w:rsid w:val="00214A03"/>
    <w:rsid w:val="00216534"/>
    <w:rsid w:val="00216A63"/>
    <w:rsid w:val="00230229"/>
    <w:rsid w:val="002313DA"/>
    <w:rsid w:val="00232D59"/>
    <w:rsid w:val="002347EF"/>
    <w:rsid w:val="002378DE"/>
    <w:rsid w:val="00252A19"/>
    <w:rsid w:val="00254927"/>
    <w:rsid w:val="00255662"/>
    <w:rsid w:val="00256ACC"/>
    <w:rsid w:val="00260030"/>
    <w:rsid w:val="0026664D"/>
    <w:rsid w:val="00267479"/>
    <w:rsid w:val="00267781"/>
    <w:rsid w:val="00276F3C"/>
    <w:rsid w:val="00286652"/>
    <w:rsid w:val="0029326A"/>
    <w:rsid w:val="00294E5E"/>
    <w:rsid w:val="00297D7D"/>
    <w:rsid w:val="002A0094"/>
    <w:rsid w:val="002A0AB4"/>
    <w:rsid w:val="002A10BB"/>
    <w:rsid w:val="002A1639"/>
    <w:rsid w:val="002A5222"/>
    <w:rsid w:val="002B15FF"/>
    <w:rsid w:val="002B1C8D"/>
    <w:rsid w:val="002B4636"/>
    <w:rsid w:val="002B5CA7"/>
    <w:rsid w:val="002C23AD"/>
    <w:rsid w:val="002C5313"/>
    <w:rsid w:val="002D2E10"/>
    <w:rsid w:val="002D56A3"/>
    <w:rsid w:val="002E173C"/>
    <w:rsid w:val="002E1900"/>
    <w:rsid w:val="002F2E01"/>
    <w:rsid w:val="002F395B"/>
    <w:rsid w:val="00302DC5"/>
    <w:rsid w:val="0030452A"/>
    <w:rsid w:val="00310010"/>
    <w:rsid w:val="00316801"/>
    <w:rsid w:val="0031720C"/>
    <w:rsid w:val="003234A2"/>
    <w:rsid w:val="00324884"/>
    <w:rsid w:val="00324B3E"/>
    <w:rsid w:val="003332E9"/>
    <w:rsid w:val="00340249"/>
    <w:rsid w:val="00344B38"/>
    <w:rsid w:val="003451BD"/>
    <w:rsid w:val="003540DB"/>
    <w:rsid w:val="00363467"/>
    <w:rsid w:val="003652C4"/>
    <w:rsid w:val="00370970"/>
    <w:rsid w:val="00371E24"/>
    <w:rsid w:val="00377AEF"/>
    <w:rsid w:val="003822E9"/>
    <w:rsid w:val="003870D6"/>
    <w:rsid w:val="00393D13"/>
    <w:rsid w:val="00397383"/>
    <w:rsid w:val="003A26C0"/>
    <w:rsid w:val="003A3777"/>
    <w:rsid w:val="003A4F6C"/>
    <w:rsid w:val="003B2BCA"/>
    <w:rsid w:val="003B3E7C"/>
    <w:rsid w:val="003B62F0"/>
    <w:rsid w:val="003D2FF1"/>
    <w:rsid w:val="003D70F8"/>
    <w:rsid w:val="003E0F80"/>
    <w:rsid w:val="003F155E"/>
    <w:rsid w:val="003F338C"/>
    <w:rsid w:val="003F34C0"/>
    <w:rsid w:val="003F66B7"/>
    <w:rsid w:val="003F72F1"/>
    <w:rsid w:val="00403DCD"/>
    <w:rsid w:val="00406CFB"/>
    <w:rsid w:val="00413564"/>
    <w:rsid w:val="00415FC4"/>
    <w:rsid w:val="004166A7"/>
    <w:rsid w:val="00423400"/>
    <w:rsid w:val="00427491"/>
    <w:rsid w:val="0043684E"/>
    <w:rsid w:val="0044336A"/>
    <w:rsid w:val="00446708"/>
    <w:rsid w:val="004517A8"/>
    <w:rsid w:val="00451AD4"/>
    <w:rsid w:val="00461529"/>
    <w:rsid w:val="004732E4"/>
    <w:rsid w:val="004778E3"/>
    <w:rsid w:val="004908D4"/>
    <w:rsid w:val="00493853"/>
    <w:rsid w:val="00493952"/>
    <w:rsid w:val="004950C3"/>
    <w:rsid w:val="004969CD"/>
    <w:rsid w:val="004971C7"/>
    <w:rsid w:val="004974EC"/>
    <w:rsid w:val="004A0206"/>
    <w:rsid w:val="004A0869"/>
    <w:rsid w:val="004A2437"/>
    <w:rsid w:val="004A3DE1"/>
    <w:rsid w:val="004A7C70"/>
    <w:rsid w:val="004B2038"/>
    <w:rsid w:val="004B21C7"/>
    <w:rsid w:val="004B568E"/>
    <w:rsid w:val="004B714D"/>
    <w:rsid w:val="004B7E5C"/>
    <w:rsid w:val="004C1446"/>
    <w:rsid w:val="004C463F"/>
    <w:rsid w:val="004C58A3"/>
    <w:rsid w:val="004D5D75"/>
    <w:rsid w:val="004D7B1E"/>
    <w:rsid w:val="004E64DE"/>
    <w:rsid w:val="004F0934"/>
    <w:rsid w:val="004F5B56"/>
    <w:rsid w:val="004F7C91"/>
    <w:rsid w:val="00500ECB"/>
    <w:rsid w:val="00501A11"/>
    <w:rsid w:val="005026F6"/>
    <w:rsid w:val="0050700D"/>
    <w:rsid w:val="00507CBA"/>
    <w:rsid w:val="0051387F"/>
    <w:rsid w:val="005148BB"/>
    <w:rsid w:val="00515B63"/>
    <w:rsid w:val="00516D29"/>
    <w:rsid w:val="00526483"/>
    <w:rsid w:val="00531155"/>
    <w:rsid w:val="005421C3"/>
    <w:rsid w:val="00542768"/>
    <w:rsid w:val="00543B87"/>
    <w:rsid w:val="00545F8F"/>
    <w:rsid w:val="0055018D"/>
    <w:rsid w:val="005531AD"/>
    <w:rsid w:val="005545B8"/>
    <w:rsid w:val="00560D17"/>
    <w:rsid w:val="005615A6"/>
    <w:rsid w:val="00562D57"/>
    <w:rsid w:val="00580D74"/>
    <w:rsid w:val="0058263F"/>
    <w:rsid w:val="005908F8"/>
    <w:rsid w:val="005A0966"/>
    <w:rsid w:val="005A2C5B"/>
    <w:rsid w:val="005A3F39"/>
    <w:rsid w:val="005A415C"/>
    <w:rsid w:val="005B0BC3"/>
    <w:rsid w:val="005B145C"/>
    <w:rsid w:val="005B1D66"/>
    <w:rsid w:val="005B2D16"/>
    <w:rsid w:val="005C0FC2"/>
    <w:rsid w:val="005C48CD"/>
    <w:rsid w:val="005D2E88"/>
    <w:rsid w:val="005D3B2B"/>
    <w:rsid w:val="005D4F80"/>
    <w:rsid w:val="005D7BD3"/>
    <w:rsid w:val="005E3F90"/>
    <w:rsid w:val="005E48FF"/>
    <w:rsid w:val="005E6FC0"/>
    <w:rsid w:val="005F3706"/>
    <w:rsid w:val="00602E39"/>
    <w:rsid w:val="00605DA3"/>
    <w:rsid w:val="00607402"/>
    <w:rsid w:val="006149B7"/>
    <w:rsid w:val="0062217D"/>
    <w:rsid w:val="0062444C"/>
    <w:rsid w:val="006310FA"/>
    <w:rsid w:val="00631955"/>
    <w:rsid w:val="00631B88"/>
    <w:rsid w:val="006419D2"/>
    <w:rsid w:val="00642A15"/>
    <w:rsid w:val="0065147C"/>
    <w:rsid w:val="00655A01"/>
    <w:rsid w:val="00667E55"/>
    <w:rsid w:val="0067045E"/>
    <w:rsid w:val="006737FD"/>
    <w:rsid w:val="0067568E"/>
    <w:rsid w:val="00685929"/>
    <w:rsid w:val="00692C6C"/>
    <w:rsid w:val="006A1869"/>
    <w:rsid w:val="006A2DA6"/>
    <w:rsid w:val="006A3163"/>
    <w:rsid w:val="006A65CA"/>
    <w:rsid w:val="006A6DBE"/>
    <w:rsid w:val="006B0F79"/>
    <w:rsid w:val="006C5D13"/>
    <w:rsid w:val="006C6216"/>
    <w:rsid w:val="006C635E"/>
    <w:rsid w:val="006C6835"/>
    <w:rsid w:val="006D18A9"/>
    <w:rsid w:val="006D2384"/>
    <w:rsid w:val="006D5800"/>
    <w:rsid w:val="006D6B6E"/>
    <w:rsid w:val="006E23C6"/>
    <w:rsid w:val="006E3440"/>
    <w:rsid w:val="006E3D66"/>
    <w:rsid w:val="006E585A"/>
    <w:rsid w:val="006F1611"/>
    <w:rsid w:val="006F4784"/>
    <w:rsid w:val="006F6835"/>
    <w:rsid w:val="007015A0"/>
    <w:rsid w:val="00701CCC"/>
    <w:rsid w:val="00703DF9"/>
    <w:rsid w:val="0070491D"/>
    <w:rsid w:val="007054F7"/>
    <w:rsid w:val="00705EB7"/>
    <w:rsid w:val="00706A7B"/>
    <w:rsid w:val="007112D4"/>
    <w:rsid w:val="00712D73"/>
    <w:rsid w:val="00714DD1"/>
    <w:rsid w:val="007217D1"/>
    <w:rsid w:val="00727697"/>
    <w:rsid w:val="00732239"/>
    <w:rsid w:val="0073320A"/>
    <w:rsid w:val="00734EEC"/>
    <w:rsid w:val="00735156"/>
    <w:rsid w:val="007369BC"/>
    <w:rsid w:val="00737EC6"/>
    <w:rsid w:val="0074067A"/>
    <w:rsid w:val="00743564"/>
    <w:rsid w:val="00750584"/>
    <w:rsid w:val="0075337C"/>
    <w:rsid w:val="007615F1"/>
    <w:rsid w:val="00775C29"/>
    <w:rsid w:val="00775E97"/>
    <w:rsid w:val="00776187"/>
    <w:rsid w:val="00781F2E"/>
    <w:rsid w:val="0078719A"/>
    <w:rsid w:val="00794289"/>
    <w:rsid w:val="007A12DF"/>
    <w:rsid w:val="007A3A50"/>
    <w:rsid w:val="007A679C"/>
    <w:rsid w:val="007A76C5"/>
    <w:rsid w:val="007B0787"/>
    <w:rsid w:val="007B2FE9"/>
    <w:rsid w:val="007B791A"/>
    <w:rsid w:val="007C19A0"/>
    <w:rsid w:val="007D26DF"/>
    <w:rsid w:val="007D52A5"/>
    <w:rsid w:val="007D68E3"/>
    <w:rsid w:val="007E6D68"/>
    <w:rsid w:val="007F50DC"/>
    <w:rsid w:val="007F7D38"/>
    <w:rsid w:val="00802D92"/>
    <w:rsid w:val="00813EDE"/>
    <w:rsid w:val="00823D1A"/>
    <w:rsid w:val="00824DF7"/>
    <w:rsid w:val="008253B9"/>
    <w:rsid w:val="008261DE"/>
    <w:rsid w:val="0082717F"/>
    <w:rsid w:val="00832D07"/>
    <w:rsid w:val="0083451C"/>
    <w:rsid w:val="00836AE1"/>
    <w:rsid w:val="0084027C"/>
    <w:rsid w:val="00840A97"/>
    <w:rsid w:val="00840D19"/>
    <w:rsid w:val="0084161B"/>
    <w:rsid w:val="00842CDA"/>
    <w:rsid w:val="00846D25"/>
    <w:rsid w:val="00850AE4"/>
    <w:rsid w:val="00855389"/>
    <w:rsid w:val="008770F7"/>
    <w:rsid w:val="0087710D"/>
    <w:rsid w:val="00884EF6"/>
    <w:rsid w:val="008852B9"/>
    <w:rsid w:val="00886B8D"/>
    <w:rsid w:val="008A211D"/>
    <w:rsid w:val="008B4581"/>
    <w:rsid w:val="008B7931"/>
    <w:rsid w:val="008B7F45"/>
    <w:rsid w:val="008C1062"/>
    <w:rsid w:val="008C538A"/>
    <w:rsid w:val="008C79BD"/>
    <w:rsid w:val="008C7C9A"/>
    <w:rsid w:val="008D06B3"/>
    <w:rsid w:val="008D0C03"/>
    <w:rsid w:val="008D13EC"/>
    <w:rsid w:val="008D4542"/>
    <w:rsid w:val="008F14C2"/>
    <w:rsid w:val="008F234B"/>
    <w:rsid w:val="008F377D"/>
    <w:rsid w:val="008F59D1"/>
    <w:rsid w:val="00903131"/>
    <w:rsid w:val="0091306D"/>
    <w:rsid w:val="009173CC"/>
    <w:rsid w:val="00922308"/>
    <w:rsid w:val="009239C5"/>
    <w:rsid w:val="00931F30"/>
    <w:rsid w:val="009352C9"/>
    <w:rsid w:val="0094070B"/>
    <w:rsid w:val="00944D21"/>
    <w:rsid w:val="00945531"/>
    <w:rsid w:val="0095455F"/>
    <w:rsid w:val="00956A71"/>
    <w:rsid w:val="00960BF9"/>
    <w:rsid w:val="0096337F"/>
    <w:rsid w:val="00965DD1"/>
    <w:rsid w:val="00972625"/>
    <w:rsid w:val="0097538E"/>
    <w:rsid w:val="00976E9B"/>
    <w:rsid w:val="0097769A"/>
    <w:rsid w:val="0098031C"/>
    <w:rsid w:val="00994F3F"/>
    <w:rsid w:val="00995582"/>
    <w:rsid w:val="009A0C14"/>
    <w:rsid w:val="009B4F02"/>
    <w:rsid w:val="009B6446"/>
    <w:rsid w:val="009B6867"/>
    <w:rsid w:val="009C1FDC"/>
    <w:rsid w:val="009C3153"/>
    <w:rsid w:val="009C541E"/>
    <w:rsid w:val="009D156D"/>
    <w:rsid w:val="009D3928"/>
    <w:rsid w:val="009E076F"/>
    <w:rsid w:val="009E336B"/>
    <w:rsid w:val="009E69C2"/>
    <w:rsid w:val="009E7A2D"/>
    <w:rsid w:val="009F4BEF"/>
    <w:rsid w:val="009F5F25"/>
    <w:rsid w:val="009F6BA4"/>
    <w:rsid w:val="00A03EBA"/>
    <w:rsid w:val="00A13C3D"/>
    <w:rsid w:val="00A2135F"/>
    <w:rsid w:val="00A348E8"/>
    <w:rsid w:val="00A41EF3"/>
    <w:rsid w:val="00A50015"/>
    <w:rsid w:val="00A61DA6"/>
    <w:rsid w:val="00A62A5E"/>
    <w:rsid w:val="00A8031B"/>
    <w:rsid w:val="00A8114B"/>
    <w:rsid w:val="00A83207"/>
    <w:rsid w:val="00A845EB"/>
    <w:rsid w:val="00A861FA"/>
    <w:rsid w:val="00A86B40"/>
    <w:rsid w:val="00A904D2"/>
    <w:rsid w:val="00A95CF8"/>
    <w:rsid w:val="00A96BEA"/>
    <w:rsid w:val="00A97601"/>
    <w:rsid w:val="00AA6C65"/>
    <w:rsid w:val="00AB21EC"/>
    <w:rsid w:val="00AC59C3"/>
    <w:rsid w:val="00AD285F"/>
    <w:rsid w:val="00AE0D8D"/>
    <w:rsid w:val="00AE1E85"/>
    <w:rsid w:val="00AE36A9"/>
    <w:rsid w:val="00AF6CC0"/>
    <w:rsid w:val="00B0226B"/>
    <w:rsid w:val="00B05BF9"/>
    <w:rsid w:val="00B10EC0"/>
    <w:rsid w:val="00B116B8"/>
    <w:rsid w:val="00B14290"/>
    <w:rsid w:val="00B20546"/>
    <w:rsid w:val="00B24E2E"/>
    <w:rsid w:val="00B32D17"/>
    <w:rsid w:val="00B33756"/>
    <w:rsid w:val="00B36F91"/>
    <w:rsid w:val="00B374B0"/>
    <w:rsid w:val="00B478A5"/>
    <w:rsid w:val="00B52BD3"/>
    <w:rsid w:val="00B5343C"/>
    <w:rsid w:val="00B544AE"/>
    <w:rsid w:val="00B54718"/>
    <w:rsid w:val="00B55BCF"/>
    <w:rsid w:val="00B57E82"/>
    <w:rsid w:val="00B607BC"/>
    <w:rsid w:val="00B61627"/>
    <w:rsid w:val="00B62E44"/>
    <w:rsid w:val="00B65097"/>
    <w:rsid w:val="00B716FC"/>
    <w:rsid w:val="00B7199C"/>
    <w:rsid w:val="00B72A26"/>
    <w:rsid w:val="00B74B38"/>
    <w:rsid w:val="00B82EF8"/>
    <w:rsid w:val="00B926A6"/>
    <w:rsid w:val="00B9360E"/>
    <w:rsid w:val="00B943D8"/>
    <w:rsid w:val="00B96BE4"/>
    <w:rsid w:val="00BA1C08"/>
    <w:rsid w:val="00BA1CB5"/>
    <w:rsid w:val="00BA40BC"/>
    <w:rsid w:val="00BA40C3"/>
    <w:rsid w:val="00BA50FA"/>
    <w:rsid w:val="00BA5857"/>
    <w:rsid w:val="00BA6578"/>
    <w:rsid w:val="00BD2A57"/>
    <w:rsid w:val="00BD3BBF"/>
    <w:rsid w:val="00BD6023"/>
    <w:rsid w:val="00BE11CE"/>
    <w:rsid w:val="00BE1477"/>
    <w:rsid w:val="00BE2A05"/>
    <w:rsid w:val="00BE5E42"/>
    <w:rsid w:val="00BF2F93"/>
    <w:rsid w:val="00C149B5"/>
    <w:rsid w:val="00C2321A"/>
    <w:rsid w:val="00C264B7"/>
    <w:rsid w:val="00C278E1"/>
    <w:rsid w:val="00C37FCD"/>
    <w:rsid w:val="00C418D5"/>
    <w:rsid w:val="00C46B19"/>
    <w:rsid w:val="00C46E80"/>
    <w:rsid w:val="00C51EFA"/>
    <w:rsid w:val="00C54496"/>
    <w:rsid w:val="00C576B6"/>
    <w:rsid w:val="00C57D2B"/>
    <w:rsid w:val="00C64DD6"/>
    <w:rsid w:val="00C66774"/>
    <w:rsid w:val="00C67527"/>
    <w:rsid w:val="00C73DB0"/>
    <w:rsid w:val="00C839EA"/>
    <w:rsid w:val="00C84BA5"/>
    <w:rsid w:val="00C958A9"/>
    <w:rsid w:val="00CA1460"/>
    <w:rsid w:val="00CA22ED"/>
    <w:rsid w:val="00CA77CF"/>
    <w:rsid w:val="00CC0407"/>
    <w:rsid w:val="00CC6070"/>
    <w:rsid w:val="00CD3BA4"/>
    <w:rsid w:val="00CD6024"/>
    <w:rsid w:val="00CD71C6"/>
    <w:rsid w:val="00CE0004"/>
    <w:rsid w:val="00CE136F"/>
    <w:rsid w:val="00CE33CC"/>
    <w:rsid w:val="00CE4F76"/>
    <w:rsid w:val="00CE6131"/>
    <w:rsid w:val="00CE64A2"/>
    <w:rsid w:val="00CE79F6"/>
    <w:rsid w:val="00CF1732"/>
    <w:rsid w:val="00CF5994"/>
    <w:rsid w:val="00D00B16"/>
    <w:rsid w:val="00D012CC"/>
    <w:rsid w:val="00D02ED6"/>
    <w:rsid w:val="00D03174"/>
    <w:rsid w:val="00D06BDA"/>
    <w:rsid w:val="00D12DFE"/>
    <w:rsid w:val="00D236CB"/>
    <w:rsid w:val="00D2547E"/>
    <w:rsid w:val="00D36E73"/>
    <w:rsid w:val="00D408F9"/>
    <w:rsid w:val="00D53BF2"/>
    <w:rsid w:val="00D606CD"/>
    <w:rsid w:val="00D61F1E"/>
    <w:rsid w:val="00D64249"/>
    <w:rsid w:val="00D67C91"/>
    <w:rsid w:val="00D72D1D"/>
    <w:rsid w:val="00D7586F"/>
    <w:rsid w:val="00D81321"/>
    <w:rsid w:val="00D8503D"/>
    <w:rsid w:val="00D85A83"/>
    <w:rsid w:val="00D91C81"/>
    <w:rsid w:val="00D951A9"/>
    <w:rsid w:val="00D95A52"/>
    <w:rsid w:val="00DA0925"/>
    <w:rsid w:val="00DA1D83"/>
    <w:rsid w:val="00DA374A"/>
    <w:rsid w:val="00DA5F0A"/>
    <w:rsid w:val="00DA6184"/>
    <w:rsid w:val="00DA67D6"/>
    <w:rsid w:val="00DA73C0"/>
    <w:rsid w:val="00DB4132"/>
    <w:rsid w:val="00DB5E86"/>
    <w:rsid w:val="00DC02E9"/>
    <w:rsid w:val="00DD04E1"/>
    <w:rsid w:val="00DD187D"/>
    <w:rsid w:val="00DD3C66"/>
    <w:rsid w:val="00DD7856"/>
    <w:rsid w:val="00DE330A"/>
    <w:rsid w:val="00DE628C"/>
    <w:rsid w:val="00DF4743"/>
    <w:rsid w:val="00DF6A34"/>
    <w:rsid w:val="00E0470F"/>
    <w:rsid w:val="00E05F2D"/>
    <w:rsid w:val="00E1318A"/>
    <w:rsid w:val="00E152E0"/>
    <w:rsid w:val="00E1716B"/>
    <w:rsid w:val="00E250AA"/>
    <w:rsid w:val="00E272A8"/>
    <w:rsid w:val="00E275C4"/>
    <w:rsid w:val="00E341DA"/>
    <w:rsid w:val="00E35384"/>
    <w:rsid w:val="00E417C4"/>
    <w:rsid w:val="00E54449"/>
    <w:rsid w:val="00E544C0"/>
    <w:rsid w:val="00E548AE"/>
    <w:rsid w:val="00E61FA8"/>
    <w:rsid w:val="00E621DD"/>
    <w:rsid w:val="00E652A5"/>
    <w:rsid w:val="00E7158F"/>
    <w:rsid w:val="00E72E82"/>
    <w:rsid w:val="00E747B6"/>
    <w:rsid w:val="00E755DC"/>
    <w:rsid w:val="00E80195"/>
    <w:rsid w:val="00E803EB"/>
    <w:rsid w:val="00E82848"/>
    <w:rsid w:val="00E8509C"/>
    <w:rsid w:val="00E92121"/>
    <w:rsid w:val="00E92BF1"/>
    <w:rsid w:val="00E92F30"/>
    <w:rsid w:val="00E96673"/>
    <w:rsid w:val="00EA0570"/>
    <w:rsid w:val="00EB148F"/>
    <w:rsid w:val="00EB222A"/>
    <w:rsid w:val="00EB38B2"/>
    <w:rsid w:val="00EB6179"/>
    <w:rsid w:val="00EC5CFD"/>
    <w:rsid w:val="00ED12A8"/>
    <w:rsid w:val="00ED2760"/>
    <w:rsid w:val="00ED4261"/>
    <w:rsid w:val="00ED4AEF"/>
    <w:rsid w:val="00EE07E3"/>
    <w:rsid w:val="00EE09C9"/>
    <w:rsid w:val="00EE4552"/>
    <w:rsid w:val="00EE6582"/>
    <w:rsid w:val="00EF17DC"/>
    <w:rsid w:val="00EF48D7"/>
    <w:rsid w:val="00EF729A"/>
    <w:rsid w:val="00F01883"/>
    <w:rsid w:val="00F02300"/>
    <w:rsid w:val="00F02D24"/>
    <w:rsid w:val="00F062B1"/>
    <w:rsid w:val="00F06311"/>
    <w:rsid w:val="00F10ED5"/>
    <w:rsid w:val="00F12046"/>
    <w:rsid w:val="00F15F91"/>
    <w:rsid w:val="00F17A7B"/>
    <w:rsid w:val="00F216AD"/>
    <w:rsid w:val="00F25462"/>
    <w:rsid w:val="00F33738"/>
    <w:rsid w:val="00F35B0A"/>
    <w:rsid w:val="00F37FC4"/>
    <w:rsid w:val="00F40CF6"/>
    <w:rsid w:val="00F42F98"/>
    <w:rsid w:val="00F43B2C"/>
    <w:rsid w:val="00F61F0F"/>
    <w:rsid w:val="00F6479A"/>
    <w:rsid w:val="00F65E62"/>
    <w:rsid w:val="00F666E9"/>
    <w:rsid w:val="00F71D6B"/>
    <w:rsid w:val="00F7503F"/>
    <w:rsid w:val="00F75772"/>
    <w:rsid w:val="00F776BA"/>
    <w:rsid w:val="00F776CE"/>
    <w:rsid w:val="00F86367"/>
    <w:rsid w:val="00F87596"/>
    <w:rsid w:val="00F90A05"/>
    <w:rsid w:val="00FA30D5"/>
    <w:rsid w:val="00FC5BA6"/>
    <w:rsid w:val="00FC644F"/>
    <w:rsid w:val="00FD0CCF"/>
    <w:rsid w:val="00FD218F"/>
    <w:rsid w:val="00FD33E1"/>
    <w:rsid w:val="00FD4579"/>
    <w:rsid w:val="00FE1792"/>
    <w:rsid w:val="00FE55CB"/>
    <w:rsid w:val="00FF412E"/>
    <w:rsid w:val="00FF6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35BF8"/>
  <w15:docId w15:val="{676FC390-E0B2-4246-AB02-179F9C8A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aliases w:val="ftref,Знак сноски-FN,16 Point,Superscript 6 Point,Footnote Reference Superscript,Footnote symbol,Footnote Reference Number,Footnote Reference_LVL6,Footnote Reference_LVL61,Footnote Reference_LVL62,Footnote Reference_LVL63,fr"/>
    <w:link w:val="CarattereCarattereCharCharCharCharCharCharZchn"/>
    <w:uiPriority w:val="99"/>
    <w:unhideWhenUsed/>
    <w:qFormat/>
    <w:rsid w:val="00197CB7"/>
    <w:rPr>
      <w:vertAlign w:val="superscript"/>
    </w:rPr>
  </w:style>
  <w:style w:type="paragraph" w:styleId="ListParagraph">
    <w:name w:val="List Paragraph"/>
    <w:aliases w:val="Table/Figure Heading,Listeafsnit,List Paragraph1,Bullets,List Paragraph (numbered (a)),Akapit z listą BS,Ha,Resume Title,List Paragraph 1,Citation List,1st level - Bullet List Paragraph,Lettre d'introduction,Paragrafo elenco,Heading 2_sj"/>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Table/Figure Heading Char,Listeafsnit Char,List Paragraph1 Char,Bullets Char,List Paragraph (numbered (a)) Char,Akapit z listą BS Char,Ha Char,Resume Title Char,List Paragraph 1 Char,Citation List Char,Lettre d'introduction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rsid w:val="0098031C"/>
    <w:rPr>
      <w:color w:val="0000FF"/>
      <w:u w:val="single"/>
    </w:rPr>
  </w:style>
  <w:style w:type="character" w:customStyle="1" w:styleId="apple-converted-space">
    <w:name w:val="apple-converted-space"/>
    <w:basedOn w:val="DefaultParagraphFont"/>
    <w:rsid w:val="0098031C"/>
  </w:style>
  <w:style w:type="character" w:customStyle="1" w:styleId="ListParagraphChar2">
    <w:name w:val="List Paragraph Char2"/>
    <w:uiPriority w:val="34"/>
    <w:rsid w:val="0098031C"/>
    <w:rPr>
      <w:rFonts w:ascii="Calibri" w:eastAsia="Calibri" w:hAnsi="Calibri"/>
      <w:sz w:val="22"/>
      <w:szCs w:val="22"/>
    </w:rPr>
  </w:style>
  <w:style w:type="paragraph" w:customStyle="1" w:styleId="Default">
    <w:name w:val="Default"/>
    <w:rsid w:val="0098031C"/>
    <w:pPr>
      <w:autoSpaceDE w:val="0"/>
      <w:autoSpaceDN w:val="0"/>
      <w:adjustRightInd w:val="0"/>
    </w:pPr>
    <w:rPr>
      <w:rFonts w:ascii="EUAlbertina" w:hAnsi="EUAlbertina" w:cs="EUAlbertina"/>
      <w:color w:val="000000"/>
      <w:sz w:val="24"/>
      <w:szCs w:val="24"/>
      <w:lang w:eastAsia="en-US"/>
    </w:rPr>
  </w:style>
  <w:style w:type="character" w:customStyle="1" w:styleId="hps">
    <w:name w:val="hps"/>
    <w:basedOn w:val="DefaultParagraphFont"/>
    <w:rsid w:val="0098031C"/>
  </w:style>
  <w:style w:type="paragraph" w:customStyle="1" w:styleId="sti-art">
    <w:name w:val="sti-art"/>
    <w:basedOn w:val="Normal"/>
    <w:rsid w:val="00DD187D"/>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rsid w:val="00DD187D"/>
    <w:pPr>
      <w:spacing w:before="100" w:beforeAutospacing="1" w:after="100" w:afterAutospacing="1" w:line="240" w:lineRule="auto"/>
    </w:pPr>
    <w:rPr>
      <w:rFonts w:ascii="Times New Roman" w:hAnsi="Times New Roman"/>
      <w:sz w:val="24"/>
      <w:szCs w:val="24"/>
    </w:rPr>
  </w:style>
  <w:style w:type="character" w:customStyle="1" w:styleId="highlight">
    <w:name w:val="highlight"/>
    <w:basedOn w:val="DefaultParagraphFont"/>
    <w:rsid w:val="00DD187D"/>
  </w:style>
  <w:style w:type="character" w:customStyle="1" w:styleId="alt-edited1">
    <w:name w:val="alt-edited1"/>
    <w:rsid w:val="00C84BA5"/>
    <w:rPr>
      <w:color w:val="4D90F0"/>
    </w:rPr>
  </w:style>
  <w:style w:type="paragraph" w:customStyle="1" w:styleId="Text4">
    <w:name w:val="Text 4"/>
    <w:basedOn w:val="Normal"/>
    <w:rsid w:val="00C84BA5"/>
    <w:pPr>
      <w:ind w:left="850"/>
    </w:pPr>
    <w:rPr>
      <w:lang w:eastAsia="en-GB"/>
    </w:rPr>
  </w:style>
  <w:style w:type="character" w:styleId="CommentReference">
    <w:name w:val="annotation reference"/>
    <w:basedOn w:val="DefaultParagraphFont"/>
    <w:uiPriority w:val="99"/>
    <w:semiHidden/>
    <w:unhideWhenUsed/>
    <w:rsid w:val="009173CC"/>
    <w:rPr>
      <w:sz w:val="16"/>
      <w:szCs w:val="16"/>
    </w:rPr>
  </w:style>
  <w:style w:type="paragraph" w:styleId="CommentText">
    <w:name w:val="annotation text"/>
    <w:basedOn w:val="Normal"/>
    <w:link w:val="CommentTextChar"/>
    <w:uiPriority w:val="99"/>
    <w:unhideWhenUsed/>
    <w:rsid w:val="009173CC"/>
    <w:pPr>
      <w:spacing w:line="240" w:lineRule="auto"/>
    </w:pPr>
    <w:rPr>
      <w:sz w:val="20"/>
      <w:szCs w:val="20"/>
    </w:rPr>
  </w:style>
  <w:style w:type="character" w:customStyle="1" w:styleId="CommentTextChar">
    <w:name w:val="Comment Text Char"/>
    <w:basedOn w:val="DefaultParagraphFont"/>
    <w:link w:val="CommentText"/>
    <w:uiPriority w:val="99"/>
    <w:rsid w:val="009173CC"/>
    <w:rPr>
      <w:lang w:eastAsia="en-US"/>
    </w:rPr>
  </w:style>
  <w:style w:type="paragraph" w:styleId="CommentSubject">
    <w:name w:val="annotation subject"/>
    <w:basedOn w:val="CommentText"/>
    <w:next w:val="CommentText"/>
    <w:link w:val="CommentSubjectChar"/>
    <w:uiPriority w:val="99"/>
    <w:semiHidden/>
    <w:unhideWhenUsed/>
    <w:rsid w:val="009173CC"/>
    <w:rPr>
      <w:b/>
      <w:bCs/>
    </w:rPr>
  </w:style>
  <w:style w:type="character" w:customStyle="1" w:styleId="CommentSubjectChar">
    <w:name w:val="Comment Subject Char"/>
    <w:basedOn w:val="CommentTextChar"/>
    <w:link w:val="CommentSubject"/>
    <w:uiPriority w:val="99"/>
    <w:semiHidden/>
    <w:rsid w:val="009173CC"/>
    <w:rPr>
      <w:b/>
      <w:bCs/>
      <w:lang w:eastAsia="en-US"/>
    </w:rPr>
  </w:style>
  <w:style w:type="character" w:customStyle="1" w:styleId="jlqj4b">
    <w:name w:val="jlqj4b"/>
    <w:basedOn w:val="DefaultParagraphFont"/>
    <w:rsid w:val="00094F5E"/>
  </w:style>
  <w:style w:type="paragraph" w:styleId="HTMLPreformatted">
    <w:name w:val="HTML Preformatted"/>
    <w:basedOn w:val="Normal"/>
    <w:link w:val="HTMLPreformattedChar"/>
    <w:uiPriority w:val="99"/>
    <w:semiHidden/>
    <w:unhideWhenUsed/>
    <w:rsid w:val="00F75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75772"/>
    <w:rPr>
      <w:rFonts w:ascii="Courier New" w:hAnsi="Courier New" w:cs="Courier New"/>
      <w:lang w:val="sq-AL" w:eastAsia="en-US"/>
    </w:rPr>
  </w:style>
  <w:style w:type="character" w:customStyle="1" w:styleId="y2iqfc">
    <w:name w:val="y2iqfc"/>
    <w:basedOn w:val="DefaultParagraphFont"/>
    <w:rsid w:val="00F75772"/>
  </w:style>
  <w:style w:type="character" w:customStyle="1" w:styleId="A14">
    <w:name w:val="A14"/>
    <w:uiPriority w:val="99"/>
    <w:rsid w:val="003F66B7"/>
    <w:rPr>
      <w:rFonts w:cs="EC Square Sans Cond Pro Thin"/>
      <w:color w:val="000000"/>
      <w:sz w:val="19"/>
      <w:szCs w:val="19"/>
    </w:rPr>
  </w:style>
  <w:style w:type="paragraph" w:customStyle="1" w:styleId="Pa0">
    <w:name w:val="Pa0"/>
    <w:basedOn w:val="Default"/>
    <w:next w:val="Default"/>
    <w:uiPriority w:val="99"/>
    <w:rsid w:val="003F66B7"/>
    <w:pPr>
      <w:spacing w:line="241" w:lineRule="atLeast"/>
    </w:pPr>
    <w:rPr>
      <w:rFonts w:ascii="EC Square Sans Pro Medium" w:hAnsi="EC Square Sans Pro Medium" w:cs="Times New Roman"/>
      <w:color w:val="auto"/>
      <w:lang w:eastAsia="en-GB"/>
    </w:rPr>
  </w:style>
  <w:style w:type="character" w:customStyle="1" w:styleId="A12">
    <w:name w:val="A12"/>
    <w:uiPriority w:val="99"/>
    <w:rsid w:val="003F66B7"/>
    <w:rPr>
      <w:rFonts w:cs="EC Square Sans Pro Medium"/>
      <w:b/>
      <w:bCs/>
      <w:color w:val="000000"/>
      <w:sz w:val="74"/>
      <w:szCs w:val="74"/>
    </w:rPr>
  </w:style>
  <w:style w:type="paragraph" w:customStyle="1" w:styleId="doc-ti">
    <w:name w:val="doc-ti"/>
    <w:basedOn w:val="Normal"/>
    <w:rsid w:val="006E3D66"/>
    <w:pPr>
      <w:spacing w:before="100" w:beforeAutospacing="1" w:after="100" w:afterAutospacing="1" w:line="240" w:lineRule="auto"/>
    </w:pPr>
    <w:rPr>
      <w:rFonts w:ascii="Times New Roman" w:hAnsi="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413564"/>
    <w:pPr>
      <w:spacing w:after="160" w:line="240" w:lineRule="exact"/>
      <w:jc w:val="both"/>
    </w:pPr>
    <w:rPr>
      <w:sz w:val="20"/>
      <w:szCs w:val="20"/>
      <w:vertAlign w:val="superscript"/>
      <w:lang w:eastAsia="en-GB"/>
    </w:rPr>
  </w:style>
  <w:style w:type="paragraph" w:styleId="Revision">
    <w:name w:val="Revision"/>
    <w:hidden/>
    <w:uiPriority w:val="99"/>
    <w:semiHidden/>
    <w:rsid w:val="00EE07E3"/>
    <w:rPr>
      <w:sz w:val="22"/>
      <w:szCs w:val="22"/>
      <w:lang w:eastAsia="en-US"/>
    </w:rPr>
  </w:style>
  <w:style w:type="paragraph" w:customStyle="1" w:styleId="NumberedParagraph">
    <w:name w:val="Numbered Paragraph"/>
    <w:basedOn w:val="Normal"/>
    <w:link w:val="NumberedParagraphChar"/>
    <w:uiPriority w:val="1"/>
    <w:qFormat/>
    <w:rsid w:val="00AC59C3"/>
    <w:pPr>
      <w:numPr>
        <w:numId w:val="46"/>
      </w:numPr>
      <w:spacing w:before="120" w:after="120" w:line="259" w:lineRule="auto"/>
      <w:jc w:val="both"/>
    </w:pPr>
    <w:rPr>
      <w:lang w:eastAsia="en-GB"/>
    </w:rPr>
  </w:style>
  <w:style w:type="character" w:customStyle="1" w:styleId="NumberedParagraphChar">
    <w:name w:val="Numbered Paragraph Char"/>
    <w:link w:val="NumberedParagraph"/>
    <w:uiPriority w:val="1"/>
    <w:rsid w:val="00AC59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19471">
      <w:bodyDiv w:val="1"/>
      <w:marLeft w:val="0"/>
      <w:marRight w:val="0"/>
      <w:marTop w:val="0"/>
      <w:marBottom w:val="0"/>
      <w:divBdr>
        <w:top w:val="none" w:sz="0" w:space="0" w:color="auto"/>
        <w:left w:val="none" w:sz="0" w:space="0" w:color="auto"/>
        <w:bottom w:val="none" w:sz="0" w:space="0" w:color="auto"/>
        <w:right w:val="none" w:sz="0" w:space="0" w:color="auto"/>
      </w:divBdr>
    </w:div>
    <w:div w:id="352222256">
      <w:bodyDiv w:val="1"/>
      <w:marLeft w:val="0"/>
      <w:marRight w:val="0"/>
      <w:marTop w:val="0"/>
      <w:marBottom w:val="0"/>
      <w:divBdr>
        <w:top w:val="none" w:sz="0" w:space="0" w:color="auto"/>
        <w:left w:val="none" w:sz="0" w:space="0" w:color="auto"/>
        <w:bottom w:val="none" w:sz="0" w:space="0" w:color="auto"/>
        <w:right w:val="none" w:sz="0" w:space="0" w:color="auto"/>
      </w:divBdr>
    </w:div>
    <w:div w:id="414791685">
      <w:bodyDiv w:val="1"/>
      <w:marLeft w:val="0"/>
      <w:marRight w:val="0"/>
      <w:marTop w:val="0"/>
      <w:marBottom w:val="0"/>
      <w:divBdr>
        <w:top w:val="none" w:sz="0" w:space="0" w:color="auto"/>
        <w:left w:val="none" w:sz="0" w:space="0" w:color="auto"/>
        <w:bottom w:val="none" w:sz="0" w:space="0" w:color="auto"/>
        <w:right w:val="none" w:sz="0" w:space="0" w:color="auto"/>
      </w:divBdr>
      <w:divsChild>
        <w:div w:id="627593628">
          <w:marLeft w:val="0"/>
          <w:marRight w:val="0"/>
          <w:marTop w:val="0"/>
          <w:marBottom w:val="0"/>
          <w:divBdr>
            <w:top w:val="none" w:sz="0" w:space="0" w:color="auto"/>
            <w:left w:val="none" w:sz="0" w:space="0" w:color="auto"/>
            <w:bottom w:val="none" w:sz="0" w:space="0" w:color="auto"/>
            <w:right w:val="none" w:sz="0" w:space="0" w:color="auto"/>
          </w:divBdr>
        </w:div>
        <w:div w:id="2010480529">
          <w:marLeft w:val="0"/>
          <w:marRight w:val="0"/>
          <w:marTop w:val="0"/>
          <w:marBottom w:val="0"/>
          <w:divBdr>
            <w:top w:val="none" w:sz="0" w:space="0" w:color="auto"/>
            <w:left w:val="none" w:sz="0" w:space="0" w:color="auto"/>
            <w:bottom w:val="none" w:sz="0" w:space="0" w:color="auto"/>
            <w:right w:val="none" w:sz="0" w:space="0" w:color="auto"/>
          </w:divBdr>
          <w:divsChild>
            <w:div w:id="1682926079">
              <w:marLeft w:val="0"/>
              <w:marRight w:val="165"/>
              <w:marTop w:val="150"/>
              <w:marBottom w:val="0"/>
              <w:divBdr>
                <w:top w:val="none" w:sz="0" w:space="0" w:color="auto"/>
                <w:left w:val="none" w:sz="0" w:space="0" w:color="auto"/>
                <w:bottom w:val="none" w:sz="0" w:space="0" w:color="auto"/>
                <w:right w:val="none" w:sz="0" w:space="0" w:color="auto"/>
              </w:divBdr>
              <w:divsChild>
                <w:div w:id="483396331">
                  <w:marLeft w:val="0"/>
                  <w:marRight w:val="0"/>
                  <w:marTop w:val="0"/>
                  <w:marBottom w:val="0"/>
                  <w:divBdr>
                    <w:top w:val="none" w:sz="0" w:space="0" w:color="auto"/>
                    <w:left w:val="none" w:sz="0" w:space="0" w:color="auto"/>
                    <w:bottom w:val="none" w:sz="0" w:space="0" w:color="auto"/>
                    <w:right w:val="none" w:sz="0" w:space="0" w:color="auto"/>
                  </w:divBdr>
                  <w:divsChild>
                    <w:div w:id="15432447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666837">
      <w:bodyDiv w:val="1"/>
      <w:marLeft w:val="0"/>
      <w:marRight w:val="0"/>
      <w:marTop w:val="0"/>
      <w:marBottom w:val="0"/>
      <w:divBdr>
        <w:top w:val="none" w:sz="0" w:space="0" w:color="auto"/>
        <w:left w:val="none" w:sz="0" w:space="0" w:color="auto"/>
        <w:bottom w:val="none" w:sz="0" w:space="0" w:color="auto"/>
        <w:right w:val="none" w:sz="0" w:space="0" w:color="auto"/>
      </w:divBdr>
    </w:div>
    <w:div w:id="779035958">
      <w:bodyDiv w:val="1"/>
      <w:marLeft w:val="0"/>
      <w:marRight w:val="0"/>
      <w:marTop w:val="0"/>
      <w:marBottom w:val="0"/>
      <w:divBdr>
        <w:top w:val="none" w:sz="0" w:space="0" w:color="auto"/>
        <w:left w:val="none" w:sz="0" w:space="0" w:color="auto"/>
        <w:bottom w:val="none" w:sz="0" w:space="0" w:color="auto"/>
        <w:right w:val="none" w:sz="0" w:space="0" w:color="auto"/>
      </w:divBdr>
    </w:div>
    <w:div w:id="831676625">
      <w:bodyDiv w:val="1"/>
      <w:marLeft w:val="0"/>
      <w:marRight w:val="0"/>
      <w:marTop w:val="0"/>
      <w:marBottom w:val="0"/>
      <w:divBdr>
        <w:top w:val="none" w:sz="0" w:space="0" w:color="auto"/>
        <w:left w:val="none" w:sz="0" w:space="0" w:color="auto"/>
        <w:bottom w:val="none" w:sz="0" w:space="0" w:color="auto"/>
        <w:right w:val="none" w:sz="0" w:space="0" w:color="auto"/>
      </w:divBdr>
    </w:div>
    <w:div w:id="1298342905">
      <w:bodyDiv w:val="1"/>
      <w:marLeft w:val="0"/>
      <w:marRight w:val="0"/>
      <w:marTop w:val="0"/>
      <w:marBottom w:val="0"/>
      <w:divBdr>
        <w:top w:val="none" w:sz="0" w:space="0" w:color="auto"/>
        <w:left w:val="none" w:sz="0" w:space="0" w:color="auto"/>
        <w:bottom w:val="none" w:sz="0" w:space="0" w:color="auto"/>
        <w:right w:val="none" w:sz="0" w:space="0" w:color="auto"/>
      </w:divBdr>
    </w:div>
    <w:div w:id="1301182278">
      <w:bodyDiv w:val="1"/>
      <w:marLeft w:val="0"/>
      <w:marRight w:val="0"/>
      <w:marTop w:val="0"/>
      <w:marBottom w:val="0"/>
      <w:divBdr>
        <w:top w:val="none" w:sz="0" w:space="0" w:color="auto"/>
        <w:left w:val="none" w:sz="0" w:space="0" w:color="auto"/>
        <w:bottom w:val="none" w:sz="0" w:space="0" w:color="auto"/>
        <w:right w:val="none" w:sz="0" w:space="0" w:color="auto"/>
      </w:divBdr>
    </w:div>
    <w:div w:id="1532956871">
      <w:bodyDiv w:val="1"/>
      <w:marLeft w:val="0"/>
      <w:marRight w:val="0"/>
      <w:marTop w:val="0"/>
      <w:marBottom w:val="0"/>
      <w:divBdr>
        <w:top w:val="none" w:sz="0" w:space="0" w:color="auto"/>
        <w:left w:val="none" w:sz="0" w:space="0" w:color="auto"/>
        <w:bottom w:val="none" w:sz="0" w:space="0" w:color="auto"/>
        <w:right w:val="none" w:sz="0" w:space="0" w:color="auto"/>
      </w:divBdr>
    </w:div>
    <w:div w:id="1543790110">
      <w:bodyDiv w:val="1"/>
      <w:marLeft w:val="0"/>
      <w:marRight w:val="0"/>
      <w:marTop w:val="0"/>
      <w:marBottom w:val="0"/>
      <w:divBdr>
        <w:top w:val="none" w:sz="0" w:space="0" w:color="auto"/>
        <w:left w:val="none" w:sz="0" w:space="0" w:color="auto"/>
        <w:bottom w:val="none" w:sz="0" w:space="0" w:color="auto"/>
        <w:right w:val="none" w:sz="0" w:space="0" w:color="auto"/>
      </w:divBdr>
    </w:div>
    <w:div w:id="1577126026">
      <w:bodyDiv w:val="1"/>
      <w:marLeft w:val="0"/>
      <w:marRight w:val="0"/>
      <w:marTop w:val="0"/>
      <w:marBottom w:val="0"/>
      <w:divBdr>
        <w:top w:val="none" w:sz="0" w:space="0" w:color="auto"/>
        <w:left w:val="none" w:sz="0" w:space="0" w:color="auto"/>
        <w:bottom w:val="none" w:sz="0" w:space="0" w:color="auto"/>
        <w:right w:val="none" w:sz="0" w:space="0" w:color="auto"/>
      </w:divBdr>
    </w:div>
    <w:div w:id="1648777399">
      <w:bodyDiv w:val="1"/>
      <w:marLeft w:val="0"/>
      <w:marRight w:val="0"/>
      <w:marTop w:val="0"/>
      <w:marBottom w:val="0"/>
      <w:divBdr>
        <w:top w:val="none" w:sz="0" w:space="0" w:color="auto"/>
        <w:left w:val="none" w:sz="0" w:space="0" w:color="auto"/>
        <w:bottom w:val="none" w:sz="0" w:space="0" w:color="auto"/>
        <w:right w:val="none" w:sz="0" w:space="0" w:color="auto"/>
      </w:divBdr>
    </w:div>
    <w:div w:id="1749883728">
      <w:bodyDiv w:val="1"/>
      <w:marLeft w:val="0"/>
      <w:marRight w:val="0"/>
      <w:marTop w:val="0"/>
      <w:marBottom w:val="0"/>
      <w:divBdr>
        <w:top w:val="none" w:sz="0" w:space="0" w:color="auto"/>
        <w:left w:val="none" w:sz="0" w:space="0" w:color="auto"/>
        <w:bottom w:val="none" w:sz="0" w:space="0" w:color="auto"/>
        <w:right w:val="none" w:sz="0" w:space="0" w:color="auto"/>
      </w:divBdr>
    </w:div>
    <w:div w:id="1956673531">
      <w:bodyDiv w:val="1"/>
      <w:marLeft w:val="0"/>
      <w:marRight w:val="0"/>
      <w:marTop w:val="0"/>
      <w:marBottom w:val="0"/>
      <w:divBdr>
        <w:top w:val="none" w:sz="0" w:space="0" w:color="auto"/>
        <w:left w:val="none" w:sz="0" w:space="0" w:color="auto"/>
        <w:bottom w:val="none" w:sz="0" w:space="0" w:color="auto"/>
        <w:right w:val="none" w:sz="0" w:space="0" w:color="auto"/>
      </w:divBdr>
    </w:div>
    <w:div w:id="20476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na.kryeziu.rogova@rks-gov.net" TargetMode="External"/><Relationship Id="rId4" Type="http://schemas.openxmlformats.org/officeDocument/2006/relationships/settings" Target="settings.xml"/><Relationship Id="rId9" Type="http://schemas.openxmlformats.org/officeDocument/2006/relationships/hyperlink" Target="mailto:besim.veselaj@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6894-D1D4-46F8-A655-4C2A2C46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2794</Words>
  <Characters>15927</Characters>
  <Application>Microsoft Office Word</Application>
  <DocSecurity>0</DocSecurity>
  <Lines>132</Lines>
  <Paragraphs>37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Workshop Summary Report</vt:lpstr>
      <vt:lpstr>Workshop Summary Report</vt:lpstr>
      <vt:lpstr>Workshop Summary Report</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16</cp:revision>
  <cp:lastPrinted>2015-01-05T12:29:00Z</cp:lastPrinted>
  <dcterms:created xsi:type="dcterms:W3CDTF">2024-08-05T11:55:00Z</dcterms:created>
  <dcterms:modified xsi:type="dcterms:W3CDTF">2024-10-16T12:57:00Z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e20f1e5ce35e34ed2cf24336c638aede18311f18f29ff40dc0e195ebc0f8a3e5</vt:lpwstr>
  </property>
</Properties>
</file>