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8A7D5" w14:textId="5DECB897" w:rsidR="00FC644F" w:rsidRPr="00C73DEF" w:rsidRDefault="00170C0C" w:rsidP="00834D1F">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741B77EF" w14:textId="77777777" w:rsidR="00DA5F0A" w:rsidRPr="00C73DEF" w:rsidRDefault="0074067A" w:rsidP="0074067A">
      <w:pPr>
        <w:pStyle w:val="Heading1"/>
        <w:spacing w:before="240" w:after="120"/>
        <w:jc w:val="center"/>
        <w:rPr>
          <w:rFonts w:ascii="Arial" w:hAnsi="Arial" w:cs="Arial"/>
          <w:color w:val="auto"/>
          <w:sz w:val="24"/>
          <w:szCs w:val="24"/>
        </w:rPr>
      </w:pPr>
      <w:r>
        <w:rPr>
          <w:rFonts w:ascii="Arial" w:hAnsi="Arial"/>
          <w:color w:val="auto"/>
          <w:sz w:val="24"/>
        </w:rPr>
        <w:t>Pjesa e parë</w:t>
      </w:r>
    </w:p>
    <w:p w14:paraId="5CD4F8D8" w14:textId="77777777" w:rsidR="0074067A" w:rsidRPr="00C73DEF" w:rsidRDefault="0074067A" w:rsidP="00D8184A">
      <w:pPr>
        <w:pStyle w:val="ListParagraph"/>
        <w:numPr>
          <w:ilvl w:val="0"/>
          <w:numId w:val="2"/>
        </w:numPr>
        <w:spacing w:before="200" w:after="120"/>
        <w:rPr>
          <w:rFonts w:cs="Arial"/>
          <w:b/>
          <w:szCs w:val="20"/>
        </w:rPr>
      </w:pPr>
      <w:r>
        <w:rPr>
          <w:b/>
          <w:bCs/>
        </w:rPr>
        <w:t>INFORMACIONE TË PËRGJITHSHME</w:t>
      </w:r>
    </w:p>
    <w:tbl>
      <w:tblPr>
        <w:tblW w:w="5000" w:type="pct"/>
        <w:jc w:val="center"/>
        <w:tblLayout w:type="fixed"/>
        <w:tblLook w:val="01E0" w:firstRow="1" w:lastRow="1" w:firstColumn="1" w:lastColumn="1" w:noHBand="0" w:noVBand="0"/>
      </w:tblPr>
      <w:tblGrid>
        <w:gridCol w:w="3505"/>
        <w:gridCol w:w="6391"/>
      </w:tblGrid>
      <w:tr w:rsidR="007128F1" w:rsidRPr="00C73DEF" w14:paraId="777725DE" w14:textId="77777777" w:rsidTr="00EC2F8E">
        <w:trPr>
          <w:trHeight w:val="346"/>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715B5B65" w14:textId="261F6EF7" w:rsidR="007128F1" w:rsidRPr="00C73DEF" w:rsidRDefault="002829B8" w:rsidP="007128F1">
            <w:pPr>
              <w:spacing w:before="60" w:after="60" w:line="260" w:lineRule="atLeast"/>
              <w:rPr>
                <w:rFonts w:ascii="Arial" w:hAnsi="Arial" w:cs="Arial"/>
                <w:b/>
                <w:bCs/>
                <w:sz w:val="20"/>
                <w:szCs w:val="20"/>
              </w:rPr>
            </w:pPr>
            <w:r>
              <w:rPr>
                <w:rFonts w:ascii="Arial" w:hAnsi="Arial"/>
                <w:b/>
                <w:sz w:val="20"/>
              </w:rPr>
              <w:t>Titulli i projektit</w:t>
            </w:r>
          </w:p>
        </w:tc>
        <w:tc>
          <w:tcPr>
            <w:tcW w:w="3229" w:type="pct"/>
            <w:tcBorders>
              <w:top w:val="single" w:sz="4" w:space="0" w:color="auto"/>
              <w:left w:val="single" w:sz="4" w:space="0" w:color="auto"/>
              <w:bottom w:val="single" w:sz="4" w:space="0" w:color="auto"/>
              <w:right w:val="single" w:sz="4" w:space="0" w:color="auto"/>
            </w:tcBorders>
            <w:vAlign w:val="center"/>
          </w:tcPr>
          <w:p w14:paraId="58CE253B" w14:textId="77777777" w:rsidR="007128F1" w:rsidRPr="00EC6846" w:rsidRDefault="00BD1ACA" w:rsidP="007128F1">
            <w:pPr>
              <w:spacing w:before="60" w:after="60" w:line="260" w:lineRule="atLeast"/>
              <w:rPr>
                <w:rFonts w:ascii="Arial" w:hAnsi="Arial" w:cs="Arial"/>
                <w:sz w:val="20"/>
                <w:szCs w:val="20"/>
              </w:rPr>
            </w:pPr>
            <w:r>
              <w:rPr>
                <w:rFonts w:ascii="Arial" w:hAnsi="Arial"/>
                <w:sz w:val="20"/>
              </w:rPr>
              <w:t>Përmirësimi i furnizimit me ujë dhe mbrojtja e burimeve ujore të Kompanisë Rajonale të Ujësjellësit (KRU) “Gjakova”</w:t>
            </w:r>
          </w:p>
        </w:tc>
      </w:tr>
      <w:tr w:rsidR="007128F1" w:rsidRPr="00C73DEF" w14:paraId="644E6071" w14:textId="77777777" w:rsidTr="00EC2F8E">
        <w:trPr>
          <w:trHeight w:val="476"/>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30F4A2E5" w14:textId="77777777" w:rsidR="007128F1" w:rsidRPr="00C73DEF" w:rsidRDefault="007128F1" w:rsidP="007128F1">
            <w:pPr>
              <w:spacing w:before="60" w:after="60" w:line="260" w:lineRule="atLeast"/>
              <w:rPr>
                <w:rFonts w:ascii="Arial" w:hAnsi="Arial" w:cs="Arial"/>
                <w:bCs/>
                <w:sz w:val="20"/>
                <w:szCs w:val="20"/>
              </w:rPr>
            </w:pPr>
            <w:r>
              <w:rPr>
                <w:rFonts w:ascii="Arial" w:hAnsi="Arial"/>
                <w:sz w:val="20"/>
              </w:rPr>
              <w:t>Sektori</w:t>
            </w:r>
          </w:p>
        </w:tc>
        <w:tc>
          <w:tcPr>
            <w:tcW w:w="3229" w:type="pct"/>
            <w:tcBorders>
              <w:top w:val="single" w:sz="4" w:space="0" w:color="auto"/>
              <w:left w:val="single" w:sz="4" w:space="0" w:color="auto"/>
              <w:bottom w:val="single" w:sz="4" w:space="0" w:color="auto"/>
              <w:right w:val="single" w:sz="4" w:space="0" w:color="auto"/>
            </w:tcBorders>
            <w:vAlign w:val="center"/>
          </w:tcPr>
          <w:p w14:paraId="3419FEBD" w14:textId="77777777" w:rsidR="007128F1" w:rsidRPr="00C73DEF" w:rsidRDefault="00BD1ACA" w:rsidP="00BD1ACA">
            <w:pPr>
              <w:spacing w:after="0" w:line="240" w:lineRule="auto"/>
              <w:ind w:left="720" w:hanging="720"/>
              <w:rPr>
                <w:rFonts w:ascii="Arial" w:hAnsi="Arial" w:cs="Arial"/>
                <w:sz w:val="20"/>
                <w:szCs w:val="20"/>
              </w:rPr>
            </w:pPr>
            <w:r>
              <w:rPr>
                <w:rFonts w:ascii="Arial" w:hAnsi="Arial"/>
                <w:sz w:val="20"/>
              </w:rPr>
              <w:t>Mjedisi</w:t>
            </w:r>
          </w:p>
        </w:tc>
      </w:tr>
      <w:tr w:rsidR="007128F1" w:rsidRPr="00C73DEF" w14:paraId="67068945" w14:textId="77777777" w:rsidTr="00EC2F8E">
        <w:trPr>
          <w:trHeight w:val="330"/>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2DD6A957" w14:textId="51A7E43D" w:rsidR="007128F1" w:rsidRPr="00C73DEF" w:rsidRDefault="007128F1" w:rsidP="002829B8">
            <w:pPr>
              <w:spacing w:before="60" w:after="60" w:line="260" w:lineRule="atLeast"/>
              <w:rPr>
                <w:rFonts w:ascii="Arial" w:hAnsi="Arial" w:cs="Arial"/>
                <w:bCs/>
                <w:sz w:val="20"/>
                <w:szCs w:val="20"/>
              </w:rPr>
            </w:pPr>
            <w:r>
              <w:rPr>
                <w:rFonts w:ascii="Arial" w:hAnsi="Arial"/>
                <w:sz w:val="20"/>
              </w:rPr>
              <w:t>Nënsektori</w:t>
            </w:r>
          </w:p>
        </w:tc>
        <w:tc>
          <w:tcPr>
            <w:tcW w:w="3229" w:type="pct"/>
            <w:tcBorders>
              <w:top w:val="single" w:sz="4" w:space="0" w:color="auto"/>
              <w:left w:val="single" w:sz="4" w:space="0" w:color="auto"/>
              <w:bottom w:val="single" w:sz="4" w:space="0" w:color="auto"/>
              <w:right w:val="single" w:sz="4" w:space="0" w:color="auto"/>
            </w:tcBorders>
            <w:vAlign w:val="center"/>
          </w:tcPr>
          <w:p w14:paraId="59D1F73B" w14:textId="4A08E902" w:rsidR="007128F1" w:rsidRPr="00C73DEF" w:rsidRDefault="00BD1ACA" w:rsidP="00985BB9">
            <w:pPr>
              <w:spacing w:after="0" w:line="240" w:lineRule="auto"/>
              <w:ind w:left="720" w:hanging="720"/>
              <w:rPr>
                <w:rFonts w:ascii="Arial" w:hAnsi="Arial" w:cs="Arial"/>
                <w:sz w:val="20"/>
                <w:szCs w:val="20"/>
              </w:rPr>
            </w:pPr>
            <w:r>
              <w:rPr>
                <w:rFonts w:ascii="Arial" w:hAnsi="Arial"/>
                <w:sz w:val="20"/>
              </w:rPr>
              <w:t>Projektet e furnizimit me ujë</w:t>
            </w:r>
          </w:p>
        </w:tc>
      </w:tr>
      <w:tr w:rsidR="00BD1ACA" w:rsidRPr="00C73DEF" w14:paraId="5FF34770" w14:textId="77777777" w:rsidTr="00EC2F8E">
        <w:trPr>
          <w:trHeight w:val="330"/>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00CCF90E" w14:textId="77777777" w:rsidR="00BD1ACA" w:rsidRPr="00C73DEF" w:rsidRDefault="00BD1ACA" w:rsidP="00BD1ACA">
            <w:pPr>
              <w:spacing w:before="60" w:after="60" w:line="260" w:lineRule="atLeast"/>
              <w:rPr>
                <w:rFonts w:ascii="Arial" w:hAnsi="Arial" w:cs="Arial"/>
                <w:bCs/>
                <w:sz w:val="20"/>
                <w:szCs w:val="20"/>
              </w:rPr>
            </w:pPr>
            <w:r>
              <w:rPr>
                <w:rFonts w:ascii="Arial" w:hAnsi="Arial"/>
                <w:sz w:val="20"/>
              </w:rPr>
              <w:t>Përfituesi/propozuesi kryesor i projektit:</w:t>
            </w:r>
          </w:p>
        </w:tc>
        <w:tc>
          <w:tcPr>
            <w:tcW w:w="3229" w:type="pct"/>
            <w:tcBorders>
              <w:top w:val="single" w:sz="4" w:space="0" w:color="auto"/>
              <w:left w:val="single" w:sz="4" w:space="0" w:color="auto"/>
              <w:bottom w:val="single" w:sz="4" w:space="0" w:color="auto"/>
              <w:right w:val="single" w:sz="4" w:space="0" w:color="auto"/>
            </w:tcBorders>
            <w:vAlign w:val="center"/>
          </w:tcPr>
          <w:p w14:paraId="527B5185" w14:textId="7ADCCC4D" w:rsidR="00BD1ACA" w:rsidRPr="005D7AD2" w:rsidRDefault="00BD1ACA" w:rsidP="00594E83">
            <w:pPr>
              <w:pStyle w:val="TableText"/>
              <w:spacing w:before="60" w:after="60" w:line="240" w:lineRule="auto"/>
              <w:rPr>
                <w:rFonts w:ascii="Arial" w:hAnsi="Arial"/>
                <w:sz w:val="20"/>
                <w:szCs w:val="20"/>
              </w:rPr>
            </w:pPr>
            <w:r>
              <w:rPr>
                <w:rFonts w:ascii="Arial" w:hAnsi="Arial"/>
                <w:sz w:val="20"/>
              </w:rPr>
              <w:t>Kompania Rajonale e Ujësjellësit (KRU) Gjakova</w:t>
            </w:r>
          </w:p>
        </w:tc>
      </w:tr>
      <w:tr w:rsidR="00BD1ACA" w:rsidRPr="00C73DEF" w14:paraId="3870DB87" w14:textId="77777777" w:rsidTr="00EC2F8E">
        <w:trPr>
          <w:trHeight w:val="330"/>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132F016A" w14:textId="77777777" w:rsidR="00BD1ACA" w:rsidRPr="00C73DEF" w:rsidRDefault="00BD1ACA" w:rsidP="00BD1ACA">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229" w:type="pct"/>
            <w:tcBorders>
              <w:top w:val="single" w:sz="4" w:space="0" w:color="auto"/>
              <w:left w:val="single" w:sz="4" w:space="0" w:color="auto"/>
              <w:bottom w:val="single" w:sz="4" w:space="0" w:color="auto"/>
              <w:right w:val="single" w:sz="4" w:space="0" w:color="auto"/>
            </w:tcBorders>
            <w:vAlign w:val="center"/>
          </w:tcPr>
          <w:p w14:paraId="0D5607AB" w14:textId="77777777" w:rsidR="00BD1ACA" w:rsidRPr="005D7AD2" w:rsidRDefault="00BD1ACA" w:rsidP="00BD1ACA">
            <w:pPr>
              <w:spacing w:before="60" w:after="60" w:line="260" w:lineRule="atLeast"/>
              <w:rPr>
                <w:rFonts w:ascii="Arial" w:hAnsi="Arial" w:cs="Arial"/>
                <w:sz w:val="20"/>
                <w:szCs w:val="20"/>
              </w:rPr>
            </w:pPr>
            <w:r>
              <w:rPr>
                <w:rFonts w:ascii="Arial" w:hAnsi="Arial"/>
                <w:sz w:val="20"/>
              </w:rPr>
              <w:t>KRU Gjakova</w:t>
            </w:r>
          </w:p>
        </w:tc>
      </w:tr>
      <w:tr w:rsidR="00BD1ACA" w:rsidRPr="00C73DEF" w14:paraId="31C8FD63" w14:textId="77777777" w:rsidTr="00EC6846">
        <w:trPr>
          <w:trHeight w:val="5723"/>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5CA28A8E" w14:textId="77777777" w:rsidR="00BD1ACA" w:rsidRPr="00C73DEF" w:rsidRDefault="00BD1ACA" w:rsidP="00BD1ACA">
            <w:pPr>
              <w:spacing w:before="60" w:after="60" w:line="260" w:lineRule="atLeast"/>
              <w:rPr>
                <w:rFonts w:ascii="Arial" w:hAnsi="Arial" w:cs="Arial"/>
                <w:bCs/>
                <w:sz w:val="20"/>
                <w:szCs w:val="20"/>
              </w:rPr>
            </w:pPr>
            <w:r>
              <w:rPr>
                <w:rFonts w:ascii="Arial" w:hAnsi="Arial"/>
                <w:sz w:val="20"/>
              </w:rPr>
              <w:t>Vendndodhja/Harta</w:t>
            </w:r>
          </w:p>
        </w:tc>
        <w:tc>
          <w:tcPr>
            <w:tcW w:w="3229" w:type="pct"/>
            <w:tcBorders>
              <w:top w:val="single" w:sz="4" w:space="0" w:color="auto"/>
              <w:left w:val="single" w:sz="4" w:space="0" w:color="auto"/>
              <w:bottom w:val="single" w:sz="4" w:space="0" w:color="auto"/>
              <w:right w:val="single" w:sz="4" w:space="0" w:color="auto"/>
            </w:tcBorders>
            <w:vAlign w:val="center"/>
          </w:tcPr>
          <w:p w14:paraId="0DEFAD7D" w14:textId="3A5C6A89" w:rsidR="00BD1ACA" w:rsidRPr="005D7AD2" w:rsidRDefault="00EC2F8E" w:rsidP="00985BB9">
            <w:pPr>
              <w:pStyle w:val="TableParagraph"/>
              <w:ind w:left="0" w:right="427"/>
              <w:rPr>
                <w:rFonts w:eastAsia="Times New Roman"/>
                <w:sz w:val="20"/>
                <w:szCs w:val="20"/>
              </w:rPr>
            </w:pPr>
            <w:r>
              <w:rPr>
                <w:sz w:val="20"/>
              </w:rPr>
              <w:t>Harta e Komunës së Gjakovës – zonë urbane</w:t>
            </w:r>
          </w:p>
          <w:p w14:paraId="35766F74" w14:textId="79CB7647" w:rsidR="00BD1ACA" w:rsidRPr="002B2DBF" w:rsidRDefault="00BD1ACA" w:rsidP="002B2DBF">
            <w:pPr>
              <w:pStyle w:val="TableParagraph"/>
              <w:ind w:left="108" w:right="427"/>
              <w:jc w:val="center"/>
              <w:rPr>
                <w:rFonts w:eastAsia="Times New Roman"/>
                <w:sz w:val="20"/>
                <w:szCs w:val="20"/>
              </w:rPr>
            </w:pPr>
            <w:r>
              <w:rPr>
                <w:noProof/>
                <w:sz w:val="20"/>
                <w:lang w:val="en-US" w:bidi="ar-SA"/>
              </w:rPr>
              <w:drawing>
                <wp:inline distT="0" distB="0" distL="0" distR="0" wp14:anchorId="375AEEC9" wp14:editId="368756BC">
                  <wp:extent cx="3579793" cy="4546600"/>
                  <wp:effectExtent l="0" t="0" r="1905" b="6350"/>
                  <wp:docPr id="2" name="Picture 2" descr="C:\Users\Shkodran Gaxherri\Desktop\output\AC Gjak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kodran Gaxherri\Desktop\output\AC Gjako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3897" cy="4628017"/>
                          </a:xfrm>
                          <a:prstGeom prst="rect">
                            <a:avLst/>
                          </a:prstGeom>
                          <a:noFill/>
                          <a:ln>
                            <a:noFill/>
                          </a:ln>
                        </pic:spPr>
                      </pic:pic>
                    </a:graphicData>
                  </a:graphic>
                </wp:inline>
              </w:drawing>
            </w:r>
          </w:p>
        </w:tc>
      </w:tr>
      <w:tr w:rsidR="00BD1ACA" w:rsidRPr="00C73DEF" w14:paraId="232EED1F" w14:textId="77777777" w:rsidTr="00EC2F8E">
        <w:trPr>
          <w:trHeight w:val="330"/>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06AD7EBC" w14:textId="77777777" w:rsidR="00BD1ACA" w:rsidRPr="00C73DEF" w:rsidRDefault="00BD1ACA" w:rsidP="00BD1ACA">
            <w:pPr>
              <w:spacing w:before="60" w:after="60" w:line="260" w:lineRule="atLeast"/>
              <w:rPr>
                <w:rFonts w:ascii="Arial" w:hAnsi="Arial" w:cs="Arial"/>
                <w:bCs/>
                <w:sz w:val="20"/>
                <w:szCs w:val="20"/>
              </w:rPr>
            </w:pPr>
            <w:r>
              <w:rPr>
                <w:rFonts w:ascii="Arial" w:hAnsi="Arial"/>
                <w:sz w:val="20"/>
              </w:rPr>
              <w:t>Investimi total i parashikuar:</w:t>
            </w:r>
          </w:p>
          <w:p w14:paraId="48E39583" w14:textId="77777777" w:rsidR="00BD1ACA" w:rsidRPr="00C73DEF" w:rsidRDefault="00BD1ACA" w:rsidP="00D8184A">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5DEBAAAA" w14:textId="77777777" w:rsidR="00BD1ACA" w:rsidRPr="00C73DEF" w:rsidRDefault="00BD1ACA" w:rsidP="00D8184A">
            <w:pPr>
              <w:numPr>
                <w:ilvl w:val="0"/>
                <w:numId w:val="3"/>
              </w:numPr>
              <w:spacing w:before="60" w:after="60" w:line="260" w:lineRule="atLeast"/>
              <w:ind w:left="223" w:hanging="223"/>
              <w:rPr>
                <w:rFonts w:ascii="Arial" w:hAnsi="Arial" w:cs="Arial"/>
                <w:bCs/>
                <w:sz w:val="20"/>
                <w:szCs w:val="20"/>
              </w:rPr>
            </w:pPr>
            <w:r>
              <w:rPr>
                <w:rFonts w:ascii="Arial" w:hAnsi="Arial"/>
                <w:sz w:val="20"/>
              </w:rPr>
              <w:t>Punimet ndërtimore</w:t>
            </w:r>
          </w:p>
          <w:p w14:paraId="34FF2110" w14:textId="77777777" w:rsidR="00BD1ACA" w:rsidRPr="00C73DEF" w:rsidRDefault="00BD1ACA" w:rsidP="00D8184A">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229" w:type="pct"/>
            <w:tcBorders>
              <w:top w:val="single" w:sz="4" w:space="0" w:color="auto"/>
              <w:left w:val="single" w:sz="4" w:space="0" w:color="auto"/>
              <w:bottom w:val="single" w:sz="4" w:space="0" w:color="auto"/>
              <w:right w:val="single" w:sz="4" w:space="0" w:color="auto"/>
            </w:tcBorders>
            <w:vAlign w:val="center"/>
          </w:tcPr>
          <w:p w14:paraId="3AA42C78" w14:textId="596FF36E" w:rsidR="00BD1ACA" w:rsidRPr="00834D1F" w:rsidRDefault="00BD1ACA" w:rsidP="00B35E36">
            <w:pPr>
              <w:pStyle w:val="TableParagraph"/>
              <w:spacing w:before="240"/>
              <w:ind w:left="0"/>
              <w:rPr>
                <w:sz w:val="20"/>
                <w:szCs w:val="20"/>
              </w:rPr>
            </w:pPr>
            <w:r>
              <w:rPr>
                <w:sz w:val="20"/>
              </w:rPr>
              <w:t>Gjithsej investimi: 17,886,945 EUR</w:t>
            </w:r>
          </w:p>
          <w:p w14:paraId="2F2F9650" w14:textId="77777777" w:rsidR="008B21FD" w:rsidRPr="00EC6846" w:rsidRDefault="008B21FD" w:rsidP="00BD1ACA">
            <w:pPr>
              <w:pStyle w:val="TableParagraph"/>
              <w:ind w:left="108"/>
              <w:rPr>
                <w:b/>
                <w:sz w:val="20"/>
                <w:szCs w:val="20"/>
                <w:lang w:val="en-GB"/>
              </w:rPr>
            </w:pPr>
          </w:p>
          <w:p w14:paraId="474AC046" w14:textId="14A65257" w:rsidR="00BD1ACA" w:rsidRPr="00985BB9" w:rsidRDefault="00985BB9" w:rsidP="00BD1ACA">
            <w:pPr>
              <w:pStyle w:val="TableParagraph"/>
              <w:ind w:left="0"/>
              <w:rPr>
                <w:sz w:val="20"/>
                <w:szCs w:val="20"/>
              </w:rPr>
            </w:pPr>
            <w:r>
              <w:rPr>
                <w:sz w:val="20"/>
              </w:rPr>
              <w:t>Nga të cilat:</w:t>
            </w:r>
          </w:p>
          <w:p w14:paraId="19BF1E9D" w14:textId="17A6B55F" w:rsidR="00DE6B95" w:rsidRPr="00C73DEF" w:rsidRDefault="00BD1ACA" w:rsidP="008B21FD">
            <w:pPr>
              <w:spacing w:before="60" w:after="60" w:line="260" w:lineRule="atLeast"/>
              <w:ind w:left="76"/>
              <w:rPr>
                <w:rFonts w:ascii="Arial" w:hAnsi="Arial" w:cs="Arial"/>
                <w:bCs/>
                <w:sz w:val="20"/>
                <w:szCs w:val="20"/>
              </w:rPr>
            </w:pPr>
            <w:r>
              <w:rPr>
                <w:rFonts w:ascii="Arial" w:hAnsi="Arial"/>
                <w:sz w:val="20"/>
              </w:rPr>
              <w:t>Zëvendësimi / heqja e tubave AC, duke përfshirë transportin dhe ruajtjen e përafërsisht 17 ton mbeturina tubash AC: 15,699,372 EUR</w:t>
            </w:r>
          </w:p>
          <w:p w14:paraId="0D7B4C57" w14:textId="50D275BE" w:rsidR="00BD1ACA" w:rsidRPr="00C73DEF" w:rsidRDefault="00DE6B95" w:rsidP="008B21FD">
            <w:pPr>
              <w:spacing w:before="60" w:after="60" w:line="260" w:lineRule="atLeast"/>
              <w:ind w:left="76"/>
              <w:rPr>
                <w:rFonts w:ascii="Arial" w:hAnsi="Arial" w:cs="Arial"/>
                <w:bCs/>
                <w:sz w:val="20"/>
                <w:szCs w:val="20"/>
              </w:rPr>
            </w:pPr>
            <w:r>
              <w:rPr>
                <w:rFonts w:ascii="Arial" w:hAnsi="Arial"/>
                <w:sz w:val="20"/>
              </w:rPr>
              <w:t>Krijimi i sistemit të monitorimit të cilësisë së ujit: 167,573 EUR</w:t>
            </w:r>
          </w:p>
          <w:p w14:paraId="4E2C4BD2" w14:textId="6AC66F15" w:rsidR="00DE6B95" w:rsidRPr="00C73DEF" w:rsidRDefault="00985BB9" w:rsidP="008B21FD">
            <w:pPr>
              <w:spacing w:before="60" w:after="60" w:line="260" w:lineRule="atLeast"/>
              <w:ind w:left="76"/>
              <w:rPr>
                <w:rFonts w:ascii="Arial" w:hAnsi="Arial" w:cs="Arial"/>
                <w:bCs/>
                <w:sz w:val="20"/>
                <w:szCs w:val="20"/>
              </w:rPr>
            </w:pPr>
            <w:r>
              <w:rPr>
                <w:rFonts w:ascii="Arial" w:hAnsi="Arial"/>
                <w:sz w:val="20"/>
              </w:rPr>
              <w:t>Shumat e përkohshme: 720,000 EUR</w:t>
            </w:r>
          </w:p>
          <w:p w14:paraId="1566C8B8" w14:textId="20BE1EBB" w:rsidR="00BD1ACA" w:rsidRPr="00EC6846" w:rsidRDefault="00DE6B95" w:rsidP="008B21FD">
            <w:pPr>
              <w:spacing w:before="60" w:after="60" w:line="260" w:lineRule="atLeast"/>
              <w:ind w:left="76"/>
              <w:rPr>
                <w:rFonts w:ascii="Arial" w:hAnsi="Arial" w:cs="Arial"/>
                <w:bCs/>
                <w:sz w:val="20"/>
                <w:szCs w:val="20"/>
              </w:rPr>
            </w:pPr>
            <w:r>
              <w:rPr>
                <w:rFonts w:ascii="Arial" w:hAnsi="Arial"/>
                <w:sz w:val="20"/>
              </w:rPr>
              <w:t>Asistencë teknike dhe mbikëqyrje: 1,000,000 EUR</w:t>
            </w:r>
          </w:p>
        </w:tc>
      </w:tr>
      <w:tr w:rsidR="00BD1ACA" w:rsidRPr="00C73DEF" w14:paraId="4118EFF5" w14:textId="77777777" w:rsidTr="00EC2F8E">
        <w:trPr>
          <w:trHeight w:val="346"/>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5A4B9387" w14:textId="77777777" w:rsidR="00BD1ACA" w:rsidRPr="00C73DEF" w:rsidRDefault="00BD1ACA" w:rsidP="00BD1ACA">
            <w:pPr>
              <w:spacing w:before="60" w:after="60" w:line="260" w:lineRule="atLeast"/>
              <w:rPr>
                <w:rFonts w:ascii="Arial" w:hAnsi="Arial" w:cs="Arial"/>
                <w:b/>
                <w:sz w:val="20"/>
                <w:szCs w:val="20"/>
              </w:rPr>
            </w:pPr>
            <w:r>
              <w:rPr>
                <w:rFonts w:ascii="Arial" w:hAnsi="Arial"/>
                <w:b/>
                <w:sz w:val="20"/>
              </w:rPr>
              <w:t>Personi përgjegjës ose i autorizuar për kontakt:</w:t>
            </w:r>
          </w:p>
        </w:tc>
        <w:tc>
          <w:tcPr>
            <w:tcW w:w="3229" w:type="pct"/>
            <w:tcBorders>
              <w:top w:val="single" w:sz="4" w:space="0" w:color="auto"/>
              <w:left w:val="single" w:sz="4" w:space="0" w:color="auto"/>
              <w:bottom w:val="single" w:sz="4" w:space="0" w:color="auto"/>
              <w:right w:val="single" w:sz="4" w:space="0" w:color="auto"/>
            </w:tcBorders>
            <w:shd w:val="clear" w:color="auto" w:fill="auto"/>
          </w:tcPr>
          <w:p w14:paraId="20679702" w14:textId="77777777" w:rsidR="00BD1ACA" w:rsidRPr="00C73DEF" w:rsidRDefault="00BD1ACA" w:rsidP="008B21FD">
            <w:pPr>
              <w:pStyle w:val="TableParagraph"/>
              <w:spacing w:before="240"/>
              <w:ind w:left="108"/>
              <w:rPr>
                <w:sz w:val="20"/>
                <w:szCs w:val="20"/>
              </w:rPr>
            </w:pPr>
            <w:r>
              <w:rPr>
                <w:sz w:val="20"/>
              </w:rPr>
              <w:t>Hasan Krasniqi</w:t>
            </w:r>
          </w:p>
        </w:tc>
      </w:tr>
      <w:tr w:rsidR="00BD1ACA" w:rsidRPr="00C73DEF" w14:paraId="3458EBEF" w14:textId="77777777" w:rsidTr="00EC2F8E">
        <w:trPr>
          <w:trHeight w:val="346"/>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74BA67BC" w14:textId="77777777" w:rsidR="00BD1ACA" w:rsidRPr="00C73DEF" w:rsidRDefault="00BD1ACA" w:rsidP="00BD1ACA">
            <w:pPr>
              <w:spacing w:before="60" w:after="60" w:line="260" w:lineRule="atLeast"/>
              <w:rPr>
                <w:rFonts w:ascii="Arial" w:hAnsi="Arial" w:cs="Arial"/>
                <w:bCs/>
                <w:sz w:val="20"/>
                <w:szCs w:val="20"/>
              </w:rPr>
            </w:pPr>
            <w:r>
              <w:rPr>
                <w:rFonts w:ascii="Arial" w:hAnsi="Arial"/>
                <w:sz w:val="20"/>
              </w:rPr>
              <w:lastRenderedPageBreak/>
              <w:t>Emri – Pozita:</w:t>
            </w:r>
          </w:p>
        </w:tc>
        <w:tc>
          <w:tcPr>
            <w:tcW w:w="3229" w:type="pct"/>
            <w:tcBorders>
              <w:top w:val="single" w:sz="4" w:space="0" w:color="auto"/>
              <w:left w:val="single" w:sz="4" w:space="0" w:color="auto"/>
              <w:bottom w:val="single" w:sz="4" w:space="0" w:color="auto"/>
              <w:right w:val="single" w:sz="4" w:space="0" w:color="auto"/>
            </w:tcBorders>
          </w:tcPr>
          <w:p w14:paraId="2E2AA06B" w14:textId="0090ABC2" w:rsidR="00BD1ACA" w:rsidRPr="00C73DEF" w:rsidRDefault="00BD1ACA" w:rsidP="00BD1ACA">
            <w:pPr>
              <w:pStyle w:val="TableParagraph"/>
              <w:spacing w:before="2"/>
              <w:ind w:left="108"/>
              <w:rPr>
                <w:sz w:val="20"/>
                <w:szCs w:val="20"/>
              </w:rPr>
            </w:pPr>
            <w:r>
              <w:rPr>
                <w:sz w:val="20"/>
              </w:rPr>
              <w:t>Hasan Krasniqi – KShE, KRU Gjakova</w:t>
            </w:r>
          </w:p>
        </w:tc>
      </w:tr>
      <w:tr w:rsidR="00BD1ACA" w:rsidRPr="00C73DEF" w14:paraId="3F6B3B84" w14:textId="77777777" w:rsidTr="00EC2F8E">
        <w:trPr>
          <w:trHeight w:val="346"/>
          <w:jc w:val="center"/>
        </w:trPr>
        <w:tc>
          <w:tcPr>
            <w:tcW w:w="1771" w:type="pct"/>
            <w:tcBorders>
              <w:top w:val="single" w:sz="4" w:space="0" w:color="auto"/>
              <w:left w:val="single" w:sz="4" w:space="0" w:color="auto"/>
              <w:bottom w:val="single" w:sz="4" w:space="0" w:color="auto"/>
              <w:right w:val="single" w:sz="4" w:space="0" w:color="auto"/>
            </w:tcBorders>
            <w:shd w:val="clear" w:color="auto" w:fill="D9D9D9"/>
            <w:vAlign w:val="center"/>
          </w:tcPr>
          <w:p w14:paraId="525FF91A" w14:textId="77777777" w:rsidR="00BD1ACA" w:rsidRPr="00C73DEF" w:rsidRDefault="00BD1ACA" w:rsidP="00BD1ACA">
            <w:pPr>
              <w:spacing w:before="60" w:after="60" w:line="260" w:lineRule="atLeast"/>
              <w:rPr>
                <w:rFonts w:ascii="Arial" w:hAnsi="Arial" w:cs="Arial"/>
                <w:bCs/>
                <w:sz w:val="20"/>
                <w:szCs w:val="20"/>
              </w:rPr>
            </w:pPr>
            <w:r>
              <w:rPr>
                <w:rFonts w:ascii="Arial" w:hAnsi="Arial"/>
                <w:sz w:val="20"/>
              </w:rPr>
              <w:t>Adresa e emailit - Telefoni:</w:t>
            </w:r>
          </w:p>
        </w:tc>
        <w:tc>
          <w:tcPr>
            <w:tcW w:w="3229" w:type="pct"/>
            <w:tcBorders>
              <w:top w:val="single" w:sz="4" w:space="0" w:color="auto"/>
              <w:left w:val="single" w:sz="4" w:space="0" w:color="auto"/>
              <w:bottom w:val="single" w:sz="4" w:space="0" w:color="auto"/>
              <w:right w:val="single" w:sz="4" w:space="0" w:color="auto"/>
            </w:tcBorders>
          </w:tcPr>
          <w:p w14:paraId="46E44D03" w14:textId="4BBAC412" w:rsidR="00BD1ACA" w:rsidRPr="00C73DEF" w:rsidRDefault="00B0594B" w:rsidP="00BD1ACA">
            <w:pPr>
              <w:pStyle w:val="TableParagraph"/>
              <w:ind w:left="108"/>
              <w:rPr>
                <w:sz w:val="20"/>
                <w:szCs w:val="20"/>
              </w:rPr>
            </w:pPr>
            <w:hyperlink r:id="rId9" w:history="1">
              <w:r w:rsidR="00112040">
                <w:rPr>
                  <w:rStyle w:val="Hyperlink"/>
                  <w:sz w:val="20"/>
                  <w:u w:color="0563C1"/>
                </w:rPr>
                <w:t>hasan.krasniqi@kru-gjakova.com</w:t>
              </w:r>
            </w:hyperlink>
            <w:r w:rsidR="00112040">
              <w:t>;</w:t>
            </w:r>
            <w:r w:rsidR="00112040">
              <w:rPr>
                <w:sz w:val="20"/>
              </w:rPr>
              <w:t xml:space="preserve"> +383 49 732-772</w:t>
            </w:r>
          </w:p>
        </w:tc>
      </w:tr>
    </w:tbl>
    <w:p w14:paraId="4605ABF0" w14:textId="77777777" w:rsidR="0083451C" w:rsidRPr="00C73DEF" w:rsidRDefault="0074067A" w:rsidP="00D8184A">
      <w:pPr>
        <w:pStyle w:val="ListParagraph"/>
        <w:numPr>
          <w:ilvl w:val="0"/>
          <w:numId w:val="2"/>
        </w:numPr>
        <w:spacing w:before="200" w:after="120"/>
        <w:jc w:val="both"/>
        <w:rPr>
          <w:rFonts w:cs="Arial"/>
          <w:b/>
          <w:szCs w:val="20"/>
        </w:rPr>
      </w:pPr>
      <w:r>
        <w:rPr>
          <w:b/>
        </w:rPr>
        <w:t>PËRSHKRIMI I PROJEKTIT</w:t>
      </w:r>
    </w:p>
    <w:tbl>
      <w:tblPr>
        <w:tblW w:w="4947" w:type="pct"/>
        <w:tblInd w:w="108" w:type="dxa"/>
        <w:tblLook w:val="01E0" w:firstRow="1" w:lastRow="1" w:firstColumn="1" w:lastColumn="1" w:noHBand="0" w:noVBand="0"/>
      </w:tblPr>
      <w:tblGrid>
        <w:gridCol w:w="3938"/>
        <w:gridCol w:w="5853"/>
      </w:tblGrid>
      <w:tr w:rsidR="007128F1" w:rsidRPr="00C73DEF" w14:paraId="29163E9A"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2A1FD10" w14:textId="77777777" w:rsidR="007128F1" w:rsidRPr="00C73DEF" w:rsidRDefault="007128F1" w:rsidP="007128F1">
            <w:pPr>
              <w:spacing w:before="60" w:after="60" w:line="260" w:lineRule="atLeast"/>
              <w:rPr>
                <w:rFonts w:ascii="Arial" w:hAnsi="Arial" w:cs="Arial"/>
                <w:bCs/>
                <w:sz w:val="20"/>
                <w:szCs w:val="20"/>
              </w:rPr>
            </w:pPr>
            <w:r>
              <w:rPr>
                <w:rFonts w:ascii="Arial" w:hAnsi="Arial"/>
                <w:sz w:val="20"/>
              </w:rPr>
              <w:t>Qëllimi i projektit infrastrukturor</w:t>
            </w:r>
          </w:p>
        </w:tc>
        <w:tc>
          <w:tcPr>
            <w:tcW w:w="2989" w:type="pct"/>
            <w:tcBorders>
              <w:top w:val="single" w:sz="4" w:space="0" w:color="auto"/>
              <w:left w:val="single" w:sz="4" w:space="0" w:color="auto"/>
              <w:bottom w:val="single" w:sz="4" w:space="0" w:color="auto"/>
              <w:right w:val="single" w:sz="4" w:space="0" w:color="auto"/>
            </w:tcBorders>
          </w:tcPr>
          <w:p w14:paraId="3B41726C" w14:textId="2E747754" w:rsidR="00AE13AF" w:rsidRPr="00C73DEF" w:rsidRDefault="00AE13AF" w:rsidP="008B21FD">
            <w:pPr>
              <w:ind w:left="-12"/>
              <w:rPr>
                <w:rFonts w:ascii="Arial" w:hAnsi="Arial" w:cs="Arial"/>
                <w:sz w:val="20"/>
                <w:szCs w:val="20"/>
              </w:rPr>
            </w:pPr>
            <w:r>
              <w:rPr>
                <w:rFonts w:ascii="Arial" w:hAnsi="Arial"/>
                <w:sz w:val="20"/>
              </w:rPr>
              <w:t>Objektivat kryesore të projektit janë ofrimi i shërbimeve më efikase dhe më cilësore sa i përket furnizimit me ujë në KRU Gjakova, për rreth 200,000 banorë në zonën e shërbimit të KRU Gjakovës.</w:t>
            </w:r>
          </w:p>
          <w:p w14:paraId="7BD1577D" w14:textId="5D1DF98F" w:rsidR="007128F1" w:rsidRPr="00C73DEF" w:rsidRDefault="00AE13AF" w:rsidP="008B21FD">
            <w:pPr>
              <w:pStyle w:val="TableParagraph"/>
              <w:spacing w:line="252" w:lineRule="exact"/>
              <w:ind w:left="0"/>
              <w:rPr>
                <w:bCs/>
                <w:sz w:val="20"/>
                <w:szCs w:val="20"/>
              </w:rPr>
            </w:pPr>
            <w:r>
              <w:rPr>
                <w:sz w:val="20"/>
              </w:rPr>
              <w:t xml:space="preserve">Projekti synon të zëvendësojë tubacionet e asbest-çimentos, të cilat do të minimizojnë humbjet teknike dhe ndotjen e ujit duke siguruar një furnizim të rregullt me ujë për konsumatorët gjatë gjithë kohës. Së fundi, ngritja e një sistemi monitorimi të cilësisë së ujit do të sigurojë monitorimin dhe mirëmbajtjen e vazhdueshme të standardeve të cilësisë së ujit. </w:t>
            </w:r>
          </w:p>
        </w:tc>
      </w:tr>
      <w:tr w:rsidR="007128F1" w:rsidRPr="00C73DEF" w14:paraId="18B0F864"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56C5044" w14:textId="77777777" w:rsidR="007128F1" w:rsidRPr="00C73DEF" w:rsidRDefault="007128F1" w:rsidP="007128F1">
            <w:pPr>
              <w:spacing w:before="60" w:after="60" w:line="260" w:lineRule="atLeast"/>
              <w:rPr>
                <w:rFonts w:ascii="Arial" w:hAnsi="Arial" w:cs="Arial"/>
                <w:bCs/>
                <w:sz w:val="20"/>
                <w:szCs w:val="20"/>
              </w:rPr>
            </w:pPr>
            <w:r>
              <w:rPr>
                <w:rFonts w:ascii="Arial" w:hAnsi="Arial"/>
                <w:sz w:val="20"/>
              </w:rPr>
              <w:t>Rezultatet e projektit infrastrukturor</w:t>
            </w:r>
          </w:p>
        </w:tc>
        <w:tc>
          <w:tcPr>
            <w:tcW w:w="2989" w:type="pct"/>
            <w:tcBorders>
              <w:top w:val="single" w:sz="4" w:space="0" w:color="auto"/>
              <w:left w:val="single" w:sz="4" w:space="0" w:color="auto"/>
              <w:bottom w:val="single" w:sz="4" w:space="0" w:color="auto"/>
              <w:right w:val="single" w:sz="4" w:space="0" w:color="auto"/>
            </w:tcBorders>
          </w:tcPr>
          <w:p w14:paraId="4610E082" w14:textId="19339414" w:rsidR="00A0672F" w:rsidRPr="00C73DEF" w:rsidRDefault="00A0672F" w:rsidP="008B21FD">
            <w:pPr>
              <w:pStyle w:val="TableParagraph"/>
              <w:numPr>
                <w:ilvl w:val="0"/>
                <w:numId w:val="12"/>
              </w:numPr>
              <w:spacing w:before="2" w:line="252" w:lineRule="exact"/>
              <w:rPr>
                <w:sz w:val="20"/>
                <w:szCs w:val="20"/>
              </w:rPr>
            </w:pPr>
            <w:r>
              <w:rPr>
                <w:sz w:val="20"/>
              </w:rPr>
              <w:t xml:space="preserve">Ndërrimi i 140 km gypave AC të rrjetit të ujësjellësit në zonën urbane të Komunës së Gjakovës, Komunës së Rahovecit dhe fshatrave të Prizrenit dhe zvogëlimi i humbjeve teknike deri në 18%; </w:t>
            </w:r>
          </w:p>
          <w:p w14:paraId="1081BD9C" w14:textId="62B82F94" w:rsidR="00A0672F" w:rsidRPr="00C73DEF" w:rsidRDefault="00A0672F" w:rsidP="008B21FD">
            <w:pPr>
              <w:pStyle w:val="TableParagraph"/>
              <w:numPr>
                <w:ilvl w:val="0"/>
                <w:numId w:val="12"/>
              </w:numPr>
              <w:spacing w:before="2" w:line="252" w:lineRule="exact"/>
              <w:rPr>
                <w:sz w:val="20"/>
                <w:szCs w:val="20"/>
              </w:rPr>
            </w:pPr>
            <w:r>
              <w:rPr>
                <w:sz w:val="20"/>
              </w:rPr>
              <w:t>Reduktimi i UPA nga një bazë e vitit 2022 prej 47% në 30% deri në vitin 2029;</w:t>
            </w:r>
          </w:p>
          <w:p w14:paraId="5C53D01A" w14:textId="72E9BC8F" w:rsidR="00A0672F" w:rsidRPr="00C73DEF" w:rsidRDefault="00A0672F" w:rsidP="008B21FD">
            <w:pPr>
              <w:pStyle w:val="TableParagraph"/>
              <w:numPr>
                <w:ilvl w:val="0"/>
                <w:numId w:val="12"/>
              </w:numPr>
              <w:spacing w:before="2" w:line="252" w:lineRule="exact"/>
              <w:rPr>
                <w:sz w:val="20"/>
                <w:szCs w:val="20"/>
              </w:rPr>
            </w:pPr>
            <w:r>
              <w:rPr>
                <w:sz w:val="20"/>
              </w:rPr>
              <w:t>Përmirësimi i gjendjes financiare duke reduktuar humbjet e dukshme nga një bazë e vitit 2022 prej rreth 14% të vëllimit të hyrjes së sistemit (VHS) në rreth 4.5% të VHS deri në vitin 2029;</w:t>
            </w:r>
          </w:p>
          <w:p w14:paraId="16636BC3" w14:textId="4F61B0AF" w:rsidR="00A0672F" w:rsidRPr="00C73DEF" w:rsidRDefault="00A0672F" w:rsidP="008B21FD">
            <w:pPr>
              <w:pStyle w:val="TableParagraph"/>
              <w:numPr>
                <w:ilvl w:val="0"/>
                <w:numId w:val="12"/>
              </w:numPr>
              <w:spacing w:before="2" w:line="252" w:lineRule="exact"/>
              <w:rPr>
                <w:sz w:val="20"/>
                <w:szCs w:val="20"/>
              </w:rPr>
            </w:pPr>
            <w:r>
              <w:rPr>
                <w:sz w:val="20"/>
              </w:rPr>
              <w:t>Ruajtja e qëndrueshmërisë financiare të KRU;</w:t>
            </w:r>
          </w:p>
          <w:p w14:paraId="7F29C40B" w14:textId="6E46A0AD" w:rsidR="00D8784E" w:rsidRPr="00C73DEF" w:rsidRDefault="00D8784E" w:rsidP="008B21FD">
            <w:pPr>
              <w:pStyle w:val="ListParagraph"/>
              <w:numPr>
                <w:ilvl w:val="0"/>
                <w:numId w:val="12"/>
              </w:numPr>
              <w:rPr>
                <w:rFonts w:cs="Arial"/>
                <w:szCs w:val="20"/>
              </w:rPr>
            </w:pPr>
            <w:r>
              <w:t>Sigurimi i shërbimit të vazhdueshëm të furnizimit me ujë 24/7 për zonën e shërbimit të KRU Gjakovës;</w:t>
            </w:r>
          </w:p>
          <w:p w14:paraId="0052E0A5" w14:textId="0DFE0513" w:rsidR="00D8784E" w:rsidRPr="00C73DEF" w:rsidRDefault="00D8784E" w:rsidP="008B21FD">
            <w:pPr>
              <w:pStyle w:val="ListParagraph"/>
              <w:numPr>
                <w:ilvl w:val="0"/>
                <w:numId w:val="12"/>
              </w:numPr>
              <w:rPr>
                <w:rFonts w:cs="Arial"/>
                <w:szCs w:val="20"/>
              </w:rPr>
            </w:pPr>
            <w:r>
              <w:t>Siguria e qytetarëve dhe furnizimi me ujë të cilësisë së lartë për 200,000 banorët që furnizohen nga liqeni;</w:t>
            </w:r>
          </w:p>
          <w:p w14:paraId="0680DD28" w14:textId="14A83A75" w:rsidR="007E176E" w:rsidRPr="00C73DEF" w:rsidRDefault="00D8784E" w:rsidP="008B21FD">
            <w:pPr>
              <w:pStyle w:val="ListParagraph"/>
              <w:numPr>
                <w:ilvl w:val="0"/>
                <w:numId w:val="12"/>
              </w:numPr>
              <w:rPr>
                <w:rFonts w:cs="Arial"/>
                <w:szCs w:val="20"/>
              </w:rPr>
            </w:pPr>
            <w:r>
              <w:t>Sigurimi i ujit të cilësisë së lartë që garanton shëndetin e banorëve të kësaj zone.</w:t>
            </w:r>
          </w:p>
        </w:tc>
      </w:tr>
      <w:tr w:rsidR="007128F1" w:rsidRPr="00C73DEF" w14:paraId="7B2DB5A8" w14:textId="77777777" w:rsidTr="00B16CEE">
        <w:trPr>
          <w:trHeight w:val="953"/>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835C04C" w14:textId="17A213FF" w:rsidR="007128F1" w:rsidRPr="00C73DEF" w:rsidRDefault="008B21FD" w:rsidP="008B21FD">
            <w:pPr>
              <w:spacing w:before="60" w:after="60" w:line="260" w:lineRule="atLeast"/>
              <w:rPr>
                <w:rFonts w:ascii="Arial" w:hAnsi="Arial" w:cs="Arial"/>
                <w:bCs/>
                <w:sz w:val="20"/>
                <w:szCs w:val="20"/>
              </w:rPr>
            </w:pPr>
            <w:r>
              <w:rPr>
                <w:rFonts w:ascii="Arial" w:hAnsi="Arial"/>
                <w:sz w:val="20"/>
              </w:rPr>
              <w:t>Përshkrimi i përgjithshëm</w:t>
            </w:r>
          </w:p>
        </w:tc>
        <w:tc>
          <w:tcPr>
            <w:tcW w:w="2989" w:type="pct"/>
            <w:tcBorders>
              <w:top w:val="single" w:sz="4" w:space="0" w:color="auto"/>
              <w:left w:val="single" w:sz="4" w:space="0" w:color="auto"/>
              <w:bottom w:val="single" w:sz="4" w:space="0" w:color="auto"/>
              <w:right w:val="single" w:sz="4" w:space="0" w:color="auto"/>
            </w:tcBorders>
          </w:tcPr>
          <w:p w14:paraId="211EFE76" w14:textId="77777777" w:rsidR="001A7589" w:rsidRPr="00C73DEF" w:rsidRDefault="001A7589" w:rsidP="008B21FD">
            <w:pPr>
              <w:ind w:left="71"/>
              <w:jc w:val="both"/>
              <w:rPr>
                <w:rFonts w:ascii="Arial" w:hAnsi="Arial" w:cs="Arial"/>
                <w:sz w:val="20"/>
                <w:szCs w:val="20"/>
              </w:rPr>
            </w:pPr>
            <w:r>
              <w:rPr>
                <w:rFonts w:ascii="Arial" w:hAnsi="Arial"/>
                <w:sz w:val="20"/>
              </w:rPr>
              <w:t>KRU Gjakova ka bërë Studimin e Fizibilitetit, VNMS dhe Projektimin e Detajuar për zëvendësimin e gypave të asbestit me PE. Studimi i VNMS-së, është përgatitur në përputhje me Direktivën e KE-së për EIA dhe standardet M&amp;S të EIB-së, dhe siguron që të gjitha ndikimet, të drejtpërdrejta dhe të tërthorta, veçanërisht faktorët mjedisorë, socialë dhe ekonomikë të lidhur me projektin, të shqyrtohen dhe adresohen plotësisht.</w:t>
            </w:r>
          </w:p>
          <w:p w14:paraId="3D14C4BE" w14:textId="77777777" w:rsidR="00D8784E" w:rsidRPr="00C73DEF" w:rsidRDefault="00D8784E" w:rsidP="008B21FD">
            <w:pPr>
              <w:ind w:left="71"/>
              <w:jc w:val="both"/>
              <w:rPr>
                <w:rFonts w:ascii="Arial" w:hAnsi="Arial" w:cs="Arial"/>
                <w:color w:val="FF0000"/>
                <w:sz w:val="20"/>
                <w:szCs w:val="20"/>
              </w:rPr>
            </w:pPr>
            <w:r>
              <w:rPr>
                <w:rFonts w:ascii="Arial" w:hAnsi="Arial"/>
                <w:sz w:val="20"/>
              </w:rPr>
              <w:t>Gypat e rrjetit aktual janë prej materiali asbest-çimento me diametër Ø 80-800 mm, nëpër rrugët dhe rrugët e pjesës së vjetër të Gjakovës, të cilat për një periudhë të gjatë kohore kanë qenë subjekt i trafikut të rënduar dhe urave mbi lumin Krena dhe Erenik. Këta gypa janë mbi 35-40 vjeç dhe janë riparuar shumë shpesh me kapëse riparimi tubash dhe aktualisht janë të gjithë në gjendje të keqe teknike. Ato shtrihen në një pjesë të Komunës së Rahovecit dhe një numër fshatrash të Komunës së Prizrenit që janë pjesë e zonës së shërbimit të KRU Gjakova dhe furnizohen me ujë nga KRU Gjakova.</w:t>
            </w:r>
          </w:p>
          <w:p w14:paraId="60CC78A0" w14:textId="77777777" w:rsidR="00D8784E" w:rsidRPr="00C73DEF" w:rsidRDefault="00D8784E" w:rsidP="008B21FD">
            <w:pPr>
              <w:ind w:left="71"/>
              <w:jc w:val="both"/>
              <w:rPr>
                <w:rFonts w:ascii="Arial" w:hAnsi="Arial" w:cs="Arial"/>
                <w:sz w:val="20"/>
                <w:szCs w:val="20"/>
              </w:rPr>
            </w:pPr>
            <w:r>
              <w:rPr>
                <w:rFonts w:ascii="Arial" w:hAnsi="Arial"/>
                <w:sz w:val="20"/>
              </w:rPr>
              <w:t>Ky rrjet ujësjellës ka edhe presion të pamjaftueshëm në periudhat e rritjes së kërkesave për ujë, duke kufizuar kështu mundësinë e furnizimit me mbrojtje nga zjarri. Rrjedhja nga këto tubacione ka gjithashtu një ndikim mjedisor.</w:t>
            </w:r>
          </w:p>
          <w:p w14:paraId="1F3C7688" w14:textId="77777777" w:rsidR="00C13C88" w:rsidRPr="008B21FD" w:rsidRDefault="00C13C88" w:rsidP="008B21FD">
            <w:pPr>
              <w:pStyle w:val="TableParagraph"/>
              <w:spacing w:line="276" w:lineRule="auto"/>
              <w:ind w:left="108"/>
              <w:jc w:val="both"/>
              <w:rPr>
                <w:rFonts w:eastAsia="Times New Roman"/>
                <w:sz w:val="20"/>
                <w:szCs w:val="20"/>
              </w:rPr>
            </w:pPr>
            <w:r>
              <w:rPr>
                <w:sz w:val="20"/>
              </w:rPr>
              <w:t xml:space="preserve">Ndërrimi i gypave të asbest-çimentos në fshatrat e Komunës së </w:t>
            </w:r>
            <w:r>
              <w:rPr>
                <w:sz w:val="20"/>
              </w:rPr>
              <w:lastRenderedPageBreak/>
              <w:t xml:space="preserve">Gjakovës dhe Komunës së Rahovecit. </w:t>
            </w:r>
          </w:p>
          <w:p w14:paraId="6D9C022A" w14:textId="5F7C0F6B" w:rsidR="00C13C88" w:rsidRPr="008B21FD" w:rsidRDefault="00C13C88" w:rsidP="008B21FD">
            <w:pPr>
              <w:pStyle w:val="TableParagraph"/>
              <w:spacing w:line="276" w:lineRule="auto"/>
              <w:ind w:left="108"/>
              <w:jc w:val="both"/>
              <w:rPr>
                <w:rFonts w:eastAsia="Times New Roman"/>
                <w:sz w:val="20"/>
                <w:szCs w:val="20"/>
              </w:rPr>
            </w:pPr>
            <w:bookmarkStart w:id="0" w:name="_Hlk28780128"/>
            <w:r>
              <w:rPr>
                <w:sz w:val="20"/>
              </w:rPr>
              <w:t>Tubacioni kryesor ekzistues i ujësjellësit në fshatin Fotesë deri në fshatin Piranë, është ndërtuar në vitin 1986, i bërë nga gypa të tipit AC të profileve të ndryshme. Në fillim është AC Ø400 dhe në fund në drejtim të lagjes Piranë është AC Ø250, ndërsa në një pjesë të rajonit të Hasit janë tubat AC Ø250 dhe AC Ø400. Ujësjellësi kryesor në Fortesë, degëzohet në dy drejtime, njëri drejt Komunës së Rahovecit dhe tjetri është ujësjellësi në drejtim nga Xërxa në fshatin Piranë. Nënsistemi rajonal i ujësjellësit Lumbardhi ka filluar në vitin 1986/1987, duke furnizuar me ujë të pijshëm 14 fshatra dhe zona në Komunën e Rahovecit dhe Prizrenit, fshatrat si Fortesë, Celinë, Krushë e Madhe, Nagavc, Hoçë e Vogël, Brestovc, Krushë e Vogël, Randobravë, Bregdri, Krajk, Karashëngjergj, Piranë, Reti e Poshtme dhe Reti i Epërme. Këto punime (ndërrimi i tubave) do të ndihmojnë në uljen e rrjedhjeve të ujit, uljen e kostos së funksionimit dhe mirëmbajtjes, sigurimin e furnizimit me ujë të pijes të besueshëm dhe cilësor. Punimet fillimisht do të kryhen në drejtim të fshatrave Fortesë-Celinë-Krushë e Madhe-Krushë e Vogël-Piranë.</w:t>
            </w:r>
          </w:p>
          <w:p w14:paraId="150BFF65" w14:textId="77777777" w:rsidR="00C13C88" w:rsidRPr="00C73DEF" w:rsidRDefault="00C13C88" w:rsidP="008B21FD">
            <w:pPr>
              <w:pStyle w:val="TableParagraph"/>
              <w:spacing w:line="276" w:lineRule="auto"/>
              <w:ind w:left="108"/>
              <w:jc w:val="both"/>
              <w:rPr>
                <w:sz w:val="20"/>
                <w:szCs w:val="20"/>
                <w:lang w:val="en-GB"/>
              </w:rPr>
            </w:pPr>
          </w:p>
          <w:bookmarkEnd w:id="0"/>
          <w:p w14:paraId="08517C2B" w14:textId="31F4A962" w:rsidR="00C13C88" w:rsidRPr="00C73DEF" w:rsidRDefault="00C13C88" w:rsidP="008B21FD">
            <w:pPr>
              <w:pStyle w:val="TableParagraph"/>
              <w:spacing w:line="276" w:lineRule="auto"/>
              <w:ind w:left="108"/>
              <w:jc w:val="both"/>
              <w:rPr>
                <w:sz w:val="20"/>
                <w:szCs w:val="20"/>
              </w:rPr>
            </w:pPr>
            <w:r>
              <w:rPr>
                <w:sz w:val="20"/>
              </w:rPr>
              <w:t>Ky projekt parasheh ndërrimin e tubacionit kryesor të ujësjellësit Ujë-Rugova. Tubacioni ekzistues është prej materiali asbest-çimento AC Ø300mm, gjatësi me presion 10 bar.</w:t>
            </w:r>
          </w:p>
          <w:p w14:paraId="7D56FA42" w14:textId="2888C193" w:rsidR="00C13C88" w:rsidRPr="00C73DEF" w:rsidRDefault="00C13C88" w:rsidP="008B21FD">
            <w:pPr>
              <w:pStyle w:val="TableParagraph"/>
              <w:spacing w:after="240" w:line="276" w:lineRule="auto"/>
              <w:ind w:left="108"/>
              <w:jc w:val="both"/>
              <w:rPr>
                <w:sz w:val="20"/>
                <w:szCs w:val="20"/>
              </w:rPr>
            </w:pPr>
            <w:r>
              <w:rPr>
                <w:sz w:val="20"/>
              </w:rPr>
              <w:t xml:space="preserve">Tubacioni i ri parashikohet të jetë material tubi Ø 400mm RC PEHD100. Këta tuba tregohen si tubat e cilësisë më të lartë. Nevoja për ndërrimin e tubacionit është se materiali i tubacionit ekzistues është asbest-çimento me presion 10 bar, por presioni normal në këtë seksion është afërsisht 10 bar, dhe shpesh kur ka mbipresion ka defekte të shpeshta të tubave. Prandaj, kompania do të menaxhojë tubin RCPE me një presion prej 16 bar. Gjithashtu ky tub kryesor duhet të vendoset me diametër më të madh (DN400) pasi gjatë periudhës së furnizimit në rrjetin e furnizimit janë shtuar disa fshatra që fillimisht nuk ishin planifikuar të furnizoheshin me tubin kryesor. Prandaj, është e nevojshme të rritet diametri i këtij tubacioni për të përmirësuar furnizimin me ujë të pijes për klientët e kësaj zone. </w:t>
            </w:r>
          </w:p>
          <w:p w14:paraId="0CCBB98E" w14:textId="0FA3E95B" w:rsidR="00C13C88" w:rsidRPr="00C73DEF" w:rsidRDefault="00C13C88" w:rsidP="008B21FD">
            <w:pPr>
              <w:pStyle w:val="TableParagraph"/>
              <w:spacing w:after="240" w:line="276" w:lineRule="auto"/>
              <w:ind w:left="108"/>
              <w:jc w:val="both"/>
              <w:rPr>
                <w:sz w:val="20"/>
                <w:szCs w:val="20"/>
              </w:rPr>
            </w:pPr>
            <w:r>
              <w:rPr>
                <w:sz w:val="20"/>
              </w:rPr>
              <w:t>Ndërrimi i tubacionit kryesor AC Ǿ300 / 250/200 Xërxë-Gexhë-Radostë-Dejnë prej L = 10,700 m me material RC PEHD - DN 300/250/200/16 bar.</w:t>
            </w:r>
          </w:p>
          <w:p w14:paraId="7E9A2E8F" w14:textId="2D9F8530" w:rsidR="00C13C88" w:rsidRPr="00C73DEF" w:rsidRDefault="00C13C88" w:rsidP="008B21FD">
            <w:pPr>
              <w:pStyle w:val="TableParagraph"/>
              <w:spacing w:line="276" w:lineRule="auto"/>
              <w:ind w:left="108"/>
              <w:jc w:val="both"/>
              <w:rPr>
                <w:sz w:val="20"/>
                <w:szCs w:val="20"/>
              </w:rPr>
            </w:pPr>
            <w:r>
              <w:rPr>
                <w:sz w:val="20"/>
              </w:rPr>
              <w:t>Tubi ekzistues është gjithashtu prej materiali asbest-çimento që varion nga Ø300 mm deri në Ø200 në diametër me presion 10 bar. Gjatë punimeve tubi do të zhvendoset nga prona private dhe do të jetë kryesisht në trotuare dhe margjina rrugore të rrugës kryesore. Ndërrimi i gypit AC Xërxë-Gexhë-Radostë-Dejnë, përveç sigurimit të tubit RC PEHD të cilësisë së lartë, do t'i mundësojë KRU-së të sigurojë furnizimin e duhur me ujë të fshatrave Gexhë, Radostë, Ratkoc, Dejnë si dhe fshatrat Vrajakë dhe Bratotin që janë në lartësi më të larta.</w:t>
            </w:r>
          </w:p>
          <w:p w14:paraId="7BF92A11" w14:textId="3A33C421" w:rsidR="00C13C88" w:rsidRPr="00C73DEF" w:rsidRDefault="00C13C88" w:rsidP="008B21FD">
            <w:pPr>
              <w:pStyle w:val="TableParagraph"/>
              <w:spacing w:before="240" w:after="240" w:line="276" w:lineRule="auto"/>
              <w:ind w:left="108"/>
              <w:jc w:val="both"/>
              <w:rPr>
                <w:sz w:val="20"/>
                <w:szCs w:val="20"/>
              </w:rPr>
            </w:pPr>
            <w:r>
              <w:rPr>
                <w:sz w:val="20"/>
              </w:rPr>
              <w:t>Gjithashtu, me këtë do të mundësohet furnizimi me ujë edhe nga drejtimi i kundërt: Dejnë - Xërxë nga impianti për trajtimin e ujit.</w:t>
            </w:r>
          </w:p>
          <w:p w14:paraId="20CFD3C6" w14:textId="77777777" w:rsidR="00C13C88" w:rsidRPr="00C73DEF" w:rsidRDefault="00C13C88" w:rsidP="008B21FD">
            <w:pPr>
              <w:pStyle w:val="TableParagraph"/>
              <w:spacing w:after="240" w:line="276" w:lineRule="auto"/>
              <w:ind w:left="108"/>
              <w:jc w:val="both"/>
              <w:rPr>
                <w:sz w:val="20"/>
                <w:szCs w:val="20"/>
              </w:rPr>
            </w:pPr>
            <w:r>
              <w:rPr>
                <w:sz w:val="20"/>
              </w:rPr>
              <w:lastRenderedPageBreak/>
              <w:t>Në veçanti, do të arrihen reduktime të ndjeshme të humbjeve të ujit për shkak të trasesë së re të tubacionit që do të kalojë jashtë pronave private, ku aktualisht funksionon tubi ekzistues. KRU supozon se shumë konsumatorë të pavetëdijshëm kanë kryer shumë lidhje ilegale që gjenerojnë humbje të konsiderueshme të ujit.</w:t>
            </w:r>
          </w:p>
          <w:p w14:paraId="5FFC27AC" w14:textId="0D46BA90" w:rsidR="00C13C88" w:rsidRPr="00C73DEF" w:rsidRDefault="00C13C88" w:rsidP="008B21FD">
            <w:pPr>
              <w:pStyle w:val="TableParagraph"/>
              <w:spacing w:line="276" w:lineRule="auto"/>
              <w:ind w:left="108"/>
              <w:jc w:val="both"/>
              <w:rPr>
                <w:sz w:val="20"/>
                <w:szCs w:val="20"/>
              </w:rPr>
            </w:pPr>
            <w:r>
              <w:rPr>
                <w:sz w:val="20"/>
              </w:rPr>
              <w:t>Rritja e diametrit të tubit nga tubi ekzistues Ø160 mm në 315 mm diametër, do të sigurohet ujë i mjaftueshëm për një</w:t>
            </w:r>
          </w:p>
          <w:p w14:paraId="552803FC" w14:textId="64C93290" w:rsidR="007E176E" w:rsidRPr="008B21FD" w:rsidRDefault="00394481" w:rsidP="008B21FD">
            <w:pPr>
              <w:ind w:left="71"/>
              <w:jc w:val="both"/>
              <w:rPr>
                <w:rFonts w:ascii="Arial" w:hAnsi="Arial" w:cs="Arial"/>
                <w:sz w:val="20"/>
                <w:szCs w:val="20"/>
              </w:rPr>
            </w:pPr>
            <w:r>
              <w:rPr>
                <w:rFonts w:ascii="Arial" w:hAnsi="Arial"/>
                <w:sz w:val="20"/>
              </w:rPr>
              <w:t>periudhë shumë të gjatë kohore për të gjitha fshatrat që furnizohen para Stacionit të Pompimit (Dol, Petrushan, Raçë). Tubacioni ekzistues Ø160mm, për një periudhë të gjatë kohore nuk ka mundur të sigurojë ujë të mjaftueshëm për banorët e kësaj zone. Humbjet e ujit gjithashtu do të zvogëlohen pasi cilësia e tubacionit ekzistues është e pamjaftueshme dhe ka defekte të shpeshta.</w:t>
            </w:r>
          </w:p>
        </w:tc>
      </w:tr>
    </w:tbl>
    <w:p w14:paraId="239EE971" w14:textId="77777777" w:rsidR="007128F1" w:rsidRPr="00C73DEF" w:rsidRDefault="007128F1" w:rsidP="007128F1">
      <w:pPr>
        <w:pStyle w:val="ListParagraph"/>
        <w:spacing w:before="200" w:after="120"/>
        <w:ind w:left="340"/>
        <w:jc w:val="both"/>
        <w:rPr>
          <w:rFonts w:cs="Arial"/>
          <w:b/>
          <w:szCs w:val="20"/>
          <w:lang w:val="en-GB"/>
        </w:rPr>
      </w:pPr>
    </w:p>
    <w:p w14:paraId="7CAC4CD9" w14:textId="4266F17F" w:rsidR="00DD67E5" w:rsidRPr="002829B8" w:rsidRDefault="002829B8" w:rsidP="009105D4">
      <w:pPr>
        <w:pStyle w:val="ListParagraph"/>
        <w:numPr>
          <w:ilvl w:val="0"/>
          <w:numId w:val="2"/>
        </w:numPr>
        <w:spacing w:line="240" w:lineRule="auto"/>
        <w:rPr>
          <w:rFonts w:cs="Arial"/>
          <w:b/>
        </w:rPr>
      </w:pPr>
      <w:r>
        <w:rPr>
          <w:b/>
        </w:rPr>
        <w:t>KUALIFIKU</w:t>
      </w:r>
      <w:r w:rsidR="0074067A">
        <w:rPr>
          <w:b/>
        </w:rPr>
        <w:t>ESHMËRIA</w:t>
      </w:r>
    </w:p>
    <w:tbl>
      <w:tblPr>
        <w:tblW w:w="4947" w:type="pct"/>
        <w:tblInd w:w="108" w:type="dxa"/>
        <w:tblLook w:val="01E0" w:firstRow="1" w:lastRow="1" w:firstColumn="1" w:lastColumn="1" w:noHBand="0" w:noVBand="0"/>
      </w:tblPr>
      <w:tblGrid>
        <w:gridCol w:w="2358"/>
        <w:gridCol w:w="7433"/>
      </w:tblGrid>
      <w:tr w:rsidR="00DD67E5" w:rsidRPr="00C73DEF" w14:paraId="51D32F42" w14:textId="77777777" w:rsidTr="00DD67E5">
        <w:trPr>
          <w:trHeight w:val="346"/>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0D1FAF" w14:textId="0DCE5248" w:rsidR="00DD67E5" w:rsidRPr="00C73DEF" w:rsidRDefault="00DD67E5">
            <w:pPr>
              <w:spacing w:after="0" w:line="240" w:lineRule="auto"/>
              <w:jc w:val="both"/>
              <w:rPr>
                <w:rFonts w:ascii="Arial" w:hAnsi="Arial" w:cs="Arial"/>
                <w:sz w:val="20"/>
                <w:szCs w:val="20"/>
              </w:rPr>
            </w:pPr>
            <w:r>
              <w:rPr>
                <w:rFonts w:ascii="Arial" w:hAnsi="Arial"/>
                <w:sz w:val="20"/>
              </w:rPr>
              <w:t>K</w:t>
            </w:r>
            <w:r w:rsidR="002829B8">
              <w:rPr>
                <w:rFonts w:ascii="Arial" w:hAnsi="Arial"/>
                <w:sz w:val="20"/>
              </w:rPr>
              <w:t xml:space="preserve">oherenca </w:t>
            </w:r>
            <w:r>
              <w:rPr>
                <w:rFonts w:ascii="Arial" w:hAnsi="Arial"/>
                <w:sz w:val="20"/>
              </w:rPr>
              <w:t xml:space="preserve">me politikat dhe strategjitë e vlefshme të BE-së </w:t>
            </w:r>
          </w:p>
        </w:tc>
        <w:tc>
          <w:tcPr>
            <w:tcW w:w="3796" w:type="pct"/>
            <w:tcBorders>
              <w:top w:val="single" w:sz="4" w:space="0" w:color="auto"/>
              <w:left w:val="single" w:sz="4" w:space="0" w:color="auto"/>
              <w:bottom w:val="single" w:sz="4" w:space="0" w:color="auto"/>
              <w:right w:val="single" w:sz="4" w:space="0" w:color="auto"/>
            </w:tcBorders>
            <w:vAlign w:val="center"/>
          </w:tcPr>
          <w:p w14:paraId="343A7B7F" w14:textId="018165E2" w:rsidR="00DD67E5" w:rsidRPr="00C73DEF" w:rsidRDefault="00DD67E5">
            <w:pPr>
              <w:jc w:val="both"/>
              <w:rPr>
                <w:rFonts w:ascii="Arial" w:hAnsi="Arial" w:cs="Arial"/>
                <w:sz w:val="20"/>
                <w:szCs w:val="20"/>
              </w:rPr>
            </w:pPr>
            <w:r>
              <w:rPr>
                <w:rFonts w:ascii="Arial" w:hAnsi="Arial"/>
                <w:b/>
                <w:sz w:val="20"/>
              </w:rPr>
              <w:t>Instrumenti për Asistencën e Para-A</w:t>
            </w:r>
            <w:r w:rsidR="00FA6DFF">
              <w:rPr>
                <w:rFonts w:ascii="Arial" w:hAnsi="Arial"/>
                <w:b/>
                <w:sz w:val="20"/>
              </w:rPr>
              <w:t>nëtarësimi</w:t>
            </w:r>
            <w:r>
              <w:rPr>
                <w:rFonts w:ascii="Arial" w:hAnsi="Arial"/>
                <w:b/>
                <w:sz w:val="20"/>
              </w:rPr>
              <w:t xml:space="preserve">t (IPA III) </w:t>
            </w:r>
            <w:r>
              <w:rPr>
                <w:rFonts w:ascii="Arial" w:hAnsi="Arial"/>
                <w:sz w:val="20"/>
              </w:rPr>
              <w:t xml:space="preserve">Korniza </w:t>
            </w:r>
            <w:r w:rsidR="00FA6DFF">
              <w:rPr>
                <w:rFonts w:ascii="Arial" w:hAnsi="Arial"/>
                <w:sz w:val="20"/>
              </w:rPr>
              <w:t>Programuese</w:t>
            </w:r>
            <w:r>
              <w:rPr>
                <w:rFonts w:ascii="Arial" w:hAnsi="Arial"/>
                <w:sz w:val="20"/>
              </w:rPr>
              <w:t xml:space="preserve"> për periudhën 2021-2027</w:t>
            </w:r>
          </w:p>
          <w:p w14:paraId="42A09998" w14:textId="77777777" w:rsidR="00DD67E5" w:rsidRPr="00C73DEF" w:rsidRDefault="00DD67E5">
            <w:pPr>
              <w:jc w:val="both"/>
              <w:rPr>
                <w:rFonts w:ascii="Arial" w:hAnsi="Arial" w:cs="Arial"/>
                <w:sz w:val="20"/>
                <w:szCs w:val="20"/>
              </w:rPr>
            </w:pPr>
            <w:r>
              <w:rPr>
                <w:rFonts w:ascii="Arial" w:hAnsi="Arial"/>
                <w:b/>
                <w:sz w:val="20"/>
              </w:rPr>
              <w:t>Dritarja 3</w:t>
            </w:r>
            <w:r>
              <w:rPr>
                <w:rFonts w:ascii="Arial" w:hAnsi="Arial"/>
                <w:sz w:val="20"/>
              </w:rPr>
              <w:t xml:space="preserve">: Agjenda e gjelbër dhe lidhshmëria e qëndrueshme </w:t>
            </w:r>
          </w:p>
          <w:p w14:paraId="47168497" w14:textId="46C9B16E" w:rsidR="00DD67E5" w:rsidRPr="00C73DEF" w:rsidRDefault="00DD67E5">
            <w:pPr>
              <w:jc w:val="both"/>
              <w:rPr>
                <w:rFonts w:ascii="Arial" w:hAnsi="Arial" w:cs="Arial"/>
                <w:b/>
                <w:bCs/>
                <w:sz w:val="20"/>
                <w:szCs w:val="20"/>
                <w:highlight w:val="yellow"/>
              </w:rPr>
            </w:pPr>
            <w:r>
              <w:rPr>
                <w:rFonts w:ascii="Arial" w:hAnsi="Arial"/>
                <w:b/>
                <w:sz w:val="20"/>
              </w:rPr>
              <w:t>Prioriteti tematik 1</w:t>
            </w:r>
            <w:r>
              <w:rPr>
                <w:rFonts w:ascii="Arial" w:hAnsi="Arial"/>
                <w:sz w:val="20"/>
              </w:rPr>
              <w:t xml:space="preserve">: Mjedisi dhe ndryshimi klimatik </w:t>
            </w:r>
          </w:p>
          <w:p w14:paraId="45E967CD" w14:textId="5C2E3A7C" w:rsidR="00DD67E5" w:rsidRPr="00C73DEF" w:rsidRDefault="00DD67E5">
            <w:pPr>
              <w:jc w:val="both"/>
              <w:rPr>
                <w:rFonts w:ascii="Arial" w:hAnsi="Arial" w:cs="Arial"/>
                <w:b/>
                <w:bCs/>
                <w:sz w:val="20"/>
                <w:szCs w:val="20"/>
              </w:rPr>
            </w:pPr>
            <w:r>
              <w:rPr>
                <w:rFonts w:ascii="Arial" w:hAnsi="Arial"/>
                <w:b/>
                <w:sz w:val="20"/>
              </w:rPr>
              <w:t>Plan</w:t>
            </w:r>
            <w:r w:rsidR="00FA6DFF">
              <w:rPr>
                <w:rFonts w:ascii="Arial" w:hAnsi="Arial"/>
                <w:b/>
                <w:sz w:val="20"/>
              </w:rPr>
              <w:t>i</w:t>
            </w:r>
            <w:bookmarkStart w:id="1" w:name="_GoBack"/>
            <w:bookmarkEnd w:id="1"/>
            <w:r>
              <w:rPr>
                <w:rFonts w:ascii="Arial" w:hAnsi="Arial"/>
                <w:b/>
                <w:sz w:val="20"/>
              </w:rPr>
              <w:t xml:space="preserve"> ekonomik dhe investiv për Ballkanin Perëndimor</w:t>
            </w:r>
          </w:p>
          <w:p w14:paraId="0055D2B2" w14:textId="1FAD0EB9" w:rsidR="00DD67E5" w:rsidRPr="003C3ED9" w:rsidRDefault="00DD67E5">
            <w:pPr>
              <w:jc w:val="both"/>
              <w:rPr>
                <w:rFonts w:ascii="Arial" w:eastAsiaTheme="minorHAnsi" w:hAnsi="Arial" w:cs="Arial"/>
                <w:bCs/>
                <w:color w:val="000000"/>
                <w:sz w:val="20"/>
                <w:szCs w:val="20"/>
              </w:rPr>
            </w:pPr>
            <w:r>
              <w:rPr>
                <w:rFonts w:ascii="Arial" w:hAnsi="Arial"/>
                <w:color w:val="000000"/>
                <w:sz w:val="20"/>
              </w:rPr>
              <w:t xml:space="preserve">Fusha prioritare VI. Gjelbërimi i Ballkanit Perëndimor – Investimi në mjedis dhe klimë; </w:t>
            </w:r>
            <w:r>
              <w:rPr>
                <w:rFonts w:ascii="Arial" w:hAnsi="Arial"/>
                <w:sz w:val="20"/>
              </w:rPr>
              <w:t xml:space="preserve">FLAGSHIP 7 – Menaxhimi i mbeturinave dhe ujërave të zeza </w:t>
            </w:r>
          </w:p>
          <w:p w14:paraId="7780A26B" w14:textId="77777777" w:rsidR="00DD67E5" w:rsidRPr="00C73DEF" w:rsidRDefault="00DD67E5">
            <w:pPr>
              <w:jc w:val="both"/>
              <w:rPr>
                <w:rFonts w:ascii="Arial" w:hAnsi="Arial" w:cs="Arial"/>
                <w:b/>
                <w:sz w:val="20"/>
                <w:szCs w:val="20"/>
              </w:rPr>
            </w:pPr>
            <w:r>
              <w:rPr>
                <w:rFonts w:ascii="Arial" w:hAnsi="Arial"/>
                <w:b/>
                <w:sz w:val="20"/>
              </w:rPr>
              <w:t xml:space="preserve">Agjenda e Gjelbër për Ballkanin Perëndimor </w:t>
            </w:r>
          </w:p>
          <w:p w14:paraId="1CE3E613" w14:textId="77777777" w:rsidR="00DD67E5" w:rsidRPr="00C73DEF" w:rsidRDefault="00DD67E5">
            <w:pPr>
              <w:jc w:val="both"/>
              <w:rPr>
                <w:rFonts w:ascii="Arial" w:hAnsi="Arial" w:cs="Arial"/>
                <w:bCs/>
                <w:sz w:val="20"/>
                <w:szCs w:val="20"/>
              </w:rPr>
            </w:pPr>
            <w:r>
              <w:rPr>
                <w:rFonts w:ascii="Arial" w:hAnsi="Arial"/>
                <w:sz w:val="20"/>
              </w:rPr>
              <w:t>Shtylla e katërt: Pastërtia: e ajrit, ujit dhe tokës; Uji Ballkani Perëndimor është shtëpia e disa prej lumenjve të fundit të pacenuar të kontinentit, por mbrojtja e tyre mbetet një sfidë.</w:t>
            </w:r>
            <w:r>
              <w:rPr>
                <w:rFonts w:ascii="Arial" w:hAnsi="Arial"/>
                <w:color w:val="252525"/>
                <w:sz w:val="20"/>
              </w:rPr>
              <w:t xml:space="preserve"> </w:t>
            </w:r>
          </w:p>
          <w:p w14:paraId="6DFE2ADC" w14:textId="74DC66FB" w:rsidR="00DD67E5" w:rsidRPr="00C73DEF" w:rsidRDefault="00DD67E5">
            <w:pPr>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4ABF3075" w14:textId="77777777" w:rsidR="00DD67E5" w:rsidRPr="00C73DEF" w:rsidRDefault="00DD67E5">
            <w:pPr>
              <w:jc w:val="both"/>
              <w:rPr>
                <w:rFonts w:ascii="Arial" w:hAnsi="Arial" w:cs="Arial"/>
                <w:sz w:val="20"/>
                <w:szCs w:val="20"/>
              </w:rPr>
            </w:pPr>
            <w:r>
              <w:rPr>
                <w:rFonts w:ascii="Arial" w:hAnsi="Arial"/>
                <w:sz w:val="20"/>
              </w:rPr>
              <w:t>Shtylla II: Konkurrueshmëria, Investimet dhe Zhvillimi i Qëndrueshëm</w:t>
            </w:r>
          </w:p>
          <w:p w14:paraId="204D33D9" w14:textId="4537C114" w:rsidR="00DD67E5" w:rsidRPr="00C73DEF" w:rsidRDefault="00DD67E5">
            <w:pPr>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 duke u fokusuar në: Reduktimi i ndotjes së ajrit dhe ujit dhe përmirësimi i menaxhimit të mbeturina.</w:t>
            </w:r>
          </w:p>
          <w:p w14:paraId="4CCAC7D9" w14:textId="4CF4638C" w:rsidR="00DD67E5" w:rsidRPr="00C73DEF" w:rsidRDefault="00961BF0">
            <w:pPr>
              <w:jc w:val="both"/>
              <w:rPr>
                <w:rFonts w:ascii="Arial" w:hAnsi="Arial" w:cs="Arial"/>
                <w:b/>
                <w:sz w:val="20"/>
                <w:szCs w:val="20"/>
              </w:rPr>
            </w:pPr>
            <w:r>
              <w:rPr>
                <w:rFonts w:ascii="Arial" w:hAnsi="Arial"/>
                <w:b/>
                <w:sz w:val="20"/>
              </w:rPr>
              <w:t>Raporti i BE-së për Kosovën (2023)</w:t>
            </w:r>
          </w:p>
          <w:p w14:paraId="328E3C70" w14:textId="0D5F3A68" w:rsidR="00DD67E5" w:rsidRPr="003C3ED9" w:rsidRDefault="00DD67E5">
            <w:pPr>
              <w:jc w:val="both"/>
              <w:rPr>
                <w:rFonts w:ascii="Arial" w:hAnsi="Arial" w:cs="Arial"/>
                <w:bCs/>
                <w:sz w:val="20"/>
                <w:szCs w:val="20"/>
              </w:rPr>
            </w:pPr>
            <w:r>
              <w:rPr>
                <w:rFonts w:ascii="Arial" w:hAnsi="Arial"/>
                <w:sz w:val="20"/>
              </w:rPr>
              <w:t xml:space="preserve">Uji: Kosova ka arritur progres të kufizuar në përafrimin e legjislacionit për ujerat me acquis të BE-së. Mekanizmi monitorues i Strategjisë së Ujërave 2017-2036 dhe zbatimi i Ligjit për Ujërat kanë nevojë për përmirësime të mëtejshme. Kosova duhet të vendosë urgjentisht sistemet e monitorimit me të dhëna në dispozicion të publikut. </w:t>
            </w:r>
          </w:p>
          <w:p w14:paraId="508770AD" w14:textId="77777777" w:rsidR="00502F50" w:rsidRPr="00C73DEF" w:rsidRDefault="00502F50" w:rsidP="00502F50">
            <w:pPr>
              <w:spacing w:after="0"/>
              <w:jc w:val="both"/>
              <w:rPr>
                <w:rFonts w:ascii="Arial" w:hAnsi="Arial" w:cs="Arial"/>
                <w:sz w:val="20"/>
                <w:szCs w:val="20"/>
                <w:shd w:val="clear" w:color="auto" w:fill="FFFFFF"/>
              </w:rPr>
            </w:pPr>
            <w:r>
              <w:rPr>
                <w:rFonts w:ascii="Arial" w:hAnsi="Arial"/>
                <w:b/>
                <w:sz w:val="20"/>
              </w:rPr>
              <w:t xml:space="preserve">Direktiva për ujin e pijes </w:t>
            </w:r>
            <w:r>
              <w:rPr>
                <w:rFonts w:ascii="Arial" w:hAnsi="Arial"/>
                <w:b/>
                <w:sz w:val="20"/>
                <w:shd w:val="clear" w:color="auto" w:fill="FFFFFF"/>
              </w:rPr>
              <w:t>2015/1787</w:t>
            </w:r>
            <w:r>
              <w:rPr>
                <w:rFonts w:ascii="Arial" w:hAnsi="Arial"/>
                <w:sz w:val="20"/>
              </w:rPr>
              <w:t xml:space="preserve"> ka të bëjë me cilësinë e </w:t>
            </w:r>
            <w:hyperlink r:id="rId10" w:tooltip="Uji i destinuar për konsum njerëzor" w:history="1">
              <w:r>
                <w:rPr>
                  <w:rFonts w:ascii="Arial" w:hAnsi="Arial"/>
                  <w:sz w:val="20"/>
                </w:rPr>
                <w:t>ujit të destinuar për konsum njerëzor</w:t>
              </w:r>
            </w:hyperlink>
            <w:r>
              <w:rPr>
                <w:rFonts w:ascii="Arial" w:hAnsi="Arial"/>
                <w:sz w:val="20"/>
              </w:rPr>
              <w:t> dhe është pjesë e rregullimit të </w:t>
            </w:r>
            <w:hyperlink r:id="rId11" w:tooltip="Furnizimi me ujë dhe kanalizime në Bashkimin Evropian" w:history="1">
              <w:r>
                <w:rPr>
                  <w:rFonts w:ascii="Arial" w:hAnsi="Arial"/>
                  <w:sz w:val="20"/>
                </w:rPr>
                <w:t>furnizimit me ujë dhe kanalizime në Bashkimin Evropian</w:t>
              </w:r>
            </w:hyperlink>
            <w:r>
              <w:rPr>
                <w:rFonts w:ascii="Arial" w:hAnsi="Arial"/>
                <w:sz w:val="20"/>
              </w:rPr>
              <w:t>.</w:t>
            </w:r>
          </w:p>
          <w:p w14:paraId="76FA903C" w14:textId="77777777" w:rsidR="00502F50" w:rsidRPr="00C73DEF" w:rsidRDefault="00502F50" w:rsidP="00502F50">
            <w:pPr>
              <w:shd w:val="clear" w:color="auto" w:fill="FFFFFF"/>
              <w:spacing w:after="0" w:line="240" w:lineRule="auto"/>
              <w:rPr>
                <w:rFonts w:ascii="Arial" w:hAnsi="Arial" w:cs="Arial"/>
                <w:sz w:val="20"/>
                <w:szCs w:val="20"/>
              </w:rPr>
            </w:pPr>
            <w:r>
              <w:rPr>
                <w:rFonts w:ascii="Arial" w:hAnsi="Arial"/>
                <w:sz w:val="20"/>
              </w:rPr>
              <w:t>Direktiva e ujit të pijes zbatohet për:</w:t>
            </w:r>
          </w:p>
          <w:p w14:paraId="15B16743" w14:textId="67685924" w:rsidR="00DD67E5" w:rsidRPr="003C3ED9" w:rsidRDefault="00502F50" w:rsidP="00EF5C2B">
            <w:pPr>
              <w:pStyle w:val="ListParagraph"/>
              <w:numPr>
                <w:ilvl w:val="0"/>
                <w:numId w:val="10"/>
              </w:numPr>
              <w:shd w:val="clear" w:color="auto" w:fill="FFFFFF"/>
              <w:spacing w:after="240" w:line="240" w:lineRule="auto"/>
              <w:jc w:val="both"/>
              <w:rPr>
                <w:rFonts w:eastAsia="Times New Roman" w:cs="Arial"/>
                <w:szCs w:val="20"/>
              </w:rPr>
            </w:pPr>
            <w:r>
              <w:lastRenderedPageBreak/>
              <w:t>Të gjitha sistemet e shpërndarjes që shërbejnë më shumë se 50 persona ose furnizojnë më shumë se 10 metër kub në ditë, por edhe sistemet e shpërndarjes që shërbejnë më pak se 50 persona/furnizimi më pak se 10 metër kub në ditë nëse uji furnizohet si pjesë e një aktiviteti ekonomik.</w:t>
            </w:r>
          </w:p>
        </w:tc>
      </w:tr>
      <w:tr w:rsidR="00DD67E5" w:rsidRPr="00C73DEF" w14:paraId="03C73C83" w14:textId="77777777" w:rsidTr="00DD67E5">
        <w:trPr>
          <w:trHeight w:val="330"/>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C8E07A" w14:textId="59DE50EB" w:rsidR="00DD67E5" w:rsidRPr="00C73DEF" w:rsidRDefault="00DD67E5">
            <w:pPr>
              <w:spacing w:after="0" w:line="240" w:lineRule="auto"/>
              <w:jc w:val="both"/>
              <w:rPr>
                <w:rFonts w:ascii="Arial" w:hAnsi="Arial" w:cs="Arial"/>
                <w:sz w:val="20"/>
                <w:szCs w:val="20"/>
              </w:rPr>
            </w:pPr>
            <w:r>
              <w:rPr>
                <w:rFonts w:ascii="Arial" w:hAnsi="Arial"/>
                <w:sz w:val="20"/>
              </w:rPr>
              <w:lastRenderedPageBreak/>
              <w:t>Kontributi në objektivat e vlefshme të zhvillimit kombëtar</w:t>
            </w:r>
          </w:p>
        </w:tc>
        <w:tc>
          <w:tcPr>
            <w:tcW w:w="3796" w:type="pct"/>
            <w:tcBorders>
              <w:top w:val="single" w:sz="4" w:space="0" w:color="auto"/>
              <w:left w:val="single" w:sz="4" w:space="0" w:color="auto"/>
              <w:bottom w:val="single" w:sz="4" w:space="0" w:color="auto"/>
              <w:right w:val="single" w:sz="4" w:space="0" w:color="auto"/>
            </w:tcBorders>
          </w:tcPr>
          <w:p w14:paraId="74D74A26" w14:textId="643F0D77" w:rsidR="00C24A3E" w:rsidRDefault="00DD67E5">
            <w:pPr>
              <w:jc w:val="both"/>
              <w:rPr>
                <w:rFonts w:ascii="Arial" w:hAnsi="Arial" w:cs="Arial"/>
                <w:b/>
                <w:bCs/>
                <w:sz w:val="20"/>
                <w:szCs w:val="20"/>
              </w:rPr>
            </w:pPr>
            <w:r>
              <w:rPr>
                <w:rFonts w:ascii="Arial" w:hAnsi="Arial"/>
                <w:b/>
                <w:sz w:val="20"/>
              </w:rPr>
              <w:t>Programi i Reformave Ekonomike (PRE) 2024 – 2026</w:t>
            </w:r>
          </w:p>
          <w:p w14:paraId="534FEB1C" w14:textId="4CCA4567" w:rsidR="002C2D74" w:rsidRPr="005D7AD2" w:rsidRDefault="002C2D74" w:rsidP="002C2D74">
            <w:pPr>
              <w:jc w:val="both"/>
              <w:rPr>
                <w:rFonts w:ascii="Arial" w:hAnsi="Arial" w:cs="Arial"/>
                <w:bCs/>
                <w:sz w:val="20"/>
                <w:szCs w:val="20"/>
              </w:rPr>
            </w:pPr>
            <w:r>
              <w:rPr>
                <w:rFonts w:ascii="Arial" w:hAnsi="Arial"/>
                <w:sz w:val="20"/>
              </w:rPr>
              <w:t xml:space="preserve">Në çështjet mjedisore, ndotja e ajrit, ndotja e ujit dhe kërcënimet nga pasiguria e ujit në aspektin e disponueshmërisë, menaxhimit të mbeturinave të rrezikshme dhe komunale, degradimi i pyjeve dhe ndotja e tokës nga minierat dhe aktivitetet e tjera industriale janë ndër sfidat e shumta mjedisore të Kosovës që dikur kanë një ndikim negativ të thellë në mirëqenien e qytetarëve të Kosovës dhe produktivitetin e biznesit të saj. </w:t>
            </w:r>
          </w:p>
          <w:p w14:paraId="7316411E" w14:textId="0CBBFF5C" w:rsidR="00DD67E5" w:rsidRPr="005D7AD2" w:rsidRDefault="00C24A3E">
            <w:pPr>
              <w:jc w:val="both"/>
              <w:rPr>
                <w:rFonts w:ascii="Arial" w:hAnsi="Arial" w:cs="Arial"/>
                <w:bCs/>
                <w:sz w:val="20"/>
                <w:szCs w:val="20"/>
              </w:rPr>
            </w:pPr>
            <w:r>
              <w:rPr>
                <w:rFonts w:ascii="Arial" w:hAnsi="Arial"/>
                <w:sz w:val="20"/>
              </w:rPr>
              <w:t>Sasia e vogël e ujërave në rrjedhat ujore lokale, ku sasia vjetore mesatare është më e vogël se 100 m</w:t>
            </w:r>
            <w:r>
              <w:rPr>
                <w:rFonts w:ascii="Arial" w:hAnsi="Arial"/>
                <w:sz w:val="20"/>
                <w:vertAlign w:val="superscript"/>
              </w:rPr>
              <w:t>3</w:t>
            </w:r>
            <w:r>
              <w:rPr>
                <w:rFonts w:ascii="Arial" w:hAnsi="Arial"/>
                <w:sz w:val="20"/>
              </w:rPr>
              <w:t>/s, nënkupton nevojën për ndërtimin e Impianteve të Trajtimit të Ujërave të Zeza Urbane dhe Industriale (ITUZ). Aktualisht, janë 5 ITUZ në funksion (Skënderaj, Prizren, Junik, Pejë dhe Gjakovë). Përveç ITUZ urbane, ka edhe 13 impiante të vogla në disa zona rurale. Komuna e Prishtinës është në proces të kompletimit të dokumentacionit për fillimin e punimeve të ndërtimit të impiantit rajonal për trajtimin e ujërave të zeza (përfshirë komunën e Fushë Kosovës, Obiliqit dhe Graçanicës).</w:t>
            </w:r>
          </w:p>
          <w:p w14:paraId="78E84FA4" w14:textId="77777777" w:rsidR="003C3ED9" w:rsidRDefault="00DD67E5" w:rsidP="003C3ED9">
            <w:pPr>
              <w:spacing w:after="0"/>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5E903515" w14:textId="06E777B7" w:rsidR="003C3ED9" w:rsidRPr="003C3ED9" w:rsidRDefault="003C3ED9" w:rsidP="003C3ED9">
            <w:pPr>
              <w:spacing w:after="0"/>
              <w:jc w:val="both"/>
              <w:rPr>
                <w:rFonts w:ascii="Arial" w:hAnsi="Arial" w:cs="Arial"/>
                <w:b/>
                <w:color w:val="70AD47" w:themeColor="accent6"/>
                <w:sz w:val="20"/>
                <w:szCs w:val="20"/>
              </w:rPr>
            </w:pPr>
            <w:r>
              <w:rPr>
                <w:rFonts w:ascii="Arial" w:hAnsi="Arial"/>
                <w:sz w:val="20"/>
              </w:rPr>
              <w:t>Shtylla 1: Zhvillimi i Qëndrueshëm Ekonomik</w:t>
            </w:r>
          </w:p>
          <w:p w14:paraId="5D515991" w14:textId="77777777" w:rsidR="003C3ED9" w:rsidRDefault="003C3ED9" w:rsidP="003C3ED9">
            <w:pPr>
              <w:pStyle w:val="ListParagraph"/>
              <w:numPr>
                <w:ilvl w:val="1"/>
                <w:numId w:val="11"/>
              </w:numPr>
              <w:jc w:val="both"/>
              <w:rPr>
                <w:rFonts w:eastAsiaTheme="majorEastAsia" w:cs="Arial"/>
                <w:szCs w:val="20"/>
              </w:rPr>
            </w:pPr>
            <w:bookmarkStart w:id="2" w:name="_Toc104816800"/>
            <w:bookmarkStart w:id="3" w:name="_Toc104504632"/>
            <w:r>
              <w:t>Ekonomi inovative, qarkore dhe konkurruese</w:t>
            </w:r>
            <w:bookmarkStart w:id="4" w:name="_Toc104816801"/>
            <w:bookmarkEnd w:id="2"/>
            <w:bookmarkEnd w:id="3"/>
          </w:p>
          <w:p w14:paraId="14E601F2" w14:textId="77777777" w:rsidR="003C3ED9" w:rsidRDefault="003C3ED9" w:rsidP="003C3ED9">
            <w:pPr>
              <w:pStyle w:val="ListParagraph"/>
              <w:numPr>
                <w:ilvl w:val="1"/>
                <w:numId w:val="11"/>
              </w:numPr>
              <w:jc w:val="both"/>
              <w:rPr>
                <w:rFonts w:asciiTheme="minorHAnsi" w:eastAsiaTheme="majorEastAsia" w:hAnsiTheme="minorHAnsi" w:cs="Arial"/>
                <w:sz w:val="22"/>
                <w:szCs w:val="20"/>
              </w:rPr>
            </w:pPr>
            <w:r>
              <w:t>Infrastrukturë me cilësi të lartë, të qëndrueshme dhe të integruar</w:t>
            </w:r>
            <w:bookmarkStart w:id="5" w:name="_Toc104816802"/>
            <w:bookmarkStart w:id="6" w:name="_Toc104504634"/>
            <w:bookmarkEnd w:id="4"/>
          </w:p>
          <w:p w14:paraId="2A5E8CED" w14:textId="39C412BC" w:rsidR="003C3ED9" w:rsidRPr="003C3ED9" w:rsidRDefault="003C3ED9" w:rsidP="003C3ED9">
            <w:pPr>
              <w:pStyle w:val="ListParagraph"/>
              <w:numPr>
                <w:ilvl w:val="1"/>
                <w:numId w:val="11"/>
              </w:numPr>
              <w:jc w:val="both"/>
              <w:rPr>
                <w:rFonts w:eastAsiaTheme="majorEastAsia" w:cs="Arial"/>
                <w:szCs w:val="20"/>
              </w:rPr>
            </w:pPr>
            <w:r>
              <w:t>Mjedis i pastër dhe shfrytëzim i qëndrueshëm i burimeve natyrore</w:t>
            </w:r>
            <w:bookmarkEnd w:id="5"/>
            <w:bookmarkEnd w:id="6"/>
          </w:p>
          <w:p w14:paraId="0B38C4DE" w14:textId="77777777" w:rsidR="00DD67E5" w:rsidRPr="00C73DEF" w:rsidRDefault="00DD67E5">
            <w:pPr>
              <w:jc w:val="both"/>
              <w:rPr>
                <w:rFonts w:ascii="Arial" w:eastAsiaTheme="minorEastAsia"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Fonts w:ascii="Arial" w:hAnsi="Arial"/>
                <w:sz w:val="20"/>
              </w:rPr>
              <w:t>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w:t>
            </w:r>
            <w:r>
              <w:rPr>
                <w:rFonts w:ascii="Arial" w:hAnsi="Arial"/>
                <w:b/>
                <w:sz w:val="20"/>
              </w:rPr>
              <w:t xml:space="preserve"> </w:t>
            </w:r>
            <w:r>
              <w:rPr>
                <w:rFonts w:ascii="Arial" w:hAnsi="Arial"/>
                <w:sz w:val="20"/>
              </w:rPr>
              <w:t>dhe zhvillimi i integruar territorial.</w:t>
            </w:r>
          </w:p>
          <w:p w14:paraId="44221F0B" w14:textId="4C0D0A8C" w:rsidR="00DD67E5" w:rsidRPr="00C73DEF" w:rsidRDefault="00DD67E5">
            <w:pPr>
              <w:jc w:val="both"/>
              <w:rPr>
                <w:rFonts w:ascii="Arial" w:eastAsiaTheme="minorEastAsia" w:hAnsi="Arial" w:cs="Arial"/>
                <w:sz w:val="20"/>
                <w:szCs w:val="20"/>
              </w:rPr>
            </w:pPr>
            <w:r>
              <w:rPr>
                <w:rFonts w:ascii="Arial" w:hAnsi="Arial"/>
                <w:b/>
                <w:color w:val="222222"/>
                <w:sz w:val="20"/>
                <w:shd w:val="clear" w:color="auto" w:fill="FFFFFF"/>
              </w:rPr>
              <w:t xml:space="preserve">Programi Kombëtar për Integrimin në BE (2023-2027), </w:t>
            </w:r>
            <w:r>
              <w:rPr>
                <w:rFonts w:ascii="Arial" w:hAnsi="Arial"/>
                <w:color w:val="222222"/>
                <w:sz w:val="20"/>
                <w:shd w:val="clear" w:color="auto" w:fill="FFFFFF"/>
              </w:rPr>
              <w:t xml:space="preserve">është dokumenti kryesor strategjik i Republikës së Kosovës për zbatimin e reformave për integrim në Bashkimin Evropian (BE), i orientuar drejt miratimit të acquis të BE-së në legjislacionin kombëtar dhe zbatimit të tij. Ai përfshin gjithashtu veprime në lidhje me zbatimin e masave afatmesme që adresojnë kërkesat bazuar në kapitullin 27 (Mjedisi) të acquis të BE-së. </w:t>
            </w:r>
            <w:r>
              <w:rPr>
                <w:rFonts w:ascii="Arial" w:hAnsi="Arial"/>
                <w:b/>
                <w:color w:val="222222"/>
                <w:sz w:val="20"/>
                <w:shd w:val="clear" w:color="auto" w:fill="FFFFFF"/>
              </w:rPr>
              <w:t>Kapitulli 27-</w:t>
            </w:r>
            <w:r>
              <w:rPr>
                <w:rFonts w:ascii="Arial" w:hAnsi="Arial"/>
                <w:color w:val="222222"/>
                <w:sz w:val="20"/>
                <w:shd w:val="clear" w:color="auto" w:fill="FFFFFF"/>
              </w:rPr>
              <w:t xml:space="preserve">Promovimi i zhvillimit të qëndrueshëm dhe mbrojtja e mjedisit janë objektivat e politikave të BE-së në këtë kapitull. Ai bazohet në veprimet parandaluese, përkatësisht parimin “ndotësi paguan”, luftimi i dëmit mjedisor në burim, përgjegjësia e përbashkët dhe integrimi i mbrojtjes së mjedisit në politika të tjera. </w:t>
            </w:r>
          </w:p>
          <w:p w14:paraId="6C0DC9CD" w14:textId="31836358" w:rsidR="00DD67E5" w:rsidRPr="00C73DEF" w:rsidRDefault="00DD67E5">
            <w:pPr>
              <w:jc w:val="both"/>
              <w:rPr>
                <w:rFonts w:ascii="Arial" w:eastAsiaTheme="minorEastAsia" w:hAnsi="Arial" w:cs="Arial"/>
                <w:spacing w:val="-1"/>
                <w:w w:val="105"/>
                <w:sz w:val="20"/>
                <w:szCs w:val="20"/>
              </w:rPr>
            </w:pPr>
            <w:r>
              <w:rPr>
                <w:rFonts w:ascii="Arial" w:hAnsi="Arial"/>
                <w:b/>
                <w:sz w:val="20"/>
              </w:rPr>
              <w:t>Programi i Qeverisë së Republikës së Kosovës 2021-2025</w:t>
            </w:r>
            <w:r>
              <w:rPr>
                <w:rFonts w:ascii="Arial" w:hAnsi="Arial"/>
                <w:sz w:val="20"/>
              </w:rPr>
              <w:t xml:space="preserve"> </w:t>
            </w:r>
          </w:p>
          <w:p w14:paraId="14CFD5D0" w14:textId="77777777" w:rsidR="003C3ED9" w:rsidRDefault="00DD67E5">
            <w:pPr>
              <w:jc w:val="both"/>
              <w:rPr>
                <w:rFonts w:ascii="Arial" w:eastAsiaTheme="minorEastAsia" w:hAnsi="Arial" w:cs="Arial"/>
                <w:sz w:val="20"/>
                <w:szCs w:val="20"/>
              </w:rPr>
            </w:pPr>
            <w:r>
              <w:rPr>
                <w:rFonts w:ascii="Arial" w:hAnsi="Arial"/>
                <w:sz w:val="20"/>
              </w:rPr>
              <w:t>2.12.3 Menaxhimi i ujërave dhe zhvillimi i infrastrukturës</w:t>
            </w:r>
          </w:p>
          <w:p w14:paraId="70B8FCCD" w14:textId="7CE2687F" w:rsidR="00DD67E5" w:rsidRPr="003C3ED9" w:rsidRDefault="00DD67E5">
            <w:pPr>
              <w:jc w:val="both"/>
              <w:rPr>
                <w:rFonts w:ascii="Arial" w:eastAsiaTheme="minorEastAsia" w:hAnsi="Arial" w:cs="Arial"/>
                <w:sz w:val="20"/>
                <w:szCs w:val="20"/>
              </w:rPr>
            </w:pPr>
            <w:r>
              <w:rPr>
                <w:rFonts w:ascii="Arial" w:hAnsi="Arial"/>
                <w:sz w:val="20"/>
              </w:rPr>
              <w:t xml:space="preserve">Menaxhimi efektiv i burimeve ujore është parakusht për sigurimin e ujit në sasi të mjaftueshme, në cilësinë e duhur dhe në kohën dhe vendin e duhur, për nevojat e popullatës dhe zhvillimin ekonomik. Për rrjedhojë, menaxhimi efektiv i burimeve ujore është i një rëndësie themelore për mirëqenien sociale dhe zhvillimin e qëndrueshëm të çdo vendi. Për të arritur objektivat bazë lidhur me menaxhimin e burimeve ujore, që janë mbrojtja e ujit, 36 mbrojtje nga veprimet e dëmshme ujore dhe përdorimi efikas i ujit, ne do të përmirësojmë kornizën ligjore të ujit, i cili </w:t>
            </w:r>
            <w:r>
              <w:rPr>
                <w:rFonts w:ascii="Arial" w:hAnsi="Arial"/>
                <w:sz w:val="20"/>
              </w:rPr>
              <w:lastRenderedPageBreak/>
              <w:t>përfshin rishikimin e ligjit për ujërat ose hartimin e një ligji të ri, plotësimin e akteve nënligjore që kërkohen për zbatimin e ligjit, veçanërisht për koncesionet dhe hartimin e ligjit për financimin e burimeve ujore.</w:t>
            </w:r>
          </w:p>
        </w:tc>
      </w:tr>
      <w:tr w:rsidR="00DD67E5" w:rsidRPr="00C73DEF" w14:paraId="172FA844" w14:textId="77777777" w:rsidTr="00DD67E5">
        <w:trPr>
          <w:trHeight w:val="330"/>
        </w:trPr>
        <w:tc>
          <w:tcPr>
            <w:tcW w:w="12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6920C5" w14:textId="77777777" w:rsidR="00DD67E5" w:rsidRPr="00C73DEF" w:rsidRDefault="00DD67E5">
            <w:pPr>
              <w:spacing w:after="0" w:line="240" w:lineRule="auto"/>
              <w:jc w:val="both"/>
              <w:rPr>
                <w:rFonts w:ascii="Arial" w:eastAsiaTheme="minorHAnsi"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3796" w:type="pct"/>
            <w:tcBorders>
              <w:top w:val="single" w:sz="4" w:space="0" w:color="auto"/>
              <w:left w:val="single" w:sz="4" w:space="0" w:color="auto"/>
              <w:bottom w:val="single" w:sz="4" w:space="0" w:color="auto"/>
              <w:right w:val="single" w:sz="4" w:space="0" w:color="auto"/>
            </w:tcBorders>
          </w:tcPr>
          <w:p w14:paraId="1AAC85C0" w14:textId="22D26791" w:rsidR="00B35D80" w:rsidRPr="00C73DEF" w:rsidRDefault="00B35D80" w:rsidP="00B35D80">
            <w:pPr>
              <w:autoSpaceDE w:val="0"/>
              <w:autoSpaceDN w:val="0"/>
              <w:adjustRightInd w:val="0"/>
              <w:spacing w:after="0" w:line="240" w:lineRule="auto"/>
              <w:jc w:val="both"/>
              <w:rPr>
                <w:rFonts w:ascii="Arial" w:hAnsi="Arial" w:cs="Arial"/>
                <w:b/>
                <w:sz w:val="20"/>
                <w:szCs w:val="20"/>
              </w:rPr>
            </w:pPr>
            <w:r>
              <w:rPr>
                <w:rFonts w:ascii="Arial" w:hAnsi="Arial"/>
                <w:b/>
                <w:sz w:val="20"/>
              </w:rPr>
              <w:t>Shqyrtimi i Strategjisë Shtetërore për Ujëra 2023 – 2027 dhe Planit të Veprimit 2023 - 2025</w:t>
            </w:r>
          </w:p>
          <w:p w14:paraId="2EE6C088" w14:textId="7DEAF04C" w:rsidR="00B35D80" w:rsidRPr="00C73DEF" w:rsidRDefault="00B35D80" w:rsidP="00B35D80">
            <w:pPr>
              <w:autoSpaceDE w:val="0"/>
              <w:autoSpaceDN w:val="0"/>
              <w:adjustRightInd w:val="0"/>
              <w:spacing w:after="0" w:line="240" w:lineRule="auto"/>
              <w:jc w:val="both"/>
              <w:rPr>
                <w:rFonts w:ascii="Arial" w:hAnsi="Arial" w:cs="Arial"/>
                <w:sz w:val="20"/>
                <w:szCs w:val="20"/>
              </w:rPr>
            </w:pPr>
            <w:r>
              <w:rPr>
                <w:rFonts w:ascii="Arial" w:hAnsi="Arial"/>
                <w:sz w:val="20"/>
              </w:rPr>
              <w:t>Rishikimi i Strategjisë Shtetërore për Ujëra 2023-2027 synon menaxhimin sa më efektiv të burimeve ujore për të siguruar sasinë e ujit dhe cilësinë e duhur të tij, për nevojat e popullsisë dhe zhvillimin ekonomik. Ai përcakton objektivat specifike të burimeve ujore, duke filluar nga gjendja ekzistuese e sektorit të ujit, duke detajuar kërkesat, strukturat menaxhuese, kërkesat për mbrojtjen dhe përmirësimin e gjendjes së cilësisë së ujit dhe mbrojtjen nga uji.</w:t>
            </w:r>
          </w:p>
          <w:p w14:paraId="6574F7CC" w14:textId="77777777" w:rsidR="00B35D80" w:rsidRPr="00C73DEF" w:rsidRDefault="00B35D80" w:rsidP="00B35D80">
            <w:pPr>
              <w:autoSpaceDE w:val="0"/>
              <w:autoSpaceDN w:val="0"/>
              <w:adjustRightInd w:val="0"/>
              <w:spacing w:after="0" w:line="240" w:lineRule="auto"/>
              <w:jc w:val="both"/>
              <w:rPr>
                <w:rFonts w:ascii="Arial" w:hAnsi="Arial" w:cs="Arial"/>
                <w:sz w:val="20"/>
                <w:szCs w:val="20"/>
              </w:rPr>
            </w:pPr>
          </w:p>
          <w:p w14:paraId="53533782" w14:textId="77777777" w:rsidR="00B35D80" w:rsidRPr="00C73DEF" w:rsidRDefault="00B35D80" w:rsidP="00B35D80">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Objektivat strategjikë janë riformuluar në kuadër të periudhës 5-vjeçare: </w:t>
            </w:r>
          </w:p>
          <w:p w14:paraId="3A854D5E" w14:textId="77777777" w:rsidR="00B35D80" w:rsidRPr="00C73DEF" w:rsidRDefault="00B35D80" w:rsidP="00B35D80">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Objektivi 1 - Përmirësimi i menaxhimit të ujit dhe konsolidimi i kornizës institucionale; </w:t>
            </w:r>
          </w:p>
          <w:p w14:paraId="26F5F281" w14:textId="77777777" w:rsidR="00B35D80" w:rsidRPr="00C73DEF" w:rsidRDefault="00B35D80" w:rsidP="00B35D80">
            <w:pPr>
              <w:autoSpaceDE w:val="0"/>
              <w:autoSpaceDN w:val="0"/>
              <w:adjustRightInd w:val="0"/>
              <w:spacing w:after="0" w:line="240" w:lineRule="auto"/>
              <w:jc w:val="both"/>
              <w:rPr>
                <w:rFonts w:ascii="Arial" w:hAnsi="Arial" w:cs="Arial"/>
                <w:sz w:val="20"/>
                <w:szCs w:val="20"/>
              </w:rPr>
            </w:pPr>
            <w:r>
              <w:rPr>
                <w:rFonts w:ascii="Arial" w:hAnsi="Arial"/>
                <w:sz w:val="20"/>
              </w:rPr>
              <w:t xml:space="preserve">Objektivi 2 - Siguria afatgjatë e ujit për përdoruesit dhe siguria e digave ekzistuese; Objektivi 3 - Mbrojtja e burimeve ujore dhe mbrojtja nga uji, sigurimi i mbrojtjes së ekosistemit dhe popullsisë; </w:t>
            </w:r>
          </w:p>
          <w:p w14:paraId="44651328" w14:textId="77777777" w:rsidR="00B35D80" w:rsidRPr="00C73DEF" w:rsidRDefault="00B35D80" w:rsidP="00B35D80">
            <w:pPr>
              <w:autoSpaceDE w:val="0"/>
              <w:autoSpaceDN w:val="0"/>
              <w:adjustRightInd w:val="0"/>
              <w:spacing w:after="0" w:line="240" w:lineRule="auto"/>
              <w:jc w:val="both"/>
              <w:rPr>
                <w:rFonts w:ascii="Arial" w:hAnsi="Arial" w:cs="Arial"/>
                <w:sz w:val="20"/>
                <w:szCs w:val="20"/>
              </w:rPr>
            </w:pPr>
            <w:r>
              <w:rPr>
                <w:rFonts w:ascii="Arial" w:hAnsi="Arial"/>
                <w:sz w:val="20"/>
              </w:rPr>
              <w:t>Objektivi 4 - Përmirësimi i besueshmërisë dhe cilësisë së shërbimeve të ujit.</w:t>
            </w:r>
          </w:p>
          <w:p w14:paraId="537279A8" w14:textId="326300C2" w:rsidR="00DD67E5" w:rsidRPr="00C73DEF" w:rsidRDefault="00DD67E5">
            <w:pPr>
              <w:autoSpaceDE w:val="0"/>
              <w:autoSpaceDN w:val="0"/>
              <w:adjustRightInd w:val="0"/>
              <w:spacing w:after="0" w:line="240" w:lineRule="auto"/>
              <w:jc w:val="both"/>
              <w:rPr>
                <w:rFonts w:ascii="Arial" w:hAnsi="Arial" w:cs="Arial"/>
                <w:color w:val="000000"/>
                <w:sz w:val="20"/>
                <w:szCs w:val="20"/>
              </w:rPr>
            </w:pPr>
          </w:p>
          <w:p w14:paraId="69B1F26D" w14:textId="77777777" w:rsidR="00DD67E5" w:rsidRPr="00C73DEF" w:rsidRDefault="00DD67E5">
            <w:pPr>
              <w:autoSpaceDE w:val="0"/>
              <w:autoSpaceDN w:val="0"/>
              <w:adjustRightInd w:val="0"/>
              <w:spacing w:after="0" w:line="240" w:lineRule="auto"/>
              <w:jc w:val="both"/>
              <w:rPr>
                <w:rFonts w:ascii="Arial" w:eastAsiaTheme="minorHAnsi" w:hAnsi="Arial" w:cs="Arial"/>
                <w:b/>
                <w:bCs/>
                <w:sz w:val="20"/>
                <w:szCs w:val="20"/>
              </w:rPr>
            </w:pPr>
            <w:r>
              <w:rPr>
                <w:rFonts w:ascii="Arial" w:hAnsi="Arial"/>
                <w:b/>
                <w:sz w:val="20"/>
              </w:rPr>
              <w:t>Strategjia e Ndryshimeve Klimatike 2019-2028 dhe Plani i Veprimit 2019-2021</w:t>
            </w:r>
          </w:p>
          <w:p w14:paraId="6AAE3BFA" w14:textId="52F70274" w:rsidR="00DD67E5" w:rsidRPr="00C73DEF" w:rsidRDefault="00DD67E5">
            <w:pPr>
              <w:autoSpaceDE w:val="0"/>
              <w:autoSpaceDN w:val="0"/>
              <w:adjustRightInd w:val="0"/>
              <w:spacing w:after="0" w:line="240" w:lineRule="auto"/>
              <w:jc w:val="both"/>
              <w:rPr>
                <w:rFonts w:ascii="Arial" w:hAnsi="Arial" w:cs="Arial"/>
                <w:sz w:val="20"/>
                <w:szCs w:val="20"/>
              </w:rPr>
            </w:pPr>
            <w:r>
              <w:rPr>
                <w:rFonts w:ascii="Arial" w:hAnsi="Arial"/>
                <w:b/>
                <w:sz w:val="20"/>
              </w:rPr>
              <w:t>Burimet ujore</w:t>
            </w:r>
            <w:r>
              <w:rPr>
                <w:rFonts w:ascii="Arial" w:hAnsi="Arial"/>
                <w:sz w:val="20"/>
              </w:rPr>
              <w:t>; Cilësia e ujit të lumenjve në Kosovë është e dobët për shkak të mungesës së impianteve për trajtimin e ujërave të zeza, depozitimit të mbeturinave përgjatë/ose afër brigjeve të lumenjve, mirëmbajtjes së dobët ose mungesës së shtretërve të lumenjve.</w:t>
            </w:r>
          </w:p>
          <w:p w14:paraId="393FD3BE" w14:textId="1D371821" w:rsidR="00DD67E5" w:rsidRPr="00C73DEF" w:rsidRDefault="00DD67E5">
            <w:pPr>
              <w:spacing w:after="0"/>
              <w:jc w:val="both"/>
              <w:rPr>
                <w:rFonts w:ascii="Arial" w:hAnsi="Arial" w:cs="Arial"/>
                <w:sz w:val="20"/>
                <w:szCs w:val="20"/>
              </w:rPr>
            </w:pPr>
            <w:r>
              <w:rPr>
                <w:rFonts w:ascii="Arial" w:hAnsi="Arial"/>
                <w:sz w:val="20"/>
              </w:rPr>
              <w:t>Zakonisht cilësia e lumenjve në rrjedhën e sipërme përbën një habitat ujor të shëndetshëm dhe plotëson standardet mjedisore. Disa nga lumenjtë kryesorë në rrjedhën e poshtme të komunave dhe industrive më të mëdha janë shumë të ndotur dhe uji nuk mund të përdoret për furnizim me ujë ose për qëllime ujitjeje. Lumenjtë kryesorë në Kosovë i përkasin kategorisë së ndotjes 2 dhe 3, ndërsa Lumi Sitnica është kategorizuar si "lum i vdekur".</w:t>
            </w:r>
          </w:p>
          <w:p w14:paraId="16DD0DD0" w14:textId="3EB9086C" w:rsidR="00B644BF" w:rsidRPr="00C73DEF" w:rsidRDefault="00B644BF" w:rsidP="003C3ED9">
            <w:pPr>
              <w:pStyle w:val="TableParagraph"/>
              <w:ind w:left="0" w:right="93"/>
              <w:jc w:val="both"/>
              <w:rPr>
                <w:b/>
                <w:bCs/>
                <w:sz w:val="20"/>
                <w:szCs w:val="20"/>
              </w:rPr>
            </w:pPr>
            <w:r>
              <w:rPr>
                <w:b/>
                <w:sz w:val="20"/>
              </w:rPr>
              <w:t>Plani Investiv Afatgjatë 2019 - 2028 i KRU Gjakovës.</w:t>
            </w:r>
          </w:p>
          <w:p w14:paraId="3967B0D7" w14:textId="69D1155D" w:rsidR="00B644BF" w:rsidRPr="00C73DEF" w:rsidRDefault="00B644BF" w:rsidP="003C3ED9">
            <w:pPr>
              <w:pStyle w:val="TableParagraph"/>
              <w:ind w:left="0" w:right="93"/>
              <w:jc w:val="both"/>
              <w:rPr>
                <w:sz w:val="20"/>
                <w:szCs w:val="20"/>
              </w:rPr>
            </w:pPr>
            <w:r>
              <w:rPr>
                <w:sz w:val="20"/>
              </w:rPr>
              <w:t xml:space="preserve">Planet afatgjata të investimeve parashikojnë ndërhyrje në rrjetin dalës që do të mundësojë: Reduktimin e humbjeve, rrjedhjeve të ujit që ndodhin në pjesë të ndryshme të rrjetit; </w:t>
            </w:r>
          </w:p>
          <w:p w14:paraId="60AAE568" w14:textId="41A8D6B5" w:rsidR="00DD67E5" w:rsidRPr="003C3ED9" w:rsidRDefault="00B644BF" w:rsidP="003C3ED9">
            <w:pPr>
              <w:pStyle w:val="TableParagraph"/>
              <w:ind w:left="0" w:right="93"/>
              <w:jc w:val="both"/>
              <w:rPr>
                <w:sz w:val="20"/>
                <w:szCs w:val="20"/>
              </w:rPr>
            </w:pPr>
            <w:r>
              <w:rPr>
                <w:sz w:val="20"/>
              </w:rPr>
              <w:t xml:space="preserve">Reduktimin e potencialit të ujit të ndotur në tubacione; dhe reduktimin e ndërhyrjeve për riparimin e rrjetit (aktualisht rreth 2500-3000 në vit).  </w:t>
            </w:r>
          </w:p>
        </w:tc>
      </w:tr>
    </w:tbl>
    <w:p w14:paraId="157E3D90" w14:textId="0BC34262" w:rsidR="006F1611" w:rsidRPr="00C73DEF" w:rsidRDefault="006F1611">
      <w:pPr>
        <w:spacing w:after="0" w:line="240" w:lineRule="auto"/>
        <w:rPr>
          <w:rFonts w:ascii="Arial" w:hAnsi="Arial" w:cs="Arial"/>
        </w:rPr>
      </w:pPr>
    </w:p>
    <w:p w14:paraId="13110FAC" w14:textId="77777777" w:rsidR="006F1611" w:rsidRPr="00C73DEF" w:rsidRDefault="0074067A" w:rsidP="00D8184A">
      <w:pPr>
        <w:pStyle w:val="ListParagraph"/>
        <w:numPr>
          <w:ilvl w:val="0"/>
          <w:numId w:val="2"/>
        </w:numPr>
        <w:spacing w:before="200" w:after="120"/>
        <w:rPr>
          <w:rFonts w:cs="Arial"/>
          <w:b/>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128F1" w:rsidRPr="00C73DEF" w14:paraId="6E34FB13"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92E3AC" w14:textId="77777777" w:rsidR="007128F1" w:rsidRPr="00C73DEF" w:rsidRDefault="007128F1" w:rsidP="007128F1">
            <w:pPr>
              <w:spacing w:after="0" w:line="240" w:lineRule="auto"/>
              <w:rPr>
                <w:rFonts w:ascii="Arial" w:hAnsi="Arial" w:cs="Arial"/>
                <w:sz w:val="20"/>
                <w:szCs w:val="20"/>
              </w:rPr>
            </w:pPr>
            <w:r>
              <w:rPr>
                <w:rFonts w:ascii="Arial" w:hAnsi="Arial"/>
                <w:b/>
                <w:sz w:val="20"/>
              </w:rPr>
              <w:t>Shpjegoni veçoritë e projektit në lidhje me:</w:t>
            </w:r>
          </w:p>
        </w:tc>
      </w:tr>
      <w:tr w:rsidR="00714EE7" w:rsidRPr="00C73DEF" w14:paraId="39794BA7"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190ED96" w14:textId="0751D6B1" w:rsidR="00714EE7" w:rsidRPr="00C73DEF" w:rsidRDefault="004D00F4" w:rsidP="00714EE7">
            <w:pPr>
              <w:spacing w:after="0" w:line="240" w:lineRule="auto"/>
              <w:rPr>
                <w:rFonts w:ascii="Arial" w:hAnsi="Arial" w:cs="Arial"/>
                <w:sz w:val="20"/>
                <w:szCs w:val="20"/>
              </w:rPr>
            </w:pPr>
            <w:r>
              <w:rPr>
                <w:rFonts w:ascii="Arial" w:hAnsi="Arial"/>
                <w:sz w:val="20"/>
              </w:rPr>
              <w:t xml:space="preserve">Përfitimet e </w:t>
            </w:r>
            <w:r w:rsidR="00714EE7">
              <w:rPr>
                <w:rFonts w:ascii="Arial" w:hAnsi="Arial"/>
                <w:sz w:val="20"/>
              </w:rPr>
              <w:t xml:space="preserve"> drejtpërdrejta për mjedisin</w:t>
            </w:r>
          </w:p>
        </w:tc>
        <w:tc>
          <w:tcPr>
            <w:tcW w:w="2989" w:type="pct"/>
            <w:tcBorders>
              <w:top w:val="single" w:sz="4" w:space="0" w:color="auto"/>
              <w:left w:val="single" w:sz="4" w:space="0" w:color="auto"/>
              <w:bottom w:val="single" w:sz="4" w:space="0" w:color="auto"/>
              <w:right w:val="single" w:sz="4" w:space="0" w:color="auto"/>
            </w:tcBorders>
          </w:tcPr>
          <w:p w14:paraId="21E46E34" w14:textId="2A023ABC" w:rsidR="00B35E36" w:rsidRPr="00C73DEF" w:rsidRDefault="00B35E36" w:rsidP="00B35E36">
            <w:pPr>
              <w:jc w:val="both"/>
              <w:rPr>
                <w:sz w:val="20"/>
                <w:szCs w:val="20"/>
              </w:rPr>
            </w:pPr>
            <w:r>
              <w:rPr>
                <w:rFonts w:ascii="Arial" w:hAnsi="Arial"/>
                <w:sz w:val="20"/>
              </w:rPr>
              <w:t xml:space="preserve">Menaxhimi efektiv i burimeve ujore është parakusht për sigurimin e ujit në sasi të mjaftueshme, në cilësinë e duhur dhe në kohën dhe vendin e duhur, për nevojat e popullatës. Ky projekt </w:t>
            </w:r>
            <w:r>
              <w:rPr>
                <w:rFonts w:ascii="Arial" w:hAnsi="Arial"/>
                <w:color w:val="222222"/>
                <w:sz w:val="20"/>
                <w:shd w:val="clear" w:color="auto" w:fill="FFFFFF"/>
              </w:rPr>
              <w:t>bazohet në veprimet parandaluese, përkatësisht parimin “ndotësi paguan”, luftimi i dëmit mjedisor në burim, përgjegjësia e përbashkët dhe mbrojtja e burimeve ujore.</w:t>
            </w:r>
          </w:p>
          <w:p w14:paraId="2FF73357" w14:textId="35707E3D" w:rsidR="00714EE7" w:rsidRPr="00C73DEF" w:rsidRDefault="00714EE7" w:rsidP="00B35E36">
            <w:pPr>
              <w:pStyle w:val="TableParagraph"/>
              <w:ind w:right="94"/>
              <w:jc w:val="both"/>
              <w:rPr>
                <w:sz w:val="20"/>
                <w:szCs w:val="20"/>
                <w:lang w:val="en-GB"/>
              </w:rPr>
            </w:pPr>
          </w:p>
        </w:tc>
      </w:tr>
      <w:tr w:rsidR="00714EE7" w:rsidRPr="00C73DEF" w14:paraId="38608ACB"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D5809BD" w14:textId="77777777" w:rsidR="00714EE7" w:rsidRPr="00C73DEF" w:rsidRDefault="00714EE7" w:rsidP="00714EE7">
            <w:pPr>
              <w:spacing w:after="0" w:line="240" w:lineRule="auto"/>
              <w:rPr>
                <w:rFonts w:ascii="Arial" w:hAnsi="Arial" w:cs="Arial"/>
                <w:sz w:val="20"/>
                <w:szCs w:val="20"/>
              </w:rPr>
            </w:pPr>
            <w:r>
              <w:rPr>
                <w:rFonts w:ascii="Arial" w:hAnsi="Arial"/>
                <w:sz w:val="20"/>
              </w:rPr>
              <w:t>Kontributin e tij në reduktimin e CO</w:t>
            </w:r>
            <w:r>
              <w:rPr>
                <w:rFonts w:ascii="Arial" w:hAnsi="Arial"/>
                <w:sz w:val="20"/>
                <w:vertAlign w:val="subscript"/>
              </w:rPr>
              <w:t>2</w:t>
            </w:r>
            <w:r>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tcPr>
          <w:p w14:paraId="357A8582" w14:textId="77777777" w:rsidR="00714EE7" w:rsidRPr="00C73DEF" w:rsidRDefault="000F3B1C" w:rsidP="00D15EFC">
            <w:pPr>
              <w:pStyle w:val="TableParagraph"/>
              <w:rPr>
                <w:sz w:val="20"/>
                <w:szCs w:val="20"/>
              </w:rPr>
            </w:pPr>
            <w:r>
              <w:rPr>
                <w:sz w:val="20"/>
              </w:rPr>
              <w:t>Nuk aplikohet</w:t>
            </w:r>
          </w:p>
        </w:tc>
      </w:tr>
      <w:tr w:rsidR="00714EE7" w:rsidRPr="00C73DEF" w14:paraId="6D4EB81F"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AB95AEC" w14:textId="77777777" w:rsidR="00714EE7" w:rsidRPr="00C73DEF" w:rsidRDefault="00714EE7" w:rsidP="00714EE7">
            <w:pPr>
              <w:spacing w:after="0" w:line="240" w:lineRule="auto"/>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tcPr>
          <w:p w14:paraId="63E1ED05" w14:textId="125A96AA" w:rsidR="00714EE7" w:rsidRPr="00C73DEF" w:rsidRDefault="00714EE7" w:rsidP="00D15EFC">
            <w:pPr>
              <w:pStyle w:val="TableParagraph"/>
              <w:rPr>
                <w:sz w:val="20"/>
                <w:szCs w:val="20"/>
              </w:rPr>
            </w:pPr>
            <w:r>
              <w:rPr>
                <w:sz w:val="20"/>
              </w:rPr>
              <w:t>Deri në 200,000 banorë.</w:t>
            </w:r>
          </w:p>
        </w:tc>
      </w:tr>
      <w:tr w:rsidR="00714EE7" w:rsidRPr="00C73DEF" w14:paraId="0587B7A2"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FFA7F42" w14:textId="1A2C3988" w:rsidR="00714EE7" w:rsidRPr="00C73DEF" w:rsidRDefault="004D00F4" w:rsidP="004D00F4">
            <w:pPr>
              <w:spacing w:after="0" w:line="240" w:lineRule="auto"/>
              <w:rPr>
                <w:rFonts w:ascii="Arial" w:hAnsi="Arial" w:cs="Arial"/>
                <w:sz w:val="20"/>
                <w:szCs w:val="20"/>
              </w:rPr>
            </w:pPr>
            <w:r>
              <w:rPr>
                <w:rFonts w:ascii="Arial" w:hAnsi="Arial"/>
                <w:sz w:val="20"/>
              </w:rPr>
              <w:t xml:space="preserve">Shkallën në të cilën </w:t>
            </w:r>
            <w:r w:rsidR="00714EE7">
              <w:rPr>
                <w:rFonts w:ascii="Arial" w:hAnsi="Arial"/>
                <w:sz w:val="20"/>
              </w:rPr>
              <w:t>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tcPr>
          <w:p w14:paraId="47F10CE0" w14:textId="77777777" w:rsidR="00714EE7" w:rsidRPr="00C73DEF" w:rsidRDefault="00714EE7" w:rsidP="00714EE7">
            <w:pPr>
              <w:pStyle w:val="TableParagraph"/>
              <w:spacing w:before="2"/>
              <w:ind w:left="108"/>
              <w:rPr>
                <w:sz w:val="20"/>
                <w:szCs w:val="20"/>
              </w:rPr>
            </w:pPr>
            <w:r>
              <w:rPr>
                <w:sz w:val="20"/>
              </w:rPr>
              <w:t>Nuk aplikohet</w:t>
            </w:r>
          </w:p>
        </w:tc>
      </w:tr>
      <w:tr w:rsidR="00714EE7" w:rsidRPr="00C73DEF" w14:paraId="1DCAED80"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29C758D" w14:textId="77777777" w:rsidR="00714EE7" w:rsidRPr="00C73DEF" w:rsidRDefault="00714EE7" w:rsidP="00714EE7">
            <w:pPr>
              <w:spacing w:after="0" w:line="240" w:lineRule="auto"/>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tcPr>
          <w:p w14:paraId="075688CE" w14:textId="77777777" w:rsidR="00714EE7" w:rsidRPr="00C73DEF" w:rsidRDefault="00714EE7" w:rsidP="00D15EFC">
            <w:pPr>
              <w:pStyle w:val="TableParagraph"/>
              <w:tabs>
                <w:tab w:val="left" w:pos="452"/>
              </w:tabs>
              <w:spacing w:before="2"/>
              <w:ind w:left="0"/>
              <w:rPr>
                <w:sz w:val="20"/>
                <w:szCs w:val="20"/>
              </w:rPr>
            </w:pPr>
            <w:r>
              <w:rPr>
                <w:sz w:val="20"/>
              </w:rPr>
              <w:t xml:space="preserve">Përballueshmëria e përdoruesve përfundimtarë nuk do të ndikohet. </w:t>
            </w:r>
          </w:p>
        </w:tc>
      </w:tr>
      <w:tr w:rsidR="00714EE7" w:rsidRPr="00C73DEF" w14:paraId="5AA90C7D"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D0616DA" w14:textId="77777777" w:rsidR="00714EE7" w:rsidRPr="00C73DEF" w:rsidRDefault="00714EE7" w:rsidP="00714EE7">
            <w:pPr>
              <w:spacing w:after="0" w:line="240" w:lineRule="auto"/>
              <w:rPr>
                <w:rFonts w:ascii="Arial" w:hAnsi="Arial" w:cs="Arial"/>
                <w:sz w:val="20"/>
                <w:szCs w:val="20"/>
              </w:rPr>
            </w:pPr>
            <w:r>
              <w:rPr>
                <w:rFonts w:ascii="Arial" w:hAnsi="Arial"/>
                <w:sz w:val="20"/>
              </w:rPr>
              <w:lastRenderedPageBreak/>
              <w:t>Rreziqet që lidhen me projektin</w:t>
            </w:r>
          </w:p>
        </w:tc>
        <w:tc>
          <w:tcPr>
            <w:tcW w:w="2989" w:type="pct"/>
            <w:tcBorders>
              <w:top w:val="single" w:sz="4" w:space="0" w:color="auto"/>
              <w:left w:val="single" w:sz="4" w:space="0" w:color="auto"/>
              <w:bottom w:val="single" w:sz="4" w:space="0" w:color="auto"/>
              <w:right w:val="single" w:sz="4" w:space="0" w:color="auto"/>
            </w:tcBorders>
          </w:tcPr>
          <w:p w14:paraId="3DA76A62" w14:textId="77777777" w:rsidR="00714EE7" w:rsidRPr="00C73DEF" w:rsidRDefault="00714EE7" w:rsidP="00D15EFC">
            <w:pPr>
              <w:pStyle w:val="TableParagraph"/>
              <w:spacing w:before="2"/>
              <w:ind w:left="0" w:right="304"/>
              <w:rPr>
                <w:sz w:val="20"/>
                <w:szCs w:val="20"/>
              </w:rPr>
            </w:pPr>
            <w:r>
              <w:rPr>
                <w:sz w:val="20"/>
              </w:rPr>
              <w:t xml:space="preserve">Nuk ka rreziqe që lidhen me projektin. </w:t>
            </w:r>
          </w:p>
        </w:tc>
      </w:tr>
      <w:tr w:rsidR="00714EE7" w:rsidRPr="00C73DEF" w14:paraId="14BA1FA6" w14:textId="77777777" w:rsidTr="007E4412">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250FDEA" w14:textId="77777777" w:rsidR="00714EE7" w:rsidRPr="00C73DEF" w:rsidRDefault="00714EE7" w:rsidP="009F6BA8">
            <w:pPr>
              <w:spacing w:after="0" w:line="240" w:lineRule="auto"/>
              <w:jc w:val="both"/>
              <w:rPr>
                <w:rFonts w:ascii="Arial" w:hAnsi="Arial" w:cs="Arial"/>
                <w:sz w:val="20"/>
                <w:szCs w:val="20"/>
              </w:rPr>
            </w:pPr>
            <w:r>
              <w:rPr>
                <w:rFonts w:ascii="Arial" w:hAnsi="Arial"/>
                <w:sz w:val="20"/>
              </w:rPr>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tcPr>
          <w:p w14:paraId="0FA1DC73" w14:textId="1473D220" w:rsidR="009105D4" w:rsidRPr="00C73DEF" w:rsidRDefault="009105D4" w:rsidP="009F6BA8">
            <w:pPr>
              <w:jc w:val="both"/>
              <w:rPr>
                <w:rFonts w:ascii="Arial" w:hAnsi="Arial" w:cs="Arial"/>
                <w:spacing w:val="-1"/>
                <w:w w:val="105"/>
                <w:sz w:val="20"/>
                <w:szCs w:val="20"/>
              </w:rPr>
            </w:pPr>
            <w:r>
              <w:rPr>
                <w:rFonts w:ascii="Arial" w:hAnsi="Arial"/>
                <w:b/>
                <w:sz w:val="20"/>
              </w:rPr>
              <w:t>Kompania Rajonale e Ujësjellësit Gjakovë</w:t>
            </w:r>
            <w:r>
              <w:rPr>
                <w:rFonts w:ascii="Arial" w:hAnsi="Arial"/>
                <w:sz w:val="20"/>
              </w:rPr>
              <w:t xml:space="preserve"> - Si përfitues, përdorues-fundor dhe pronar i infrastrukturës së ujërave të zeza KRU ka një rol kyç për të luajtur. Ata do të kenë përgjegjësinë për shqyrtimin teknik të dizajnit të projektit. Pas pranim-dorëzimit ata do të jenë përgjegjës për financimin e plotë të të gjitha kostove operative dhe të mirëmbajtjes që lidhen me ITUZ. </w:t>
            </w:r>
          </w:p>
          <w:p w14:paraId="4F92EF7C" w14:textId="598412EC" w:rsidR="009105D4" w:rsidRPr="00C73DEF" w:rsidRDefault="009105D4" w:rsidP="009F6BA8">
            <w:pPr>
              <w:jc w:val="both"/>
              <w:rPr>
                <w:rFonts w:ascii="Arial" w:hAnsi="Arial" w:cs="Arial"/>
                <w:spacing w:val="-1"/>
                <w:w w:val="105"/>
                <w:sz w:val="20"/>
                <w:szCs w:val="20"/>
              </w:rPr>
            </w:pPr>
            <w:r>
              <w:rPr>
                <w:rFonts w:ascii="Arial" w:hAnsi="Arial"/>
                <w:b/>
                <w:sz w:val="20"/>
              </w:rPr>
              <w:t>Ministria e Ekonomisë</w:t>
            </w:r>
            <w:r>
              <w:rPr>
                <w:rFonts w:ascii="Arial" w:hAnsi="Arial"/>
                <w:sz w:val="20"/>
              </w:rPr>
              <w:t xml:space="preserve"> - Ministria e Ekonomisë, përmes Njësisë së saj për Politika dhe Monitorim (NjPM) për Ndërmarrjet Publike mbikëqyr afarizmin e ndërmarrjeve publike (përfshirë kompanitë rajonale të ujësjellësit) në Republikën e Kosovës dhe siguron funksionimin e tyre të përgjegjshëm dhe transparent. MZHE, përmes kësaj Njësie, mbikëqyr të 7 Kompanitë Rajonale të Ujësjellësit përgjegjës për ofrimin e shërbimeve të ujit (d.m.th., furnizimi me ujë, grumbullimi dhe trajtimi i ujërave të zeza). Prandaj, KRU-të janë përfituesit përfundimtarë të projekteve të tilla dhe janë përgjegjëse para MZHE-së. Ata së bashku janë përgjegjës për financimin e projekteve të infrastrukturës ujore, përfshirë punimet rehabilituese.</w:t>
            </w:r>
          </w:p>
          <w:p w14:paraId="52FA3B5E" w14:textId="598A4F73" w:rsidR="009105D4" w:rsidRPr="00C73DEF" w:rsidRDefault="009105D4" w:rsidP="009F6BA8">
            <w:pPr>
              <w:jc w:val="both"/>
              <w:rPr>
                <w:rFonts w:ascii="Arial" w:hAnsi="Arial" w:cs="Arial"/>
                <w:spacing w:val="-1"/>
                <w:w w:val="105"/>
                <w:sz w:val="20"/>
                <w:szCs w:val="20"/>
              </w:rPr>
            </w:pPr>
            <w:r>
              <w:rPr>
                <w:rFonts w:ascii="Arial" w:hAnsi="Arial"/>
                <w:b/>
                <w:sz w:val="20"/>
              </w:rPr>
              <w:t>Ministria e Mjedisit, Planifikimit Hapësinor dhe Infrastrukturës</w:t>
            </w:r>
            <w:r>
              <w:rPr>
                <w:rFonts w:ascii="Arial" w:hAnsi="Arial"/>
                <w:sz w:val="20"/>
              </w:rPr>
              <w:t xml:space="preserve"> - MMPHI do të ketë një rol jetik në sigurimin e përmbushjes së standardeve mjedisore (vlerat kufitare të shkarkimit, etj.) dhe rrjedhave ujore në zonën e Gjakovës të cilat do të kenë një efekt të dobishëm në rajon. MMPHI është gjithashtu përgjegjës për të gjitha lejet e lëshuara të nevojshme (ujë, ndërtim, VNM, etj.) dhe për shpronësimet.</w:t>
            </w:r>
          </w:p>
          <w:p w14:paraId="1829C012" w14:textId="5552685C" w:rsidR="00714EE7" w:rsidRPr="00C73DEF" w:rsidRDefault="009105D4" w:rsidP="008B21FD">
            <w:pPr>
              <w:pStyle w:val="TableParagraph"/>
              <w:ind w:left="0" w:right="231"/>
              <w:jc w:val="both"/>
              <w:rPr>
                <w:sz w:val="20"/>
                <w:szCs w:val="20"/>
              </w:rPr>
            </w:pPr>
            <w:r>
              <w:rPr>
                <w:b/>
                <w:sz w:val="20"/>
              </w:rPr>
              <w:t xml:space="preserve">Komuna e Gjakovës </w:t>
            </w:r>
            <w:r>
              <w:rPr>
                <w:sz w:val="20"/>
              </w:rPr>
              <w:t>- Investitori kryesor në rrjetin e kanalizimeve. Koordinimi me komunën është jetik për të siguruar që infrastruktura e ujërave të zeza të jetë e koordinuar me infrastrukturën tjetër në zonë.</w:t>
            </w:r>
          </w:p>
        </w:tc>
      </w:tr>
    </w:tbl>
    <w:p w14:paraId="435CE41E" w14:textId="77777777" w:rsidR="0074067A" w:rsidRPr="00C73DEF" w:rsidRDefault="0074067A" w:rsidP="003C3ED9">
      <w:pPr>
        <w:pStyle w:val="Heading1"/>
        <w:spacing w:before="240" w:after="120"/>
        <w:jc w:val="center"/>
        <w:rPr>
          <w:rFonts w:ascii="Arial" w:hAnsi="Arial" w:cs="Arial"/>
          <w:color w:val="auto"/>
          <w:sz w:val="24"/>
          <w:szCs w:val="24"/>
        </w:rPr>
      </w:pPr>
      <w:r>
        <w:rPr>
          <w:rFonts w:ascii="Arial" w:hAnsi="Arial"/>
          <w:color w:val="auto"/>
          <w:sz w:val="24"/>
        </w:rPr>
        <w:t>Pjesa e dytë</w:t>
      </w:r>
    </w:p>
    <w:p w14:paraId="5DA8314E" w14:textId="77777777" w:rsidR="0074067A" w:rsidRPr="00C73DEF" w:rsidRDefault="0074067A" w:rsidP="00D8184A">
      <w:pPr>
        <w:pStyle w:val="ListParagraph"/>
        <w:numPr>
          <w:ilvl w:val="0"/>
          <w:numId w:val="2"/>
        </w:numPr>
        <w:spacing w:after="120"/>
        <w:rPr>
          <w:rFonts w:cs="Arial"/>
          <w:b/>
        </w:rPr>
      </w:pPr>
      <w:r>
        <w:rPr>
          <w:b/>
        </w:rPr>
        <w:t>MATURITETI</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128F1" w:rsidRPr="00C73DEF" w14:paraId="38BC1D45" w14:textId="77777777" w:rsidTr="007128F1">
        <w:trPr>
          <w:trHeight w:val="417"/>
          <w:jc w:val="center"/>
        </w:trPr>
        <w:tc>
          <w:tcPr>
            <w:tcW w:w="2839" w:type="pct"/>
            <w:shd w:val="clear" w:color="auto" w:fill="D9D9D9" w:themeFill="background1" w:themeFillShade="D9"/>
            <w:vAlign w:val="center"/>
          </w:tcPr>
          <w:p w14:paraId="18787872" w14:textId="77777777" w:rsidR="007128F1" w:rsidRPr="00C73DEF" w:rsidRDefault="007128F1" w:rsidP="007128F1">
            <w:pPr>
              <w:spacing w:after="0" w:line="240" w:lineRule="auto"/>
              <w:rPr>
                <w:rFonts w:ascii="Arial" w:hAnsi="Arial" w:cs="Arial"/>
                <w:b/>
                <w:sz w:val="20"/>
                <w:szCs w:val="20"/>
              </w:rPr>
            </w:pPr>
            <w:r>
              <w:rPr>
                <w:rFonts w:ascii="Arial" w:hAnsi="Arial"/>
                <w:b/>
                <w:sz w:val="20"/>
              </w:rPr>
              <w:t>Studimet dhe dokumentet në dispozicion</w:t>
            </w:r>
          </w:p>
        </w:tc>
        <w:tc>
          <w:tcPr>
            <w:tcW w:w="800" w:type="pct"/>
            <w:shd w:val="clear" w:color="auto" w:fill="D9D9D9" w:themeFill="background1" w:themeFillShade="D9"/>
            <w:vAlign w:val="center"/>
          </w:tcPr>
          <w:p w14:paraId="60B17199" w14:textId="77777777" w:rsidR="007128F1" w:rsidRPr="00C73DEF" w:rsidRDefault="007128F1" w:rsidP="007128F1">
            <w:pPr>
              <w:spacing w:after="0" w:line="240" w:lineRule="auto"/>
              <w:jc w:val="center"/>
              <w:rPr>
                <w:rFonts w:ascii="Arial" w:hAnsi="Arial" w:cs="Arial"/>
                <w:b/>
                <w:sz w:val="20"/>
                <w:szCs w:val="20"/>
              </w:rPr>
            </w:pPr>
            <w:r>
              <w:rPr>
                <w:rFonts w:ascii="Arial" w:hAnsi="Arial"/>
                <w:b/>
                <w:sz w:val="20"/>
              </w:rPr>
              <w:t>Gati dhe të miratuara</w:t>
            </w:r>
          </w:p>
        </w:tc>
        <w:tc>
          <w:tcPr>
            <w:tcW w:w="712" w:type="pct"/>
            <w:shd w:val="clear" w:color="auto" w:fill="D9D9D9" w:themeFill="background1" w:themeFillShade="D9"/>
            <w:vAlign w:val="center"/>
          </w:tcPr>
          <w:p w14:paraId="125FDFAA" w14:textId="77777777" w:rsidR="007128F1" w:rsidRPr="00C73DEF" w:rsidRDefault="007128F1" w:rsidP="007128F1">
            <w:pPr>
              <w:spacing w:after="0" w:line="240" w:lineRule="auto"/>
              <w:jc w:val="center"/>
              <w:rPr>
                <w:rFonts w:ascii="Arial" w:hAnsi="Arial" w:cs="Arial"/>
                <w:b/>
                <w:sz w:val="20"/>
                <w:szCs w:val="20"/>
              </w:rPr>
            </w:pPr>
            <w:r>
              <w:rPr>
                <w:rFonts w:ascii="Arial" w:hAnsi="Arial"/>
                <w:b/>
                <w:sz w:val="20"/>
              </w:rPr>
              <w:t>Duke u punuar</w:t>
            </w:r>
          </w:p>
        </w:tc>
        <w:tc>
          <w:tcPr>
            <w:tcW w:w="649" w:type="pct"/>
            <w:shd w:val="clear" w:color="auto" w:fill="D9D9D9" w:themeFill="background1" w:themeFillShade="D9"/>
            <w:vAlign w:val="center"/>
          </w:tcPr>
          <w:p w14:paraId="03143183" w14:textId="77777777" w:rsidR="007128F1" w:rsidRPr="00C73DEF" w:rsidRDefault="007128F1" w:rsidP="007128F1">
            <w:pPr>
              <w:spacing w:after="0" w:line="240" w:lineRule="auto"/>
              <w:jc w:val="center"/>
              <w:rPr>
                <w:rFonts w:ascii="Arial" w:hAnsi="Arial" w:cs="Arial"/>
                <w:b/>
                <w:sz w:val="20"/>
                <w:szCs w:val="20"/>
              </w:rPr>
            </w:pPr>
            <w:r>
              <w:rPr>
                <w:rFonts w:ascii="Arial" w:hAnsi="Arial"/>
                <w:b/>
                <w:sz w:val="20"/>
              </w:rPr>
              <w:t>Nuk ka filluar ende</w:t>
            </w:r>
          </w:p>
        </w:tc>
      </w:tr>
      <w:tr w:rsidR="007128F1" w:rsidRPr="00C73DEF" w14:paraId="60104EED" w14:textId="77777777" w:rsidTr="007128F1">
        <w:trPr>
          <w:trHeight w:val="417"/>
          <w:jc w:val="center"/>
        </w:trPr>
        <w:tc>
          <w:tcPr>
            <w:tcW w:w="2839" w:type="pct"/>
            <w:shd w:val="clear" w:color="auto" w:fill="D9D9D9"/>
            <w:vAlign w:val="center"/>
          </w:tcPr>
          <w:p w14:paraId="23BBC021" w14:textId="77777777" w:rsidR="007128F1" w:rsidRPr="00C73DEF" w:rsidRDefault="007128F1" w:rsidP="007128F1">
            <w:pPr>
              <w:spacing w:after="0" w:line="240" w:lineRule="auto"/>
              <w:rPr>
                <w:rFonts w:ascii="Arial" w:hAnsi="Arial" w:cs="Arial"/>
                <w:sz w:val="20"/>
                <w:szCs w:val="20"/>
              </w:rPr>
            </w:pPr>
            <w:r>
              <w:rPr>
                <w:rFonts w:ascii="Arial" w:hAnsi="Arial"/>
                <w:sz w:val="20"/>
              </w:rPr>
              <w:t>Idea konceptuale</w:t>
            </w:r>
          </w:p>
        </w:tc>
        <w:tc>
          <w:tcPr>
            <w:tcW w:w="800" w:type="pct"/>
            <w:vAlign w:val="center"/>
          </w:tcPr>
          <w:p w14:paraId="74C67738" w14:textId="32E07A9C"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7CD89940"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1C7C1A79"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338E274D" w14:textId="77777777" w:rsidTr="007128F1">
        <w:trPr>
          <w:trHeight w:val="417"/>
          <w:jc w:val="center"/>
        </w:trPr>
        <w:tc>
          <w:tcPr>
            <w:tcW w:w="2839" w:type="pct"/>
            <w:shd w:val="clear" w:color="auto" w:fill="D9D9D9"/>
            <w:vAlign w:val="center"/>
          </w:tcPr>
          <w:p w14:paraId="6CB0B210" w14:textId="77777777" w:rsidR="007128F1" w:rsidRPr="00C73DEF" w:rsidRDefault="007128F1" w:rsidP="007128F1">
            <w:pPr>
              <w:spacing w:after="0" w:line="240" w:lineRule="auto"/>
              <w:rPr>
                <w:rFonts w:ascii="Arial" w:hAnsi="Arial" w:cs="Arial"/>
                <w:sz w:val="20"/>
                <w:szCs w:val="20"/>
              </w:rPr>
            </w:pPr>
            <w:r>
              <w:rPr>
                <w:rFonts w:ascii="Arial" w:hAnsi="Arial"/>
                <w:sz w:val="20"/>
              </w:rPr>
              <w:t>Studimi paraprak i fizibilitetit</w:t>
            </w:r>
          </w:p>
        </w:tc>
        <w:tc>
          <w:tcPr>
            <w:tcW w:w="800" w:type="pct"/>
            <w:vAlign w:val="center"/>
          </w:tcPr>
          <w:p w14:paraId="51ABF317" w14:textId="3B5700E0"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4C99AD1F"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3E934A17"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036BCFCC" w14:textId="77777777" w:rsidTr="007128F1">
        <w:trPr>
          <w:trHeight w:val="417"/>
          <w:jc w:val="center"/>
        </w:trPr>
        <w:tc>
          <w:tcPr>
            <w:tcW w:w="2839" w:type="pct"/>
            <w:shd w:val="clear" w:color="auto" w:fill="D9D9D9"/>
            <w:vAlign w:val="center"/>
          </w:tcPr>
          <w:p w14:paraId="6F8691BB" w14:textId="77777777" w:rsidR="007128F1" w:rsidRPr="00C73DEF" w:rsidRDefault="007128F1" w:rsidP="007128F1">
            <w:pPr>
              <w:spacing w:after="0" w:line="240" w:lineRule="auto"/>
              <w:rPr>
                <w:rFonts w:ascii="Arial" w:hAnsi="Arial" w:cs="Arial"/>
                <w:sz w:val="20"/>
                <w:szCs w:val="20"/>
              </w:rPr>
            </w:pPr>
            <w:r>
              <w:rPr>
                <w:rFonts w:ascii="Arial" w:hAnsi="Arial"/>
                <w:sz w:val="20"/>
              </w:rPr>
              <w:t>Projektimi konceptual</w:t>
            </w:r>
          </w:p>
        </w:tc>
        <w:tc>
          <w:tcPr>
            <w:tcW w:w="800" w:type="pct"/>
            <w:vAlign w:val="center"/>
          </w:tcPr>
          <w:p w14:paraId="1891AE32" w14:textId="6AFC303D"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27D46000"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19739D72"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581963C7" w14:textId="77777777" w:rsidTr="007128F1">
        <w:trPr>
          <w:trHeight w:val="417"/>
          <w:jc w:val="center"/>
        </w:trPr>
        <w:tc>
          <w:tcPr>
            <w:tcW w:w="2839" w:type="pct"/>
            <w:shd w:val="clear" w:color="auto" w:fill="D9D9D9"/>
            <w:vAlign w:val="center"/>
          </w:tcPr>
          <w:p w14:paraId="5A0F6D1F" w14:textId="77777777" w:rsidR="007128F1" w:rsidRPr="00C73DEF" w:rsidRDefault="007128F1" w:rsidP="007128F1">
            <w:pPr>
              <w:spacing w:after="0" w:line="240" w:lineRule="auto"/>
              <w:rPr>
                <w:rFonts w:ascii="Arial" w:hAnsi="Arial" w:cs="Arial"/>
                <w:sz w:val="20"/>
                <w:szCs w:val="20"/>
              </w:rPr>
            </w:pPr>
            <w:r>
              <w:rPr>
                <w:rFonts w:ascii="Arial" w:hAnsi="Arial"/>
                <w:sz w:val="20"/>
              </w:rPr>
              <w:t>Studimi i fizibilitetit + AKP</w:t>
            </w:r>
          </w:p>
        </w:tc>
        <w:tc>
          <w:tcPr>
            <w:tcW w:w="800" w:type="pct"/>
            <w:vAlign w:val="center"/>
          </w:tcPr>
          <w:p w14:paraId="1CDA17F4" w14:textId="66296AA4"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75D5AF5F"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21B5D782"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3640542A" w14:textId="77777777" w:rsidTr="007128F1">
        <w:trPr>
          <w:trHeight w:val="417"/>
          <w:jc w:val="center"/>
        </w:trPr>
        <w:tc>
          <w:tcPr>
            <w:tcW w:w="2839" w:type="pct"/>
            <w:shd w:val="clear" w:color="auto" w:fill="D9D9D9"/>
            <w:vAlign w:val="center"/>
          </w:tcPr>
          <w:p w14:paraId="6115A30E" w14:textId="77777777" w:rsidR="007128F1" w:rsidRPr="00C73DEF" w:rsidRDefault="007128F1" w:rsidP="007128F1">
            <w:pPr>
              <w:spacing w:after="0" w:line="240" w:lineRule="auto"/>
              <w:rPr>
                <w:rFonts w:ascii="Arial" w:hAnsi="Arial" w:cs="Arial"/>
                <w:sz w:val="20"/>
                <w:szCs w:val="20"/>
              </w:rPr>
            </w:pPr>
            <w:r>
              <w:rPr>
                <w:rFonts w:ascii="Arial" w:hAnsi="Arial"/>
                <w:sz w:val="20"/>
              </w:rPr>
              <w:t>Studimi i VNM (nëse nevojitet)</w:t>
            </w:r>
          </w:p>
        </w:tc>
        <w:tc>
          <w:tcPr>
            <w:tcW w:w="800" w:type="pct"/>
            <w:vAlign w:val="center"/>
          </w:tcPr>
          <w:p w14:paraId="161D4128" w14:textId="43101526"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7B5952AD"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2CC5AB10"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010BA2B6" w14:textId="77777777" w:rsidTr="007128F1">
        <w:trPr>
          <w:trHeight w:val="417"/>
          <w:jc w:val="center"/>
        </w:trPr>
        <w:tc>
          <w:tcPr>
            <w:tcW w:w="2839" w:type="pct"/>
            <w:shd w:val="clear" w:color="auto" w:fill="D9D9D9"/>
            <w:vAlign w:val="center"/>
          </w:tcPr>
          <w:p w14:paraId="5CE99072" w14:textId="77777777" w:rsidR="007128F1" w:rsidRPr="00C73DEF" w:rsidRDefault="007128F1" w:rsidP="007128F1">
            <w:pPr>
              <w:spacing w:after="0" w:line="240" w:lineRule="auto"/>
              <w:rPr>
                <w:rFonts w:ascii="Arial" w:hAnsi="Arial" w:cs="Arial"/>
                <w:sz w:val="20"/>
                <w:szCs w:val="20"/>
              </w:rPr>
            </w:pPr>
            <w:r>
              <w:rPr>
                <w:rFonts w:ascii="Arial" w:hAnsi="Arial"/>
                <w:sz w:val="20"/>
              </w:rPr>
              <w:t>Dokumentet e vlefshme të planifikimit hapësinor</w:t>
            </w:r>
          </w:p>
        </w:tc>
        <w:tc>
          <w:tcPr>
            <w:tcW w:w="800" w:type="pct"/>
            <w:vAlign w:val="center"/>
          </w:tcPr>
          <w:p w14:paraId="0757404E" w14:textId="77777777" w:rsidR="007128F1" w:rsidRPr="00C73DEF" w:rsidRDefault="007128F1" w:rsidP="007128F1">
            <w:pPr>
              <w:spacing w:after="0" w:line="240" w:lineRule="auto"/>
              <w:jc w:val="center"/>
              <w:rPr>
                <w:rFonts w:ascii="Arial" w:hAnsi="Arial" w:cs="Arial"/>
                <w:sz w:val="20"/>
                <w:szCs w:val="20"/>
              </w:rPr>
            </w:pPr>
          </w:p>
        </w:tc>
        <w:tc>
          <w:tcPr>
            <w:tcW w:w="712" w:type="pct"/>
            <w:vAlign w:val="center"/>
          </w:tcPr>
          <w:p w14:paraId="394AB07A" w14:textId="46DED1AB"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649" w:type="pct"/>
            <w:vAlign w:val="center"/>
          </w:tcPr>
          <w:p w14:paraId="0160FE62"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0DEA451D" w14:textId="77777777" w:rsidTr="007128F1">
        <w:trPr>
          <w:trHeight w:val="417"/>
          <w:jc w:val="center"/>
        </w:trPr>
        <w:tc>
          <w:tcPr>
            <w:tcW w:w="2839" w:type="pct"/>
            <w:shd w:val="clear" w:color="auto" w:fill="D9D9D9"/>
            <w:vAlign w:val="center"/>
          </w:tcPr>
          <w:p w14:paraId="366DE0EF" w14:textId="77777777" w:rsidR="007128F1" w:rsidRPr="00C73DEF" w:rsidRDefault="007128F1" w:rsidP="007128F1">
            <w:pPr>
              <w:spacing w:after="0" w:line="240" w:lineRule="auto"/>
              <w:rPr>
                <w:rFonts w:ascii="Arial" w:hAnsi="Arial" w:cs="Arial"/>
                <w:sz w:val="20"/>
                <w:szCs w:val="20"/>
              </w:rPr>
            </w:pPr>
            <w:r>
              <w:rPr>
                <w:rFonts w:ascii="Arial" w:hAnsi="Arial"/>
                <w:sz w:val="20"/>
              </w:rPr>
              <w:t>Prona tokë e zgjidhur</w:t>
            </w:r>
          </w:p>
        </w:tc>
        <w:tc>
          <w:tcPr>
            <w:tcW w:w="800" w:type="pct"/>
            <w:vAlign w:val="center"/>
          </w:tcPr>
          <w:p w14:paraId="305AF45F" w14:textId="42E303B6"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2C5DACF1"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20C05785"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052C538F" w14:textId="77777777" w:rsidTr="007128F1">
        <w:trPr>
          <w:trHeight w:val="417"/>
          <w:jc w:val="center"/>
        </w:trPr>
        <w:tc>
          <w:tcPr>
            <w:tcW w:w="2839" w:type="pct"/>
            <w:shd w:val="clear" w:color="auto" w:fill="D9D9D9"/>
            <w:vAlign w:val="center"/>
          </w:tcPr>
          <w:p w14:paraId="6F6A1B0F" w14:textId="77777777" w:rsidR="007128F1" w:rsidRPr="00C73DEF" w:rsidRDefault="007128F1" w:rsidP="007128F1">
            <w:pPr>
              <w:spacing w:after="0" w:line="240" w:lineRule="auto"/>
              <w:rPr>
                <w:rFonts w:ascii="Arial" w:hAnsi="Arial" w:cs="Arial"/>
                <w:sz w:val="20"/>
                <w:szCs w:val="20"/>
              </w:rPr>
            </w:pPr>
            <w:r>
              <w:rPr>
                <w:rFonts w:ascii="Arial" w:hAnsi="Arial"/>
                <w:sz w:val="20"/>
              </w:rPr>
              <w:t>Projektimi paraprak</w:t>
            </w:r>
          </w:p>
        </w:tc>
        <w:tc>
          <w:tcPr>
            <w:tcW w:w="800" w:type="pct"/>
            <w:vAlign w:val="center"/>
          </w:tcPr>
          <w:p w14:paraId="549D1120" w14:textId="7858217A"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28A6CA13"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21A2FF64"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1E3682C8" w14:textId="77777777" w:rsidTr="007128F1">
        <w:trPr>
          <w:trHeight w:val="417"/>
          <w:jc w:val="center"/>
        </w:trPr>
        <w:tc>
          <w:tcPr>
            <w:tcW w:w="2839" w:type="pct"/>
            <w:shd w:val="clear" w:color="auto" w:fill="D9D9D9"/>
            <w:vAlign w:val="center"/>
          </w:tcPr>
          <w:p w14:paraId="108E3938" w14:textId="77777777" w:rsidR="007128F1" w:rsidRPr="00C73DEF" w:rsidRDefault="007128F1" w:rsidP="007128F1">
            <w:pPr>
              <w:spacing w:after="0" w:line="240" w:lineRule="auto"/>
              <w:rPr>
                <w:rFonts w:ascii="Arial" w:hAnsi="Arial" w:cs="Arial"/>
                <w:sz w:val="20"/>
                <w:szCs w:val="20"/>
              </w:rPr>
            </w:pPr>
            <w:r>
              <w:rPr>
                <w:rFonts w:ascii="Arial" w:hAnsi="Arial"/>
                <w:sz w:val="20"/>
              </w:rPr>
              <w:t>Projektimi kryesor/projektimi i detajuar</w:t>
            </w:r>
          </w:p>
        </w:tc>
        <w:tc>
          <w:tcPr>
            <w:tcW w:w="800" w:type="pct"/>
            <w:vAlign w:val="center"/>
          </w:tcPr>
          <w:p w14:paraId="3B35C986" w14:textId="48D23E6E"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1980EBA7"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01DD3492"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774073A3" w14:textId="77777777" w:rsidTr="007128F1">
        <w:trPr>
          <w:trHeight w:val="417"/>
          <w:jc w:val="center"/>
        </w:trPr>
        <w:tc>
          <w:tcPr>
            <w:tcW w:w="2839" w:type="pct"/>
            <w:shd w:val="clear" w:color="auto" w:fill="D9D9D9"/>
            <w:vAlign w:val="center"/>
          </w:tcPr>
          <w:p w14:paraId="2C43FFE9" w14:textId="77777777" w:rsidR="007128F1" w:rsidRPr="00C73DEF" w:rsidRDefault="007128F1" w:rsidP="007128F1">
            <w:pPr>
              <w:spacing w:after="0" w:line="240" w:lineRule="auto"/>
              <w:rPr>
                <w:rFonts w:ascii="Arial" w:hAnsi="Arial" w:cs="Arial"/>
                <w:sz w:val="20"/>
                <w:szCs w:val="20"/>
              </w:rPr>
            </w:pPr>
            <w:r>
              <w:rPr>
                <w:rFonts w:ascii="Arial" w:hAnsi="Arial"/>
                <w:sz w:val="20"/>
              </w:rPr>
              <w:t>Dokumentacioni i tenderit</w:t>
            </w:r>
          </w:p>
        </w:tc>
        <w:tc>
          <w:tcPr>
            <w:tcW w:w="800" w:type="pct"/>
            <w:vAlign w:val="center"/>
          </w:tcPr>
          <w:p w14:paraId="47BD628A" w14:textId="57749A39"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477A1A41"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324E0C73"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0334F4D9" w14:textId="77777777" w:rsidTr="007128F1">
        <w:trPr>
          <w:trHeight w:val="417"/>
          <w:jc w:val="center"/>
        </w:trPr>
        <w:tc>
          <w:tcPr>
            <w:tcW w:w="2839" w:type="pct"/>
            <w:shd w:val="clear" w:color="auto" w:fill="D9D9D9"/>
            <w:vAlign w:val="center"/>
          </w:tcPr>
          <w:p w14:paraId="7EA12893" w14:textId="77777777" w:rsidR="007128F1" w:rsidRPr="00C73DEF" w:rsidRDefault="007128F1" w:rsidP="007128F1">
            <w:pPr>
              <w:spacing w:after="0" w:line="240" w:lineRule="auto"/>
              <w:rPr>
                <w:rFonts w:ascii="Arial" w:hAnsi="Arial" w:cs="Arial"/>
                <w:sz w:val="20"/>
                <w:szCs w:val="20"/>
              </w:rPr>
            </w:pPr>
            <w:r>
              <w:rPr>
                <w:rFonts w:ascii="Arial" w:hAnsi="Arial"/>
                <w:sz w:val="20"/>
              </w:rPr>
              <w:t>Lejet e ndërtimit dhe të tjera</w:t>
            </w:r>
          </w:p>
        </w:tc>
        <w:tc>
          <w:tcPr>
            <w:tcW w:w="800" w:type="pct"/>
            <w:vAlign w:val="center"/>
          </w:tcPr>
          <w:p w14:paraId="079E930E" w14:textId="1BE07027"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697C391B"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5DA7A36A" w14:textId="77777777" w:rsidR="007128F1" w:rsidRPr="00C73DEF" w:rsidRDefault="007128F1" w:rsidP="007128F1">
            <w:pPr>
              <w:spacing w:after="0" w:line="240" w:lineRule="auto"/>
              <w:jc w:val="center"/>
              <w:rPr>
                <w:rFonts w:ascii="Arial" w:hAnsi="Arial" w:cs="Arial"/>
                <w:sz w:val="20"/>
                <w:szCs w:val="20"/>
              </w:rPr>
            </w:pPr>
          </w:p>
        </w:tc>
      </w:tr>
      <w:tr w:rsidR="007128F1" w:rsidRPr="00C73DEF" w14:paraId="1E02D0F7" w14:textId="77777777" w:rsidTr="007128F1">
        <w:trPr>
          <w:trHeight w:val="417"/>
          <w:jc w:val="center"/>
        </w:trPr>
        <w:tc>
          <w:tcPr>
            <w:tcW w:w="2839" w:type="pct"/>
            <w:shd w:val="clear" w:color="auto" w:fill="D9D9D9"/>
            <w:vAlign w:val="center"/>
          </w:tcPr>
          <w:p w14:paraId="21A1EC6B" w14:textId="77777777" w:rsidR="007128F1" w:rsidRPr="00C73DEF" w:rsidRDefault="007128F1" w:rsidP="007128F1">
            <w:pPr>
              <w:spacing w:after="0" w:line="240" w:lineRule="auto"/>
              <w:rPr>
                <w:rFonts w:ascii="Arial" w:hAnsi="Arial" w:cs="Arial"/>
                <w:sz w:val="20"/>
                <w:szCs w:val="20"/>
              </w:rPr>
            </w:pPr>
            <w:r>
              <w:rPr>
                <w:rFonts w:ascii="Arial" w:hAnsi="Arial"/>
                <w:sz w:val="20"/>
              </w:rPr>
              <w:lastRenderedPageBreak/>
              <w:t>Kontrata e ndërtimit është nënshkruar</w:t>
            </w:r>
          </w:p>
        </w:tc>
        <w:tc>
          <w:tcPr>
            <w:tcW w:w="800" w:type="pct"/>
            <w:vAlign w:val="center"/>
          </w:tcPr>
          <w:p w14:paraId="5BF79891" w14:textId="77777777" w:rsidR="007128F1" w:rsidRPr="00C73DEF" w:rsidRDefault="007128F1" w:rsidP="007128F1">
            <w:pPr>
              <w:spacing w:after="0" w:line="240" w:lineRule="auto"/>
              <w:jc w:val="center"/>
              <w:rPr>
                <w:rFonts w:ascii="Arial" w:hAnsi="Arial" w:cs="Arial"/>
                <w:sz w:val="20"/>
                <w:szCs w:val="20"/>
              </w:rPr>
            </w:pPr>
          </w:p>
        </w:tc>
        <w:tc>
          <w:tcPr>
            <w:tcW w:w="712" w:type="pct"/>
            <w:vAlign w:val="center"/>
          </w:tcPr>
          <w:p w14:paraId="44A4DF66" w14:textId="77777777" w:rsidR="007128F1" w:rsidRPr="00C73DEF" w:rsidRDefault="007128F1" w:rsidP="007128F1">
            <w:pPr>
              <w:spacing w:after="0" w:line="240" w:lineRule="auto"/>
              <w:jc w:val="center"/>
              <w:rPr>
                <w:rFonts w:ascii="Arial" w:hAnsi="Arial" w:cs="Arial"/>
                <w:sz w:val="20"/>
                <w:szCs w:val="20"/>
              </w:rPr>
            </w:pPr>
          </w:p>
        </w:tc>
        <w:tc>
          <w:tcPr>
            <w:tcW w:w="649" w:type="pct"/>
            <w:vAlign w:val="center"/>
          </w:tcPr>
          <w:p w14:paraId="041B150A" w14:textId="7A86521F" w:rsidR="007128F1" w:rsidRPr="00C73DEF" w:rsidRDefault="00B35E36" w:rsidP="007128F1">
            <w:pPr>
              <w:spacing w:after="0" w:line="240" w:lineRule="auto"/>
              <w:jc w:val="center"/>
              <w:rPr>
                <w:rFonts w:ascii="Arial" w:hAnsi="Arial" w:cs="Arial"/>
                <w:sz w:val="20"/>
                <w:szCs w:val="20"/>
              </w:rPr>
            </w:pPr>
            <w:r>
              <w:rPr>
                <w:rFonts w:ascii="Arial" w:hAnsi="Arial"/>
                <w:sz w:val="20"/>
              </w:rPr>
              <w:t>X</w:t>
            </w:r>
          </w:p>
        </w:tc>
      </w:tr>
    </w:tbl>
    <w:p w14:paraId="31FC6374" w14:textId="6122ACD9" w:rsidR="001314A0" w:rsidRPr="00C73DEF" w:rsidRDefault="001314A0" w:rsidP="001C2CAF">
      <w:pPr>
        <w:spacing w:after="120"/>
        <w:rPr>
          <w:rFonts w:ascii="Arial" w:hAnsi="Arial" w:cs="Arial"/>
          <w:b/>
        </w:rPr>
      </w:pPr>
    </w:p>
    <w:p w14:paraId="3A8017B5" w14:textId="77777777" w:rsidR="001C2CAF" w:rsidRPr="00C73DEF" w:rsidRDefault="001C2CAF" w:rsidP="00D8184A">
      <w:pPr>
        <w:pStyle w:val="ListParagraph"/>
        <w:numPr>
          <w:ilvl w:val="0"/>
          <w:numId w:val="2"/>
        </w:numPr>
        <w:spacing w:after="120"/>
        <w:rPr>
          <w:rFonts w:cs="Arial"/>
          <w:b/>
        </w:rPr>
      </w:pPr>
      <w:r>
        <w:rPr>
          <w:b/>
        </w:rPr>
        <w:t>PËRCAKTIMI I BURIMIT TË FINANCIMIT</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402"/>
        <w:gridCol w:w="674"/>
        <w:gridCol w:w="4155"/>
        <w:gridCol w:w="560"/>
      </w:tblGrid>
      <w:tr w:rsidR="007128F1" w:rsidRPr="00C73DEF" w14:paraId="1BAE596F"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A47EE" w14:textId="77777777" w:rsidR="007128F1" w:rsidRPr="00C73DEF" w:rsidRDefault="007128F1" w:rsidP="007128F1">
            <w:pPr>
              <w:spacing w:after="0" w:line="240" w:lineRule="auto"/>
              <w:rPr>
                <w:rFonts w:ascii="Arial" w:hAnsi="Arial" w:cs="Arial"/>
                <w:b/>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652C0" w14:textId="77777777" w:rsidR="007128F1" w:rsidRPr="00C73DEF" w:rsidRDefault="007128F1" w:rsidP="007128F1">
            <w:pPr>
              <w:spacing w:after="0" w:line="240" w:lineRule="auto"/>
              <w:jc w:val="center"/>
              <w:rPr>
                <w:rFonts w:ascii="Arial" w:hAnsi="Arial" w:cs="Arial"/>
                <w:b/>
                <w:sz w:val="20"/>
                <w:szCs w:val="20"/>
              </w:rPr>
            </w:pPr>
            <w:r>
              <w:rPr>
                <w:rFonts w:ascii="Arial" w:hAnsi="Arial"/>
                <w:b/>
                <w:sz w:val="20"/>
              </w:rPr>
              <w:t>Po</w:t>
            </w:r>
          </w:p>
        </w:tc>
        <w:tc>
          <w:tcPr>
            <w:tcW w:w="2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148B2" w14:textId="77777777" w:rsidR="007128F1" w:rsidRPr="00C73DEF" w:rsidRDefault="007128F1" w:rsidP="007128F1">
            <w:pPr>
              <w:spacing w:after="0" w:line="240" w:lineRule="auto"/>
              <w:jc w:val="center"/>
              <w:rPr>
                <w:rFonts w:ascii="Arial" w:hAnsi="Arial" w:cs="Arial"/>
                <w:b/>
                <w:sz w:val="20"/>
                <w:szCs w:val="20"/>
              </w:rPr>
            </w:pPr>
            <w:r>
              <w:rPr>
                <w:rFonts w:ascii="Arial" w:hAnsi="Arial"/>
                <w:b/>
                <w:sz w:val="20"/>
              </w:rPr>
              <w:t>Arsyetimi</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EB04C" w14:textId="77777777" w:rsidR="007128F1" w:rsidRPr="00C73DEF" w:rsidRDefault="007128F1" w:rsidP="007128F1">
            <w:pPr>
              <w:spacing w:after="0" w:line="240" w:lineRule="auto"/>
              <w:jc w:val="center"/>
              <w:rPr>
                <w:rFonts w:ascii="Arial" w:hAnsi="Arial" w:cs="Arial"/>
                <w:b/>
                <w:sz w:val="20"/>
                <w:szCs w:val="20"/>
              </w:rPr>
            </w:pPr>
            <w:r>
              <w:rPr>
                <w:rFonts w:ascii="Arial" w:hAnsi="Arial"/>
                <w:b/>
                <w:sz w:val="20"/>
              </w:rPr>
              <w:t>Jo</w:t>
            </w:r>
          </w:p>
        </w:tc>
      </w:tr>
      <w:tr w:rsidR="007128F1" w:rsidRPr="00C73DEF" w14:paraId="0DE3954B" w14:textId="77777777" w:rsidTr="007128F1">
        <w:trPr>
          <w:trHeight w:val="26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0AA9BAB0" w14:textId="77777777" w:rsidR="007128F1" w:rsidRPr="00C73DEF" w:rsidRDefault="007128F1" w:rsidP="007128F1">
            <w:pPr>
              <w:spacing w:after="0" w:line="240" w:lineRule="auto"/>
              <w:rPr>
                <w:rFonts w:ascii="Arial" w:hAnsi="Arial" w:cs="Arial"/>
                <w:sz w:val="20"/>
                <w:szCs w:val="20"/>
              </w:rPr>
            </w:pPr>
            <w:r>
              <w:rPr>
                <w:rFonts w:ascii="Arial" w:hAnsi="Arial"/>
                <w:sz w:val="20"/>
              </w:rPr>
              <w:t>A e përmirëson projekti lidhjen?</w:t>
            </w:r>
          </w:p>
        </w:tc>
        <w:tc>
          <w:tcPr>
            <w:tcW w:w="344" w:type="pct"/>
            <w:tcBorders>
              <w:top w:val="single" w:sz="4" w:space="0" w:color="auto"/>
              <w:left w:val="single" w:sz="4" w:space="0" w:color="auto"/>
              <w:bottom w:val="single" w:sz="4" w:space="0" w:color="auto"/>
              <w:right w:val="single" w:sz="4" w:space="0" w:color="auto"/>
            </w:tcBorders>
            <w:vAlign w:val="center"/>
          </w:tcPr>
          <w:p w14:paraId="2C6BB0BB" w14:textId="77777777" w:rsidR="007128F1" w:rsidRPr="00C73DEF"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3A67B1A7" w14:textId="77777777" w:rsidR="007128F1" w:rsidRPr="00C73DEF"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37172497" w14:textId="31A779AC" w:rsidR="007128F1" w:rsidRPr="00C73DEF" w:rsidRDefault="00B35E36" w:rsidP="00B35E36">
            <w:pPr>
              <w:spacing w:after="0" w:line="240" w:lineRule="auto"/>
              <w:jc w:val="center"/>
              <w:rPr>
                <w:rFonts w:ascii="Arial" w:hAnsi="Arial" w:cs="Arial"/>
                <w:sz w:val="20"/>
                <w:szCs w:val="20"/>
              </w:rPr>
            </w:pPr>
            <w:r>
              <w:rPr>
                <w:rFonts w:ascii="Arial" w:hAnsi="Arial"/>
                <w:sz w:val="20"/>
              </w:rPr>
              <w:t>X</w:t>
            </w:r>
          </w:p>
        </w:tc>
      </w:tr>
      <w:tr w:rsidR="007128F1" w:rsidRPr="00C73DEF" w14:paraId="563B3173"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6EE308F4" w14:textId="77777777" w:rsidR="007128F1" w:rsidRPr="00C73DEF" w:rsidRDefault="007128F1" w:rsidP="007128F1">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4" w:type="pct"/>
            <w:tcBorders>
              <w:top w:val="single" w:sz="4" w:space="0" w:color="auto"/>
              <w:left w:val="single" w:sz="4" w:space="0" w:color="auto"/>
              <w:bottom w:val="single" w:sz="4" w:space="0" w:color="auto"/>
              <w:right w:val="single" w:sz="4" w:space="0" w:color="auto"/>
            </w:tcBorders>
            <w:vAlign w:val="center"/>
          </w:tcPr>
          <w:p w14:paraId="16DB6703" w14:textId="77777777" w:rsidR="007128F1" w:rsidRPr="00C73DEF"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7A0BA6FE" w14:textId="77777777" w:rsidR="007128F1" w:rsidRPr="00C73DEF"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2C12545D" w14:textId="438B0F9A" w:rsidR="007128F1" w:rsidRPr="00C73DEF" w:rsidRDefault="00B35E36" w:rsidP="00B35E36">
            <w:pPr>
              <w:spacing w:after="0" w:line="240" w:lineRule="auto"/>
              <w:jc w:val="center"/>
              <w:rPr>
                <w:rFonts w:ascii="Arial" w:hAnsi="Arial" w:cs="Arial"/>
                <w:sz w:val="20"/>
                <w:szCs w:val="20"/>
              </w:rPr>
            </w:pPr>
            <w:r>
              <w:rPr>
                <w:rFonts w:ascii="Arial" w:hAnsi="Arial"/>
                <w:sz w:val="20"/>
              </w:rPr>
              <w:t>X</w:t>
            </w:r>
          </w:p>
        </w:tc>
      </w:tr>
      <w:tr w:rsidR="007128F1" w:rsidRPr="00C73DEF" w14:paraId="4BD20D62"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37E4F56D" w14:textId="77777777" w:rsidR="007128F1" w:rsidRPr="00C73DEF" w:rsidRDefault="007128F1" w:rsidP="007128F1">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4" w:type="pct"/>
            <w:tcBorders>
              <w:top w:val="single" w:sz="4" w:space="0" w:color="auto"/>
              <w:left w:val="single" w:sz="4" w:space="0" w:color="auto"/>
              <w:bottom w:val="single" w:sz="4" w:space="0" w:color="auto"/>
              <w:right w:val="single" w:sz="4" w:space="0" w:color="auto"/>
            </w:tcBorders>
            <w:vAlign w:val="center"/>
          </w:tcPr>
          <w:p w14:paraId="65A8189C" w14:textId="77777777" w:rsidR="007128F1" w:rsidRPr="00C73DEF"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7CC4F37B" w14:textId="77777777" w:rsidR="007128F1" w:rsidRPr="00C73DEF"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2ABDBB95" w14:textId="769CC651" w:rsidR="007128F1" w:rsidRPr="00C73DEF" w:rsidRDefault="00B35E36" w:rsidP="00B35E36">
            <w:pPr>
              <w:spacing w:after="0" w:line="240" w:lineRule="auto"/>
              <w:jc w:val="center"/>
              <w:rPr>
                <w:rFonts w:ascii="Arial" w:hAnsi="Arial" w:cs="Arial"/>
                <w:sz w:val="20"/>
                <w:szCs w:val="20"/>
              </w:rPr>
            </w:pPr>
            <w:r>
              <w:rPr>
                <w:rFonts w:ascii="Arial" w:hAnsi="Arial"/>
                <w:sz w:val="20"/>
              </w:rPr>
              <w:t>X</w:t>
            </w:r>
          </w:p>
        </w:tc>
      </w:tr>
    </w:tbl>
    <w:p w14:paraId="545842AA" w14:textId="77777777" w:rsidR="001C2CAF" w:rsidRPr="00C73DEF" w:rsidRDefault="001C2CAF" w:rsidP="001C2CAF">
      <w:pPr>
        <w:rPr>
          <w:rFonts w:ascii="Arial" w:hAnsi="Arial" w:cs="Arial"/>
          <w:b/>
        </w:rPr>
      </w:pPr>
    </w:p>
    <w:p w14:paraId="59025A55" w14:textId="23F11E1C" w:rsidR="001C2CAF" w:rsidRPr="00C73DEF" w:rsidRDefault="001C2CAF" w:rsidP="00D8184A">
      <w:pPr>
        <w:pStyle w:val="ListParagraph"/>
        <w:numPr>
          <w:ilvl w:val="0"/>
          <w:numId w:val="2"/>
        </w:numPr>
        <w:spacing w:after="120"/>
        <w:rPr>
          <w:rFonts w:cs="Arial"/>
          <w:b/>
        </w:rPr>
      </w:pPr>
      <w:r>
        <w:rPr>
          <w:b/>
        </w:rPr>
        <w:t>PLANIFIKIMI I SHPENZIM</w:t>
      </w:r>
      <w:r w:rsidR="004D00F4">
        <w:rPr>
          <w:b/>
        </w:rPr>
        <w:t>EVE</w:t>
      </w:r>
    </w:p>
    <w:tbl>
      <w:tblPr>
        <w:tblW w:w="49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1017"/>
        <w:gridCol w:w="1203"/>
        <w:gridCol w:w="1433"/>
        <w:gridCol w:w="1268"/>
        <w:gridCol w:w="1368"/>
      </w:tblGrid>
      <w:tr w:rsidR="00EB4652" w:rsidRPr="00C73DEF" w14:paraId="02FB96E3" w14:textId="77777777" w:rsidTr="00B35E36">
        <w:trPr>
          <w:trHeight w:val="306"/>
        </w:trPr>
        <w:tc>
          <w:tcPr>
            <w:tcW w:w="1810" w:type="pct"/>
            <w:shd w:val="clear" w:color="auto" w:fill="D9D9D9" w:themeFill="background1" w:themeFillShade="D9"/>
          </w:tcPr>
          <w:p w14:paraId="4A506245" w14:textId="73CA94F4" w:rsidR="007D65EE" w:rsidRPr="00C73DEF" w:rsidRDefault="008B21FD" w:rsidP="007D65EE">
            <w:pPr>
              <w:spacing w:after="0" w:line="260" w:lineRule="atLeast"/>
              <w:rPr>
                <w:rFonts w:ascii="Arial" w:hAnsi="Arial" w:cs="Arial"/>
                <w:sz w:val="18"/>
                <w:szCs w:val="20"/>
              </w:rPr>
            </w:pPr>
            <w:r>
              <w:rPr>
                <w:rFonts w:ascii="Arial" w:hAnsi="Arial"/>
                <w:b/>
                <w:sz w:val="18"/>
              </w:rPr>
              <w:t>Kostot (në euro) të:</w:t>
            </w:r>
          </w:p>
        </w:tc>
        <w:tc>
          <w:tcPr>
            <w:tcW w:w="516" w:type="pct"/>
            <w:shd w:val="clear" w:color="auto" w:fill="D9D9D9" w:themeFill="background1" w:themeFillShade="D9"/>
          </w:tcPr>
          <w:p w14:paraId="08D6C06B" w14:textId="77777777" w:rsidR="007D65EE" w:rsidRPr="00C73DEF" w:rsidRDefault="007D65EE" w:rsidP="007D65EE">
            <w:pPr>
              <w:spacing w:after="0" w:line="260" w:lineRule="atLeast"/>
              <w:rPr>
                <w:rFonts w:ascii="Arial" w:hAnsi="Arial" w:cs="Arial"/>
                <w:sz w:val="18"/>
                <w:szCs w:val="20"/>
              </w:rPr>
            </w:pPr>
            <w:r>
              <w:rPr>
                <w:rFonts w:ascii="Arial" w:hAnsi="Arial"/>
                <w:sz w:val="18"/>
              </w:rPr>
              <w:t>2024</w:t>
            </w:r>
          </w:p>
        </w:tc>
        <w:tc>
          <w:tcPr>
            <w:tcW w:w="610" w:type="pct"/>
            <w:shd w:val="clear" w:color="auto" w:fill="D9D9D9" w:themeFill="background1" w:themeFillShade="D9"/>
          </w:tcPr>
          <w:p w14:paraId="31A08A0F" w14:textId="77777777" w:rsidR="007D65EE" w:rsidRPr="00C73DEF" w:rsidRDefault="007D65EE" w:rsidP="007D65EE">
            <w:pPr>
              <w:spacing w:after="0" w:line="260" w:lineRule="atLeast"/>
              <w:rPr>
                <w:rFonts w:ascii="Arial" w:hAnsi="Arial" w:cs="Arial"/>
                <w:sz w:val="18"/>
                <w:szCs w:val="20"/>
              </w:rPr>
            </w:pPr>
            <w:r>
              <w:rPr>
                <w:rFonts w:ascii="Arial" w:hAnsi="Arial"/>
                <w:sz w:val="18"/>
              </w:rPr>
              <w:t>2025</w:t>
            </w:r>
          </w:p>
        </w:tc>
        <w:tc>
          <w:tcPr>
            <w:tcW w:w="727" w:type="pct"/>
            <w:shd w:val="clear" w:color="auto" w:fill="D9D9D9" w:themeFill="background1" w:themeFillShade="D9"/>
          </w:tcPr>
          <w:p w14:paraId="76DD3C56" w14:textId="77777777" w:rsidR="007D65EE" w:rsidRPr="00C73DEF" w:rsidRDefault="007D65EE" w:rsidP="007D65EE">
            <w:pPr>
              <w:spacing w:after="0" w:line="260" w:lineRule="atLeast"/>
              <w:rPr>
                <w:rFonts w:ascii="Arial" w:hAnsi="Arial" w:cs="Arial"/>
                <w:sz w:val="18"/>
                <w:szCs w:val="20"/>
              </w:rPr>
            </w:pPr>
            <w:r>
              <w:rPr>
                <w:rFonts w:ascii="Arial" w:hAnsi="Arial"/>
                <w:sz w:val="18"/>
              </w:rPr>
              <w:t>2026</w:t>
            </w:r>
          </w:p>
        </w:tc>
        <w:tc>
          <w:tcPr>
            <w:tcW w:w="643" w:type="pct"/>
            <w:shd w:val="clear" w:color="auto" w:fill="D9D9D9" w:themeFill="background1" w:themeFillShade="D9"/>
          </w:tcPr>
          <w:p w14:paraId="206095BF" w14:textId="77777777" w:rsidR="007D65EE" w:rsidRPr="00C73DEF" w:rsidRDefault="007D65EE" w:rsidP="007D65EE">
            <w:pPr>
              <w:spacing w:after="0" w:line="260" w:lineRule="atLeast"/>
              <w:rPr>
                <w:rFonts w:ascii="Arial" w:hAnsi="Arial" w:cs="Arial"/>
                <w:sz w:val="18"/>
                <w:szCs w:val="20"/>
              </w:rPr>
            </w:pPr>
            <w:r>
              <w:rPr>
                <w:rFonts w:ascii="Arial" w:hAnsi="Arial"/>
                <w:sz w:val="18"/>
              </w:rPr>
              <w:t>2027</w:t>
            </w:r>
          </w:p>
        </w:tc>
        <w:tc>
          <w:tcPr>
            <w:tcW w:w="694" w:type="pct"/>
            <w:shd w:val="clear" w:color="auto" w:fill="D9D9D9" w:themeFill="background1" w:themeFillShade="D9"/>
          </w:tcPr>
          <w:p w14:paraId="345D8672" w14:textId="77777777" w:rsidR="007D65EE" w:rsidRPr="00C73DEF" w:rsidRDefault="007D65EE" w:rsidP="007D65EE">
            <w:pPr>
              <w:spacing w:after="0" w:line="260" w:lineRule="atLeast"/>
              <w:rPr>
                <w:rFonts w:ascii="Arial" w:hAnsi="Arial" w:cs="Arial"/>
                <w:sz w:val="18"/>
                <w:szCs w:val="20"/>
              </w:rPr>
            </w:pPr>
            <w:r>
              <w:rPr>
                <w:rFonts w:ascii="Arial" w:hAnsi="Arial"/>
                <w:sz w:val="18"/>
              </w:rPr>
              <w:t>Total:</w:t>
            </w:r>
          </w:p>
        </w:tc>
      </w:tr>
      <w:tr w:rsidR="00EB4652" w:rsidRPr="00C73DEF" w14:paraId="4543C47A" w14:textId="77777777" w:rsidTr="00B35E36">
        <w:trPr>
          <w:trHeight w:val="827"/>
        </w:trPr>
        <w:tc>
          <w:tcPr>
            <w:tcW w:w="1810" w:type="pct"/>
            <w:shd w:val="clear" w:color="auto" w:fill="D9D9D9" w:themeFill="background1" w:themeFillShade="D9"/>
          </w:tcPr>
          <w:p w14:paraId="7FA2BB06" w14:textId="77777777" w:rsidR="00EB4652" w:rsidRPr="00C73DEF" w:rsidRDefault="00EB4652" w:rsidP="00EB4652">
            <w:pPr>
              <w:rPr>
                <w:rFonts w:ascii="Arial" w:hAnsi="Arial" w:cs="Arial"/>
                <w:sz w:val="20"/>
                <w:szCs w:val="20"/>
              </w:rPr>
            </w:pPr>
            <w:r>
              <w:rPr>
                <w:rFonts w:ascii="Arial" w:hAnsi="Arial"/>
                <w:sz w:val="20"/>
              </w:rPr>
              <w:t xml:space="preserve">Zëvendësimi / heqja e tubave AC, duke përfshirë transportin dhe ruajtjen e përafërsisht 17 ton mbeturina tubash AC </w:t>
            </w:r>
          </w:p>
        </w:tc>
        <w:tc>
          <w:tcPr>
            <w:tcW w:w="516" w:type="pct"/>
            <w:shd w:val="clear" w:color="auto" w:fill="auto"/>
          </w:tcPr>
          <w:p w14:paraId="20EDDF6D" w14:textId="77777777" w:rsidR="00EB4652" w:rsidRPr="00C73DEF" w:rsidRDefault="00EB4652" w:rsidP="00EB4652">
            <w:pPr>
              <w:spacing w:after="0" w:line="260" w:lineRule="atLeast"/>
              <w:rPr>
                <w:rFonts w:ascii="Arial" w:hAnsi="Arial" w:cs="Arial"/>
                <w:sz w:val="20"/>
                <w:szCs w:val="20"/>
              </w:rPr>
            </w:pPr>
          </w:p>
        </w:tc>
        <w:tc>
          <w:tcPr>
            <w:tcW w:w="610" w:type="pct"/>
            <w:shd w:val="clear" w:color="auto" w:fill="auto"/>
          </w:tcPr>
          <w:p w14:paraId="60A127F2" w14:textId="1821924D" w:rsidR="00EB4652" w:rsidRPr="00C73DEF" w:rsidRDefault="00B35E36" w:rsidP="00394481">
            <w:pPr>
              <w:jc w:val="right"/>
              <w:rPr>
                <w:rFonts w:ascii="Arial" w:hAnsi="Arial" w:cs="Arial"/>
                <w:sz w:val="18"/>
                <w:szCs w:val="18"/>
              </w:rPr>
            </w:pPr>
            <w:r>
              <w:rPr>
                <w:rFonts w:ascii="Arial" w:hAnsi="Arial"/>
                <w:sz w:val="18"/>
              </w:rPr>
              <w:t xml:space="preserve">4,709,812 </w:t>
            </w:r>
          </w:p>
        </w:tc>
        <w:tc>
          <w:tcPr>
            <w:tcW w:w="727" w:type="pct"/>
            <w:shd w:val="clear" w:color="auto" w:fill="auto"/>
          </w:tcPr>
          <w:p w14:paraId="21865678" w14:textId="0A552241" w:rsidR="00EB4652" w:rsidRPr="00C73DEF" w:rsidRDefault="00B35E36" w:rsidP="00394481">
            <w:pPr>
              <w:jc w:val="right"/>
              <w:rPr>
                <w:rFonts w:ascii="Arial" w:hAnsi="Arial" w:cs="Arial"/>
                <w:sz w:val="18"/>
                <w:szCs w:val="18"/>
              </w:rPr>
            </w:pPr>
            <w:r>
              <w:rPr>
                <w:rFonts w:ascii="Arial" w:hAnsi="Arial"/>
                <w:sz w:val="18"/>
              </w:rPr>
              <w:t xml:space="preserve">6,279,749 </w:t>
            </w:r>
          </w:p>
        </w:tc>
        <w:tc>
          <w:tcPr>
            <w:tcW w:w="643" w:type="pct"/>
            <w:shd w:val="clear" w:color="auto" w:fill="auto"/>
          </w:tcPr>
          <w:p w14:paraId="39AFEE1F" w14:textId="6D0FAF35" w:rsidR="00EB4652" w:rsidRPr="00C73DEF" w:rsidRDefault="00B35E36" w:rsidP="00394481">
            <w:pPr>
              <w:jc w:val="right"/>
              <w:rPr>
                <w:rFonts w:ascii="Arial" w:hAnsi="Arial" w:cs="Arial"/>
                <w:sz w:val="18"/>
                <w:szCs w:val="18"/>
              </w:rPr>
            </w:pPr>
            <w:r>
              <w:rPr>
                <w:rFonts w:ascii="Arial" w:hAnsi="Arial"/>
                <w:sz w:val="18"/>
              </w:rPr>
              <w:t xml:space="preserve">4,709,812 </w:t>
            </w:r>
          </w:p>
        </w:tc>
        <w:tc>
          <w:tcPr>
            <w:tcW w:w="694" w:type="pct"/>
            <w:shd w:val="clear" w:color="auto" w:fill="auto"/>
          </w:tcPr>
          <w:p w14:paraId="2D4EDB67" w14:textId="2E796297" w:rsidR="00EB4652" w:rsidRPr="00C73DEF" w:rsidRDefault="00B35E36" w:rsidP="00394481">
            <w:pPr>
              <w:jc w:val="right"/>
              <w:rPr>
                <w:rFonts w:ascii="Arial" w:hAnsi="Arial" w:cs="Arial"/>
                <w:sz w:val="18"/>
                <w:szCs w:val="18"/>
              </w:rPr>
            </w:pPr>
            <w:r>
              <w:rPr>
                <w:rFonts w:ascii="Arial" w:hAnsi="Arial"/>
                <w:sz w:val="18"/>
              </w:rPr>
              <w:t>15,699,372</w:t>
            </w:r>
          </w:p>
        </w:tc>
      </w:tr>
      <w:tr w:rsidR="00EB4652" w:rsidRPr="00C73DEF" w14:paraId="4C736901" w14:textId="77777777" w:rsidTr="00B35E36">
        <w:trPr>
          <w:trHeight w:val="306"/>
        </w:trPr>
        <w:tc>
          <w:tcPr>
            <w:tcW w:w="1810" w:type="pct"/>
            <w:shd w:val="clear" w:color="auto" w:fill="D9D9D9" w:themeFill="background1" w:themeFillShade="D9"/>
          </w:tcPr>
          <w:p w14:paraId="25DF4F17" w14:textId="77777777" w:rsidR="00EB4652" w:rsidRPr="00C73DEF" w:rsidRDefault="00EB4652" w:rsidP="00EB4652">
            <w:pPr>
              <w:spacing w:after="0" w:line="260" w:lineRule="atLeast"/>
              <w:rPr>
                <w:rFonts w:ascii="Arial" w:hAnsi="Arial" w:cs="Arial"/>
                <w:sz w:val="20"/>
                <w:szCs w:val="20"/>
              </w:rPr>
            </w:pPr>
            <w:r>
              <w:rPr>
                <w:rFonts w:ascii="Arial" w:hAnsi="Arial"/>
                <w:sz w:val="20"/>
              </w:rPr>
              <w:t>Krijimi i sistemit të monitorimit të cilësisë së ujit</w:t>
            </w:r>
          </w:p>
        </w:tc>
        <w:tc>
          <w:tcPr>
            <w:tcW w:w="516" w:type="pct"/>
            <w:shd w:val="clear" w:color="auto" w:fill="auto"/>
          </w:tcPr>
          <w:p w14:paraId="02E9DFCE" w14:textId="77777777" w:rsidR="00EB4652" w:rsidRPr="00C73DEF" w:rsidRDefault="00EB4652" w:rsidP="00EB4652">
            <w:pPr>
              <w:spacing w:after="0" w:line="260" w:lineRule="atLeast"/>
              <w:rPr>
                <w:rFonts w:ascii="Arial" w:hAnsi="Arial" w:cs="Arial"/>
                <w:sz w:val="20"/>
                <w:szCs w:val="20"/>
              </w:rPr>
            </w:pPr>
          </w:p>
        </w:tc>
        <w:tc>
          <w:tcPr>
            <w:tcW w:w="610" w:type="pct"/>
            <w:shd w:val="clear" w:color="auto" w:fill="auto"/>
          </w:tcPr>
          <w:p w14:paraId="613B8906" w14:textId="1CFDDD01" w:rsidR="00EB4652" w:rsidRPr="00C73DEF" w:rsidRDefault="00B35E36" w:rsidP="00394481">
            <w:pPr>
              <w:spacing w:after="0" w:line="260" w:lineRule="atLeast"/>
              <w:jc w:val="right"/>
              <w:rPr>
                <w:rFonts w:ascii="Arial" w:hAnsi="Arial" w:cs="Arial"/>
                <w:sz w:val="18"/>
                <w:szCs w:val="18"/>
              </w:rPr>
            </w:pPr>
            <w:r>
              <w:rPr>
                <w:rFonts w:ascii="Arial" w:hAnsi="Arial"/>
                <w:sz w:val="18"/>
              </w:rPr>
              <w:t>167,563</w:t>
            </w:r>
          </w:p>
        </w:tc>
        <w:tc>
          <w:tcPr>
            <w:tcW w:w="727" w:type="pct"/>
            <w:shd w:val="clear" w:color="auto" w:fill="auto"/>
          </w:tcPr>
          <w:p w14:paraId="440484F2" w14:textId="77777777" w:rsidR="00EB4652" w:rsidRPr="00C73DEF" w:rsidRDefault="00EB4652" w:rsidP="00394481">
            <w:pPr>
              <w:spacing w:after="0" w:line="260" w:lineRule="atLeast"/>
              <w:jc w:val="right"/>
              <w:rPr>
                <w:rFonts w:ascii="Arial" w:hAnsi="Arial" w:cs="Arial"/>
                <w:sz w:val="18"/>
                <w:szCs w:val="18"/>
              </w:rPr>
            </w:pPr>
          </w:p>
        </w:tc>
        <w:tc>
          <w:tcPr>
            <w:tcW w:w="643" w:type="pct"/>
            <w:shd w:val="clear" w:color="auto" w:fill="auto"/>
          </w:tcPr>
          <w:p w14:paraId="7C6D199E" w14:textId="77777777" w:rsidR="00EB4652" w:rsidRPr="00C73DEF" w:rsidRDefault="00EB4652" w:rsidP="00394481">
            <w:pPr>
              <w:spacing w:after="0" w:line="260" w:lineRule="atLeast"/>
              <w:jc w:val="right"/>
              <w:rPr>
                <w:rFonts w:ascii="Arial" w:hAnsi="Arial" w:cs="Arial"/>
                <w:sz w:val="18"/>
                <w:szCs w:val="18"/>
              </w:rPr>
            </w:pPr>
          </w:p>
        </w:tc>
        <w:tc>
          <w:tcPr>
            <w:tcW w:w="694" w:type="pct"/>
            <w:shd w:val="clear" w:color="auto" w:fill="auto"/>
          </w:tcPr>
          <w:p w14:paraId="007CBD36" w14:textId="05EE7870" w:rsidR="00EB4652" w:rsidRPr="00C73DEF" w:rsidRDefault="00B35E36" w:rsidP="00394481">
            <w:pPr>
              <w:spacing w:after="0" w:line="260" w:lineRule="atLeast"/>
              <w:jc w:val="right"/>
              <w:rPr>
                <w:rFonts w:ascii="Arial" w:hAnsi="Arial" w:cs="Arial"/>
                <w:sz w:val="18"/>
                <w:szCs w:val="18"/>
              </w:rPr>
            </w:pPr>
            <w:r>
              <w:rPr>
                <w:rFonts w:ascii="Arial" w:hAnsi="Arial"/>
                <w:sz w:val="18"/>
              </w:rPr>
              <w:t>167,563</w:t>
            </w:r>
          </w:p>
        </w:tc>
      </w:tr>
      <w:tr w:rsidR="00EB4652" w:rsidRPr="00C73DEF" w14:paraId="6714B794" w14:textId="77777777" w:rsidTr="00B35E36">
        <w:trPr>
          <w:trHeight w:val="306"/>
        </w:trPr>
        <w:tc>
          <w:tcPr>
            <w:tcW w:w="1810" w:type="pct"/>
            <w:shd w:val="clear" w:color="auto" w:fill="D9D9D9" w:themeFill="background1" w:themeFillShade="D9"/>
          </w:tcPr>
          <w:p w14:paraId="02902189" w14:textId="77777777" w:rsidR="00EB4652" w:rsidRPr="00C73DEF" w:rsidRDefault="00EB4652" w:rsidP="00EB4652">
            <w:pPr>
              <w:spacing w:after="0" w:line="260" w:lineRule="atLeast"/>
              <w:rPr>
                <w:rFonts w:ascii="Arial" w:hAnsi="Arial" w:cs="Arial"/>
                <w:sz w:val="20"/>
                <w:szCs w:val="20"/>
              </w:rPr>
            </w:pPr>
            <w:r>
              <w:rPr>
                <w:rFonts w:ascii="Arial" w:hAnsi="Arial"/>
                <w:sz w:val="20"/>
              </w:rPr>
              <w:t>Shumat e përkohshme</w:t>
            </w:r>
          </w:p>
        </w:tc>
        <w:tc>
          <w:tcPr>
            <w:tcW w:w="516" w:type="pct"/>
            <w:shd w:val="clear" w:color="auto" w:fill="auto"/>
          </w:tcPr>
          <w:p w14:paraId="6E633F5C" w14:textId="77777777" w:rsidR="00EB4652" w:rsidRPr="00C73DEF" w:rsidRDefault="00EB4652" w:rsidP="00EB4652">
            <w:pPr>
              <w:spacing w:after="0" w:line="260" w:lineRule="atLeast"/>
              <w:rPr>
                <w:rFonts w:ascii="Arial" w:hAnsi="Arial" w:cs="Arial"/>
                <w:sz w:val="20"/>
                <w:szCs w:val="20"/>
              </w:rPr>
            </w:pPr>
          </w:p>
        </w:tc>
        <w:tc>
          <w:tcPr>
            <w:tcW w:w="610" w:type="pct"/>
            <w:shd w:val="clear" w:color="auto" w:fill="auto"/>
          </w:tcPr>
          <w:p w14:paraId="7082AE46" w14:textId="6471448E" w:rsidR="00EB4652" w:rsidRPr="00C73DEF" w:rsidRDefault="00B35E36" w:rsidP="00394481">
            <w:pPr>
              <w:spacing w:after="0" w:line="260" w:lineRule="atLeast"/>
              <w:jc w:val="right"/>
              <w:rPr>
                <w:rFonts w:ascii="Arial" w:hAnsi="Arial" w:cs="Arial"/>
                <w:sz w:val="18"/>
                <w:szCs w:val="18"/>
              </w:rPr>
            </w:pPr>
            <w:r>
              <w:rPr>
                <w:rFonts w:ascii="Arial" w:hAnsi="Arial"/>
                <w:sz w:val="18"/>
              </w:rPr>
              <w:t>216,000</w:t>
            </w:r>
          </w:p>
        </w:tc>
        <w:tc>
          <w:tcPr>
            <w:tcW w:w="727" w:type="pct"/>
            <w:shd w:val="clear" w:color="auto" w:fill="auto"/>
          </w:tcPr>
          <w:p w14:paraId="60649BF4" w14:textId="438C2FE2" w:rsidR="00EB4652" w:rsidRPr="00C73DEF" w:rsidRDefault="00B35E36" w:rsidP="00394481">
            <w:pPr>
              <w:spacing w:after="0" w:line="260" w:lineRule="atLeast"/>
              <w:jc w:val="right"/>
              <w:rPr>
                <w:rFonts w:ascii="Arial" w:hAnsi="Arial" w:cs="Arial"/>
                <w:sz w:val="18"/>
                <w:szCs w:val="18"/>
              </w:rPr>
            </w:pPr>
            <w:r>
              <w:rPr>
                <w:rFonts w:ascii="Arial" w:hAnsi="Arial"/>
                <w:sz w:val="18"/>
              </w:rPr>
              <w:t>288,000</w:t>
            </w:r>
          </w:p>
        </w:tc>
        <w:tc>
          <w:tcPr>
            <w:tcW w:w="643" w:type="pct"/>
            <w:shd w:val="clear" w:color="auto" w:fill="auto"/>
          </w:tcPr>
          <w:p w14:paraId="0EBFC878" w14:textId="508952B8" w:rsidR="00EB4652" w:rsidRPr="00C73DEF" w:rsidRDefault="00B35E36" w:rsidP="00394481">
            <w:pPr>
              <w:spacing w:after="0" w:line="260" w:lineRule="atLeast"/>
              <w:jc w:val="right"/>
              <w:rPr>
                <w:rFonts w:ascii="Arial" w:hAnsi="Arial" w:cs="Arial"/>
                <w:sz w:val="18"/>
                <w:szCs w:val="18"/>
              </w:rPr>
            </w:pPr>
            <w:r>
              <w:rPr>
                <w:rFonts w:ascii="Arial" w:hAnsi="Arial"/>
                <w:sz w:val="18"/>
              </w:rPr>
              <w:t>216,000</w:t>
            </w:r>
          </w:p>
        </w:tc>
        <w:tc>
          <w:tcPr>
            <w:tcW w:w="694" w:type="pct"/>
            <w:shd w:val="clear" w:color="auto" w:fill="auto"/>
          </w:tcPr>
          <w:p w14:paraId="6E7A5B7D" w14:textId="523BE5C0" w:rsidR="00EB4652" w:rsidRPr="00C73DEF" w:rsidRDefault="00B35E36" w:rsidP="00394481">
            <w:pPr>
              <w:spacing w:after="0" w:line="260" w:lineRule="atLeast"/>
              <w:jc w:val="right"/>
              <w:rPr>
                <w:rFonts w:ascii="Arial" w:hAnsi="Arial" w:cs="Arial"/>
                <w:sz w:val="18"/>
                <w:szCs w:val="18"/>
              </w:rPr>
            </w:pPr>
            <w:r>
              <w:rPr>
                <w:rFonts w:ascii="Arial" w:hAnsi="Arial"/>
                <w:sz w:val="18"/>
              </w:rPr>
              <w:t>720,000</w:t>
            </w:r>
          </w:p>
        </w:tc>
      </w:tr>
      <w:tr w:rsidR="00EB4652" w:rsidRPr="00C73DEF" w14:paraId="31847CEB" w14:textId="77777777" w:rsidTr="00B35E36">
        <w:trPr>
          <w:trHeight w:val="306"/>
        </w:trPr>
        <w:tc>
          <w:tcPr>
            <w:tcW w:w="1810" w:type="pct"/>
            <w:shd w:val="clear" w:color="auto" w:fill="D9D9D9" w:themeFill="background1" w:themeFillShade="D9"/>
          </w:tcPr>
          <w:p w14:paraId="20D39BA2" w14:textId="77777777" w:rsidR="00EB4652" w:rsidRPr="00C73DEF" w:rsidRDefault="00EB4652" w:rsidP="00EB4652">
            <w:pPr>
              <w:spacing w:after="0" w:line="260" w:lineRule="atLeast"/>
              <w:rPr>
                <w:rFonts w:ascii="Arial" w:hAnsi="Arial" w:cs="Arial"/>
                <w:sz w:val="20"/>
                <w:szCs w:val="20"/>
              </w:rPr>
            </w:pPr>
            <w:r>
              <w:rPr>
                <w:rFonts w:ascii="Arial" w:hAnsi="Arial"/>
                <w:sz w:val="20"/>
              </w:rPr>
              <w:t>Asistencë teknike dhe mbikëqyrje</w:t>
            </w:r>
          </w:p>
        </w:tc>
        <w:tc>
          <w:tcPr>
            <w:tcW w:w="516" w:type="pct"/>
            <w:shd w:val="clear" w:color="auto" w:fill="auto"/>
          </w:tcPr>
          <w:p w14:paraId="71065AC8" w14:textId="77777777" w:rsidR="00EB4652" w:rsidRPr="00C73DEF" w:rsidRDefault="00EB4652" w:rsidP="00EB4652">
            <w:pPr>
              <w:spacing w:after="0" w:line="260" w:lineRule="atLeast"/>
              <w:rPr>
                <w:rFonts w:ascii="Arial" w:hAnsi="Arial" w:cs="Arial"/>
                <w:sz w:val="20"/>
                <w:szCs w:val="20"/>
              </w:rPr>
            </w:pPr>
          </w:p>
        </w:tc>
        <w:tc>
          <w:tcPr>
            <w:tcW w:w="610" w:type="pct"/>
            <w:shd w:val="clear" w:color="auto" w:fill="auto"/>
          </w:tcPr>
          <w:p w14:paraId="1BD5AF0F" w14:textId="6B6CEAE8" w:rsidR="00EB4652" w:rsidRPr="00C73DEF" w:rsidRDefault="00B35E36" w:rsidP="00394481">
            <w:pPr>
              <w:spacing w:after="0" w:line="260" w:lineRule="atLeast"/>
              <w:jc w:val="right"/>
              <w:rPr>
                <w:rFonts w:ascii="Arial" w:hAnsi="Arial" w:cs="Arial"/>
                <w:sz w:val="18"/>
                <w:szCs w:val="18"/>
              </w:rPr>
            </w:pPr>
            <w:r>
              <w:rPr>
                <w:rFonts w:ascii="Arial" w:hAnsi="Arial"/>
                <w:sz w:val="18"/>
              </w:rPr>
              <w:t>300,000</w:t>
            </w:r>
          </w:p>
        </w:tc>
        <w:tc>
          <w:tcPr>
            <w:tcW w:w="727" w:type="pct"/>
            <w:shd w:val="clear" w:color="auto" w:fill="auto"/>
          </w:tcPr>
          <w:p w14:paraId="6FA9846C" w14:textId="66B3268F" w:rsidR="00EB4652" w:rsidRPr="00C73DEF" w:rsidRDefault="00B35E36" w:rsidP="00394481">
            <w:pPr>
              <w:spacing w:after="0" w:line="260" w:lineRule="atLeast"/>
              <w:jc w:val="right"/>
              <w:rPr>
                <w:rFonts w:ascii="Arial" w:hAnsi="Arial" w:cs="Arial"/>
                <w:sz w:val="18"/>
                <w:szCs w:val="18"/>
              </w:rPr>
            </w:pPr>
            <w:r>
              <w:rPr>
                <w:rFonts w:ascii="Arial" w:hAnsi="Arial"/>
                <w:sz w:val="18"/>
              </w:rPr>
              <w:t>400,000</w:t>
            </w:r>
          </w:p>
        </w:tc>
        <w:tc>
          <w:tcPr>
            <w:tcW w:w="643" w:type="pct"/>
            <w:shd w:val="clear" w:color="auto" w:fill="auto"/>
          </w:tcPr>
          <w:p w14:paraId="554A295B" w14:textId="780BB09D" w:rsidR="00EB4652" w:rsidRPr="00C73DEF" w:rsidRDefault="00B35E36" w:rsidP="00394481">
            <w:pPr>
              <w:spacing w:after="0" w:line="260" w:lineRule="atLeast"/>
              <w:jc w:val="right"/>
              <w:rPr>
                <w:rFonts w:ascii="Arial" w:hAnsi="Arial" w:cs="Arial"/>
                <w:sz w:val="18"/>
                <w:szCs w:val="18"/>
              </w:rPr>
            </w:pPr>
            <w:r>
              <w:rPr>
                <w:rFonts w:ascii="Arial" w:hAnsi="Arial"/>
                <w:sz w:val="18"/>
              </w:rPr>
              <w:t>300,000</w:t>
            </w:r>
          </w:p>
        </w:tc>
        <w:tc>
          <w:tcPr>
            <w:tcW w:w="694" w:type="pct"/>
            <w:shd w:val="clear" w:color="auto" w:fill="auto"/>
          </w:tcPr>
          <w:p w14:paraId="1921674C" w14:textId="61E5AF59" w:rsidR="00EB4652" w:rsidRPr="00C73DEF" w:rsidRDefault="00B35E36" w:rsidP="00394481">
            <w:pPr>
              <w:spacing w:after="0" w:line="260" w:lineRule="atLeast"/>
              <w:jc w:val="right"/>
              <w:rPr>
                <w:rFonts w:ascii="Arial" w:hAnsi="Arial" w:cs="Arial"/>
                <w:sz w:val="18"/>
                <w:szCs w:val="18"/>
              </w:rPr>
            </w:pPr>
            <w:r>
              <w:rPr>
                <w:rFonts w:ascii="Arial" w:hAnsi="Arial"/>
                <w:sz w:val="18"/>
              </w:rPr>
              <w:t>1,000.000</w:t>
            </w:r>
          </w:p>
        </w:tc>
      </w:tr>
      <w:tr w:rsidR="00EB4652" w:rsidRPr="00C73DEF" w14:paraId="23BCE764" w14:textId="77777777" w:rsidTr="00B35E36">
        <w:trPr>
          <w:trHeight w:val="306"/>
        </w:trPr>
        <w:tc>
          <w:tcPr>
            <w:tcW w:w="1810" w:type="pct"/>
            <w:shd w:val="clear" w:color="auto" w:fill="D9D9D9" w:themeFill="background1" w:themeFillShade="D9"/>
          </w:tcPr>
          <w:p w14:paraId="42B90096" w14:textId="77777777" w:rsidR="00EB4652" w:rsidRPr="00C73DEF" w:rsidRDefault="00EB4652" w:rsidP="00EB4652">
            <w:pPr>
              <w:spacing w:after="0" w:line="260" w:lineRule="atLeast"/>
              <w:rPr>
                <w:rFonts w:ascii="Arial" w:hAnsi="Arial" w:cs="Arial"/>
                <w:sz w:val="20"/>
                <w:szCs w:val="20"/>
              </w:rPr>
            </w:pPr>
            <w:r>
              <w:rPr>
                <w:rFonts w:ascii="Arial" w:hAnsi="Arial"/>
                <w:sz w:val="20"/>
              </w:rPr>
              <w:t>Total:</w:t>
            </w:r>
          </w:p>
        </w:tc>
        <w:tc>
          <w:tcPr>
            <w:tcW w:w="516" w:type="pct"/>
            <w:shd w:val="clear" w:color="auto" w:fill="auto"/>
          </w:tcPr>
          <w:p w14:paraId="4E5863B1" w14:textId="77777777" w:rsidR="00EB4652" w:rsidRPr="00C73DEF" w:rsidRDefault="00EB4652" w:rsidP="00EB4652">
            <w:pPr>
              <w:spacing w:after="0" w:line="260" w:lineRule="atLeast"/>
              <w:rPr>
                <w:rFonts w:ascii="Arial" w:hAnsi="Arial" w:cs="Arial"/>
                <w:b/>
                <w:sz w:val="20"/>
                <w:szCs w:val="20"/>
              </w:rPr>
            </w:pPr>
          </w:p>
        </w:tc>
        <w:tc>
          <w:tcPr>
            <w:tcW w:w="610" w:type="pct"/>
            <w:shd w:val="clear" w:color="auto" w:fill="auto"/>
          </w:tcPr>
          <w:p w14:paraId="2FF5580A" w14:textId="74ECDA34" w:rsidR="00EB4652" w:rsidRPr="00C73DEF" w:rsidRDefault="00B35E36" w:rsidP="00394481">
            <w:pPr>
              <w:spacing w:after="0" w:line="260" w:lineRule="atLeast"/>
              <w:jc w:val="right"/>
              <w:rPr>
                <w:rFonts w:ascii="Arial" w:hAnsi="Arial" w:cs="Arial"/>
                <w:b/>
                <w:sz w:val="18"/>
                <w:szCs w:val="18"/>
              </w:rPr>
            </w:pPr>
            <w:r>
              <w:rPr>
                <w:rFonts w:ascii="Arial" w:hAnsi="Arial"/>
                <w:b/>
                <w:sz w:val="18"/>
              </w:rPr>
              <w:t>9,168,837</w:t>
            </w:r>
          </w:p>
        </w:tc>
        <w:tc>
          <w:tcPr>
            <w:tcW w:w="727" w:type="pct"/>
            <w:shd w:val="clear" w:color="auto" w:fill="auto"/>
          </w:tcPr>
          <w:p w14:paraId="723F5032" w14:textId="16C654B9" w:rsidR="00EB4652" w:rsidRPr="00C73DEF" w:rsidRDefault="00B35E36" w:rsidP="00394481">
            <w:pPr>
              <w:spacing w:after="0" w:line="260" w:lineRule="atLeast"/>
              <w:jc w:val="right"/>
              <w:rPr>
                <w:rFonts w:ascii="Arial" w:hAnsi="Arial" w:cs="Arial"/>
                <w:b/>
                <w:sz w:val="18"/>
                <w:szCs w:val="18"/>
              </w:rPr>
            </w:pPr>
            <w:r>
              <w:rPr>
                <w:rFonts w:ascii="Arial" w:hAnsi="Arial"/>
                <w:b/>
                <w:sz w:val="18"/>
              </w:rPr>
              <w:t>12,001,685</w:t>
            </w:r>
          </w:p>
        </w:tc>
        <w:tc>
          <w:tcPr>
            <w:tcW w:w="643" w:type="pct"/>
            <w:shd w:val="clear" w:color="auto" w:fill="auto"/>
          </w:tcPr>
          <w:p w14:paraId="01F482D5" w14:textId="16628BE1" w:rsidR="00EB4652" w:rsidRPr="00C73DEF" w:rsidRDefault="00B35E36" w:rsidP="00394481">
            <w:pPr>
              <w:spacing w:after="0" w:line="260" w:lineRule="atLeast"/>
              <w:jc w:val="right"/>
              <w:rPr>
                <w:rFonts w:ascii="Arial" w:hAnsi="Arial" w:cs="Arial"/>
                <w:b/>
                <w:sz w:val="18"/>
                <w:szCs w:val="18"/>
              </w:rPr>
            </w:pPr>
            <w:r>
              <w:rPr>
                <w:rFonts w:ascii="Arial" w:hAnsi="Arial"/>
                <w:b/>
                <w:sz w:val="18"/>
              </w:rPr>
              <w:t>9,001,264</w:t>
            </w:r>
          </w:p>
        </w:tc>
        <w:tc>
          <w:tcPr>
            <w:tcW w:w="694" w:type="pct"/>
            <w:shd w:val="clear" w:color="auto" w:fill="auto"/>
          </w:tcPr>
          <w:p w14:paraId="1C4BD1D0" w14:textId="7645F984" w:rsidR="00EB4652" w:rsidRPr="00C73DEF" w:rsidRDefault="008B21FD" w:rsidP="00394481">
            <w:pPr>
              <w:spacing w:after="0" w:line="260" w:lineRule="atLeast"/>
              <w:jc w:val="right"/>
              <w:rPr>
                <w:rFonts w:ascii="Arial" w:hAnsi="Arial" w:cs="Arial"/>
                <w:b/>
                <w:sz w:val="18"/>
                <w:szCs w:val="18"/>
              </w:rPr>
            </w:pPr>
            <w:r>
              <w:rPr>
                <w:rFonts w:ascii="Arial" w:hAnsi="Arial"/>
                <w:b/>
                <w:sz w:val="18"/>
              </w:rPr>
              <w:t>17,886,945</w:t>
            </w:r>
          </w:p>
        </w:tc>
      </w:tr>
    </w:tbl>
    <w:p w14:paraId="2105B51B" w14:textId="77777777" w:rsidR="0074067A" w:rsidRPr="00C73DEF" w:rsidRDefault="0074067A" w:rsidP="001C2CAF">
      <w:pPr>
        <w:spacing w:before="200" w:after="120" w:line="240" w:lineRule="auto"/>
        <w:rPr>
          <w:rFonts w:ascii="Arial" w:hAnsi="Arial" w:cs="Arial"/>
          <w:b/>
        </w:rPr>
      </w:pPr>
    </w:p>
    <w:p w14:paraId="7301951D" w14:textId="77777777" w:rsidR="0074067A" w:rsidRPr="00C73DEF" w:rsidRDefault="007128F1" w:rsidP="00D8184A">
      <w:pPr>
        <w:pStyle w:val="ListParagraph"/>
        <w:numPr>
          <w:ilvl w:val="0"/>
          <w:numId w:val="2"/>
        </w:numPr>
        <w:spacing w:after="120"/>
        <w:rPr>
          <w:rFonts w:cs="Arial"/>
          <w:b/>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044"/>
        <w:gridCol w:w="5852"/>
      </w:tblGrid>
      <w:tr w:rsidR="007128F1" w:rsidRPr="00C73DEF" w14:paraId="7E77DD64" w14:textId="77777777" w:rsidTr="00BD1A4A">
        <w:trPr>
          <w:trHeight w:val="1016"/>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1EC25E3E" w14:textId="77777777" w:rsidR="007128F1" w:rsidRPr="00C73DEF" w:rsidRDefault="007128F1" w:rsidP="001E3D7C">
            <w:pPr>
              <w:spacing w:after="0" w:line="240" w:lineRule="auto"/>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21A628CC" w14:textId="4D031922" w:rsidR="007128F1" w:rsidRPr="00BD1A4A" w:rsidRDefault="00BD1A4A" w:rsidP="00BD1A4A">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tc>
      </w:tr>
      <w:tr w:rsidR="007128F1" w:rsidRPr="00C73DEF" w14:paraId="19AC6A30"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2B6C532" w14:textId="77777777" w:rsidR="0037107A" w:rsidRDefault="007128F1" w:rsidP="007128F1">
            <w:pPr>
              <w:spacing w:after="0" w:line="240" w:lineRule="auto"/>
              <w:rPr>
                <w:rFonts w:ascii="Arial" w:hAnsi="Arial"/>
                <w:sz w:val="20"/>
              </w:rPr>
            </w:pPr>
            <w:r>
              <w:rPr>
                <w:rFonts w:ascii="Arial" w:hAnsi="Arial"/>
                <w:sz w:val="20"/>
              </w:rPr>
              <w:t>Mbësht</w:t>
            </w:r>
            <w:r w:rsidR="0037107A">
              <w:rPr>
                <w:rFonts w:ascii="Arial" w:hAnsi="Arial"/>
                <w:sz w:val="20"/>
              </w:rPr>
              <w:t>etja ekzistuese e BE-së ose WBIF</w:t>
            </w:r>
          </w:p>
          <w:p w14:paraId="577549E0" w14:textId="6EB4A1F9" w:rsidR="007128F1" w:rsidRPr="00C73DEF" w:rsidRDefault="007128F1" w:rsidP="007128F1">
            <w:pPr>
              <w:spacing w:after="0" w:line="240" w:lineRule="auto"/>
              <w:rPr>
                <w:rFonts w:ascii="Arial" w:hAnsi="Arial" w:cs="Arial"/>
                <w:sz w:val="20"/>
                <w:szCs w:val="20"/>
              </w:rPr>
            </w:pP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499FFCA7" w14:textId="1DCB3E2F" w:rsidR="007128F1" w:rsidRPr="00C73DEF" w:rsidRDefault="00B35E36" w:rsidP="00D51D93">
            <w:pPr>
              <w:spacing w:after="0" w:line="240" w:lineRule="auto"/>
              <w:rPr>
                <w:rFonts w:ascii="Arial" w:hAnsi="Arial" w:cs="Arial"/>
                <w:sz w:val="20"/>
                <w:szCs w:val="20"/>
              </w:rPr>
            </w:pPr>
            <w:r>
              <w:rPr>
                <w:rFonts w:ascii="Arial" w:hAnsi="Arial"/>
                <w:sz w:val="20"/>
              </w:rPr>
              <w:t xml:space="preserve">KIBP: 900,000 euro, studim fizibiliteti dhe dizajn përfundimtar përmes Bankës Evropiane të Investimeve (EIB). </w:t>
            </w:r>
          </w:p>
        </w:tc>
      </w:tr>
      <w:tr w:rsidR="007128F1" w:rsidRPr="00C73DEF" w14:paraId="2C3933DB"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6726CE9" w14:textId="77777777" w:rsidR="007128F1" w:rsidRPr="00C73DEF" w:rsidRDefault="007128F1" w:rsidP="001E3D7C">
            <w:pPr>
              <w:spacing w:after="0" w:line="240" w:lineRule="auto"/>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6EC8E655" w14:textId="65A5179D" w:rsidR="007128F1" w:rsidRPr="00C73DEF" w:rsidRDefault="001458A0" w:rsidP="0030710A">
            <w:pPr>
              <w:spacing w:after="0" w:line="240" w:lineRule="auto"/>
              <w:rPr>
                <w:rFonts w:ascii="Arial" w:hAnsi="Arial" w:cs="Arial"/>
                <w:sz w:val="20"/>
                <w:szCs w:val="20"/>
              </w:rPr>
            </w:pPr>
            <w:r>
              <w:rPr>
                <w:rFonts w:ascii="Arial" w:hAnsi="Arial"/>
                <w:sz w:val="20"/>
              </w:rPr>
              <w:t>Po, ata ishin të informuar për projektin.</w:t>
            </w:r>
          </w:p>
        </w:tc>
      </w:tr>
      <w:tr w:rsidR="007128F1" w:rsidRPr="00C73DEF" w14:paraId="054B1C3B"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9871E78" w14:textId="77777777" w:rsidR="007128F1" w:rsidRPr="00C73DEF" w:rsidRDefault="007128F1" w:rsidP="007128F1">
            <w:pPr>
              <w:spacing w:after="0" w:line="240" w:lineRule="auto"/>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3FA8A721" w14:textId="77777777" w:rsidR="00D25C85" w:rsidRPr="00C73DEF" w:rsidRDefault="00D25C85" w:rsidP="00D25C85">
            <w:pPr>
              <w:spacing w:after="0"/>
              <w:rPr>
                <w:rFonts w:ascii="Arial" w:hAnsi="Arial" w:cs="Arial"/>
                <w:sz w:val="20"/>
                <w:szCs w:val="20"/>
              </w:rPr>
            </w:pPr>
            <w:r>
              <w:rPr>
                <w:rFonts w:ascii="Arial" w:hAnsi="Arial"/>
                <w:sz w:val="20"/>
              </w:rPr>
              <w:t xml:space="preserve">Deri në vitin 2029, efekti i përgjithshëm i projektit në lidhje me UPA bazë 2022 pritet të jetë: </w:t>
            </w:r>
          </w:p>
          <w:p w14:paraId="4420660B" w14:textId="77777777" w:rsidR="00D25C85" w:rsidRPr="00C73DEF" w:rsidRDefault="00D25C85" w:rsidP="00D25C85">
            <w:pPr>
              <w:spacing w:after="0"/>
              <w:rPr>
                <w:rFonts w:ascii="Arial" w:hAnsi="Arial" w:cs="Arial"/>
                <w:sz w:val="20"/>
                <w:szCs w:val="20"/>
              </w:rPr>
            </w:pPr>
            <w:r>
              <w:rPr>
                <w:rFonts w:ascii="Arial" w:hAnsi="Arial"/>
                <w:sz w:val="20"/>
              </w:rPr>
              <w:t>› Ulja e VHS nga 16,177 milion m</w:t>
            </w:r>
            <w:r>
              <w:rPr>
                <w:rFonts w:ascii="Arial" w:hAnsi="Arial"/>
                <w:sz w:val="20"/>
                <w:vertAlign w:val="superscript"/>
              </w:rPr>
              <w:t>3</w:t>
            </w:r>
            <w:r>
              <w:rPr>
                <w:rFonts w:ascii="Arial" w:hAnsi="Arial"/>
                <w:sz w:val="20"/>
              </w:rPr>
              <w:t xml:space="preserve"> në 15,174 milion m</w:t>
            </w:r>
            <w:r>
              <w:rPr>
                <w:rFonts w:ascii="Arial" w:hAnsi="Arial"/>
                <w:sz w:val="20"/>
                <w:vertAlign w:val="superscript"/>
              </w:rPr>
              <w:t>3</w:t>
            </w:r>
          </w:p>
          <w:p w14:paraId="29F791A8" w14:textId="77777777" w:rsidR="00D25C85" w:rsidRPr="00C73DEF" w:rsidRDefault="00D25C85" w:rsidP="00D25C85">
            <w:pPr>
              <w:spacing w:after="0"/>
              <w:rPr>
                <w:rFonts w:ascii="Arial" w:hAnsi="Arial" w:cs="Arial"/>
                <w:sz w:val="20"/>
                <w:szCs w:val="20"/>
              </w:rPr>
            </w:pPr>
            <w:r>
              <w:rPr>
                <w:rFonts w:ascii="Arial" w:hAnsi="Arial"/>
                <w:sz w:val="20"/>
              </w:rPr>
              <w:t>› Ulja e humbjeve të dukshme nga 2.3 milion m</w:t>
            </w:r>
            <w:r>
              <w:rPr>
                <w:rFonts w:ascii="Arial" w:hAnsi="Arial"/>
                <w:sz w:val="20"/>
                <w:vertAlign w:val="superscript"/>
              </w:rPr>
              <w:t>3</w:t>
            </w:r>
            <w:r>
              <w:rPr>
                <w:rFonts w:ascii="Arial" w:hAnsi="Arial"/>
                <w:sz w:val="20"/>
              </w:rPr>
              <w:t xml:space="preserve"> në 0.6 milion m</w:t>
            </w:r>
            <w:r>
              <w:rPr>
                <w:rFonts w:ascii="Arial" w:hAnsi="Arial"/>
                <w:sz w:val="20"/>
                <w:vertAlign w:val="superscript"/>
              </w:rPr>
              <w:t>3</w:t>
            </w:r>
            <w:r>
              <w:rPr>
                <w:rFonts w:ascii="Arial" w:hAnsi="Arial"/>
                <w:sz w:val="20"/>
              </w:rPr>
              <w:t xml:space="preserve">, ose nga 14.2% në 4.5% të VHS </w:t>
            </w:r>
          </w:p>
          <w:p w14:paraId="199BB5D2" w14:textId="77777777" w:rsidR="00D25C85" w:rsidRPr="00C73DEF" w:rsidRDefault="00D25C85" w:rsidP="00D25C85">
            <w:pPr>
              <w:spacing w:after="0"/>
              <w:rPr>
                <w:rFonts w:ascii="Arial" w:hAnsi="Arial" w:cs="Arial"/>
                <w:sz w:val="20"/>
                <w:szCs w:val="20"/>
              </w:rPr>
            </w:pPr>
            <w:r>
              <w:rPr>
                <w:rFonts w:ascii="Arial" w:hAnsi="Arial"/>
                <w:sz w:val="20"/>
              </w:rPr>
              <w:t>› Ulja e humbjeve reale nga 5.1 milion m</w:t>
            </w:r>
            <w:r>
              <w:rPr>
                <w:rFonts w:ascii="Arial" w:hAnsi="Arial"/>
                <w:sz w:val="20"/>
                <w:vertAlign w:val="superscript"/>
              </w:rPr>
              <w:t>3</w:t>
            </w:r>
            <w:r>
              <w:rPr>
                <w:rFonts w:ascii="Arial" w:hAnsi="Arial"/>
                <w:sz w:val="20"/>
              </w:rPr>
              <w:t xml:space="preserve"> në 3.48 milion m</w:t>
            </w:r>
            <w:r>
              <w:rPr>
                <w:rFonts w:ascii="Arial" w:hAnsi="Arial"/>
                <w:sz w:val="20"/>
                <w:vertAlign w:val="superscript"/>
              </w:rPr>
              <w:t>3</w:t>
            </w:r>
            <w:r>
              <w:rPr>
                <w:rFonts w:ascii="Arial" w:hAnsi="Arial"/>
                <w:sz w:val="20"/>
              </w:rPr>
              <w:t xml:space="preserve">, ose nga 31.7% në 23% të VHS </w:t>
            </w:r>
          </w:p>
          <w:p w14:paraId="26682B1F" w14:textId="408EF59C" w:rsidR="007128F1" w:rsidRPr="00C73DEF" w:rsidRDefault="00D25C85" w:rsidP="00D15EFC">
            <w:pPr>
              <w:spacing w:after="0"/>
              <w:rPr>
                <w:rFonts w:ascii="Arial" w:hAnsi="Arial" w:cs="Arial"/>
                <w:sz w:val="20"/>
                <w:szCs w:val="20"/>
              </w:rPr>
            </w:pPr>
            <w:r>
              <w:rPr>
                <w:rFonts w:ascii="Arial" w:hAnsi="Arial"/>
                <w:sz w:val="20"/>
              </w:rPr>
              <w:t>› Ulja e UPA nga 7,592 milion m</w:t>
            </w:r>
            <w:r>
              <w:rPr>
                <w:rFonts w:ascii="Arial" w:hAnsi="Arial"/>
                <w:sz w:val="20"/>
                <w:vertAlign w:val="superscript"/>
              </w:rPr>
              <w:t>3</w:t>
            </w:r>
            <w:r>
              <w:rPr>
                <w:rFonts w:ascii="Arial" w:hAnsi="Arial"/>
                <w:sz w:val="20"/>
              </w:rPr>
              <w:t xml:space="preserve"> në 4,628 milion m</w:t>
            </w:r>
            <w:r>
              <w:rPr>
                <w:rFonts w:ascii="Arial" w:hAnsi="Arial"/>
                <w:sz w:val="20"/>
                <w:vertAlign w:val="superscript"/>
              </w:rPr>
              <w:t>3</w:t>
            </w:r>
            <w:r>
              <w:rPr>
                <w:rFonts w:ascii="Arial" w:hAnsi="Arial"/>
                <w:sz w:val="20"/>
              </w:rPr>
              <w:t>, ose nga 46.9% në 30.5% të VHS.</w:t>
            </w:r>
          </w:p>
        </w:tc>
      </w:tr>
      <w:tr w:rsidR="007128F1" w:rsidRPr="00C73DEF" w14:paraId="59A26A11"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D86C05A" w14:textId="77777777" w:rsidR="007128F1" w:rsidRPr="00C73DEF" w:rsidRDefault="007128F1" w:rsidP="007128F1">
            <w:pPr>
              <w:spacing w:after="0" w:line="240" w:lineRule="auto"/>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6BB16269" w14:textId="0A88A2FB" w:rsidR="00D25C85" w:rsidRDefault="00D25C85" w:rsidP="00D25C85">
            <w:pPr>
              <w:spacing w:after="28" w:line="234" w:lineRule="auto"/>
              <w:ind w:right="1"/>
              <w:rPr>
                <w:rFonts w:ascii="Arial" w:hAnsi="Arial" w:cs="Arial"/>
                <w:sz w:val="20"/>
                <w:szCs w:val="20"/>
              </w:rPr>
            </w:pPr>
            <w:r>
              <w:rPr>
                <w:rFonts w:ascii="Arial" w:hAnsi="Arial"/>
                <w:sz w:val="20"/>
              </w:rPr>
              <w:t xml:space="preserve">Përfituesi kryesor është Kompania Rajonale e Ujësjellësit “Gjakova” pasi që ajo ka edhe pronësinë e projektit. </w:t>
            </w:r>
          </w:p>
          <w:p w14:paraId="36E12B8F" w14:textId="77777777" w:rsidR="0030710A" w:rsidRPr="00C73DEF" w:rsidRDefault="0030710A" w:rsidP="00D25C85">
            <w:pPr>
              <w:spacing w:after="28" w:line="234" w:lineRule="auto"/>
              <w:ind w:right="1"/>
              <w:rPr>
                <w:rFonts w:ascii="Arial" w:hAnsi="Arial" w:cs="Arial"/>
                <w:sz w:val="20"/>
                <w:szCs w:val="20"/>
              </w:rPr>
            </w:pPr>
          </w:p>
          <w:p w14:paraId="69A4FBD5" w14:textId="61F912A6" w:rsidR="00387064" w:rsidRDefault="00D25C85" w:rsidP="00D25C85">
            <w:pPr>
              <w:spacing w:after="28" w:line="234" w:lineRule="auto"/>
              <w:ind w:right="1"/>
              <w:rPr>
                <w:rFonts w:ascii="Arial" w:hAnsi="Arial" w:cs="Arial"/>
                <w:sz w:val="20"/>
                <w:szCs w:val="20"/>
              </w:rPr>
            </w:pPr>
            <w:r>
              <w:rPr>
                <w:rFonts w:ascii="Arial" w:hAnsi="Arial"/>
                <w:sz w:val="20"/>
              </w:rPr>
              <w:t>Ministria e Ekonomisë, e cila është përgjegjëse për administrimin e Kompanive Rajonale të Ujësjellësit.</w:t>
            </w:r>
          </w:p>
          <w:p w14:paraId="2B4D548E" w14:textId="77777777" w:rsidR="0030710A" w:rsidRPr="00C73DEF" w:rsidRDefault="0030710A" w:rsidP="00D25C85">
            <w:pPr>
              <w:spacing w:after="28" w:line="234" w:lineRule="auto"/>
              <w:ind w:right="1"/>
              <w:rPr>
                <w:rFonts w:ascii="Arial" w:hAnsi="Arial" w:cs="Arial"/>
                <w:sz w:val="20"/>
                <w:szCs w:val="20"/>
              </w:rPr>
            </w:pPr>
          </w:p>
          <w:p w14:paraId="59DBC876" w14:textId="4F822AE8" w:rsidR="00D25C85" w:rsidRDefault="00387064" w:rsidP="00D25C85">
            <w:pPr>
              <w:spacing w:after="28" w:line="234" w:lineRule="auto"/>
              <w:ind w:right="1"/>
              <w:rPr>
                <w:rFonts w:ascii="Arial" w:hAnsi="Arial" w:cs="Arial"/>
                <w:sz w:val="20"/>
                <w:szCs w:val="20"/>
              </w:rPr>
            </w:pPr>
            <w:r>
              <w:rPr>
                <w:rFonts w:ascii="Arial" w:hAnsi="Arial"/>
                <w:sz w:val="20"/>
              </w:rPr>
              <w:t>Ministria e Financave, përgjegjëse për inicimin dhe negocimin e marrëveshjes së kredisë me IFN-të. Përgjegjës për dorëzimin e marrëveshjes së huasë në parlament për ratifikim si dhe për dhënien e garancisë shtetërore.</w:t>
            </w:r>
          </w:p>
          <w:p w14:paraId="616B1A9B" w14:textId="77777777" w:rsidR="0030710A" w:rsidRPr="00C73DEF" w:rsidRDefault="0030710A" w:rsidP="00D25C85">
            <w:pPr>
              <w:spacing w:after="28" w:line="234" w:lineRule="auto"/>
              <w:ind w:right="1"/>
              <w:rPr>
                <w:rFonts w:ascii="Arial" w:hAnsi="Arial" w:cs="Arial"/>
                <w:sz w:val="20"/>
                <w:szCs w:val="20"/>
              </w:rPr>
            </w:pPr>
          </w:p>
          <w:p w14:paraId="5FA631D4" w14:textId="1FB41209" w:rsidR="007128F1" w:rsidRPr="00C73DEF" w:rsidRDefault="00D25C85" w:rsidP="00D25C85">
            <w:pPr>
              <w:spacing w:after="0" w:line="240" w:lineRule="auto"/>
              <w:rPr>
                <w:rFonts w:ascii="Arial" w:hAnsi="Arial" w:cs="Arial"/>
                <w:sz w:val="20"/>
                <w:szCs w:val="20"/>
              </w:rPr>
            </w:pPr>
            <w:r>
              <w:rPr>
                <w:rFonts w:ascii="Arial" w:hAnsi="Arial"/>
                <w:sz w:val="20"/>
              </w:rPr>
              <w:lastRenderedPageBreak/>
              <w:t>Zyra e Kryeministrit/IKKPA, përgjegjëse për koordinimin e aktiviteteve në përgatitjen dhe dorëzimin e aplikacionit.</w:t>
            </w:r>
          </w:p>
          <w:p w14:paraId="05D27F7D" w14:textId="77777777" w:rsidR="00D25C85" w:rsidRPr="00C73DEF" w:rsidRDefault="00D25C85" w:rsidP="00D25C85">
            <w:pPr>
              <w:spacing w:after="0" w:line="240" w:lineRule="auto"/>
              <w:rPr>
                <w:rFonts w:ascii="Arial" w:hAnsi="Arial" w:cs="Arial"/>
                <w:sz w:val="20"/>
                <w:szCs w:val="20"/>
              </w:rPr>
            </w:pPr>
          </w:p>
          <w:p w14:paraId="4D1C806A" w14:textId="469741E1" w:rsidR="0030710A" w:rsidRPr="00C73DEF" w:rsidRDefault="00D25C85" w:rsidP="00D25C85">
            <w:pPr>
              <w:spacing w:after="0"/>
              <w:rPr>
                <w:rFonts w:ascii="Arial" w:hAnsi="Arial" w:cs="Arial"/>
                <w:sz w:val="20"/>
                <w:szCs w:val="20"/>
              </w:rPr>
            </w:pPr>
            <w:r>
              <w:rPr>
                <w:rFonts w:ascii="Arial" w:hAnsi="Arial"/>
                <w:sz w:val="20"/>
              </w:rPr>
              <w:t>Në kuadër të Kompanisë Rajonale të Ujësjellësit “Gjakova” për zbatimin e këtij projekti do të krijohet Njësia për Zbatimin e Projektit. NjZP do të përbëhet nga punonjës të KRU Gjakova dhe do të themelohet në bashkëpunim të ngushtë me IFN-në udhëheqëse.</w:t>
            </w:r>
          </w:p>
          <w:p w14:paraId="5D214A2D" w14:textId="77777777" w:rsidR="00D25C85" w:rsidRPr="00C73DEF" w:rsidRDefault="00D25C85" w:rsidP="00D25C85">
            <w:pPr>
              <w:spacing w:after="0"/>
              <w:rPr>
                <w:rFonts w:ascii="Arial" w:hAnsi="Arial" w:cs="Arial"/>
                <w:sz w:val="20"/>
                <w:szCs w:val="20"/>
                <w:u w:val="single"/>
              </w:rPr>
            </w:pPr>
            <w:r>
              <w:rPr>
                <w:rFonts w:ascii="Arial" w:hAnsi="Arial"/>
                <w:sz w:val="20"/>
                <w:u w:val="single"/>
              </w:rPr>
              <w:t>Rolet specifike të stafit të angazhuar në projekt janë përshkruar më poshtë:</w:t>
            </w:r>
          </w:p>
          <w:p w14:paraId="4402C40A" w14:textId="2E965F16" w:rsidR="00D25C85" w:rsidRPr="00C73DEF" w:rsidRDefault="00D25C85" w:rsidP="00D25C85">
            <w:pPr>
              <w:spacing w:after="0"/>
              <w:rPr>
                <w:rFonts w:ascii="Arial" w:hAnsi="Arial" w:cs="Arial"/>
                <w:sz w:val="20"/>
                <w:szCs w:val="20"/>
              </w:rPr>
            </w:pPr>
            <w:r>
              <w:rPr>
                <w:rFonts w:ascii="Arial" w:hAnsi="Arial"/>
                <w:sz w:val="20"/>
                <w:u w:val="single"/>
              </w:rPr>
              <w:t>Koordinatori i projektit-</w:t>
            </w:r>
            <w:r>
              <w:rPr>
                <w:rFonts w:ascii="Arial" w:hAnsi="Arial"/>
                <w:sz w:val="20"/>
              </w:rPr>
              <w:t xml:space="preserve"> Koordinon zbatimin e punimeve në projekt dhe kujdeset për mbarëvajtjen e zbatimit.</w:t>
            </w:r>
          </w:p>
          <w:p w14:paraId="39278621" w14:textId="77777777" w:rsidR="00D25C85" w:rsidRPr="00C73DEF" w:rsidRDefault="00D25C85" w:rsidP="00D25C85">
            <w:pPr>
              <w:spacing w:after="0"/>
              <w:rPr>
                <w:rFonts w:ascii="Arial" w:hAnsi="Arial" w:cs="Arial"/>
                <w:sz w:val="20"/>
                <w:szCs w:val="20"/>
              </w:rPr>
            </w:pPr>
            <w:r>
              <w:rPr>
                <w:rFonts w:ascii="Arial" w:hAnsi="Arial"/>
                <w:sz w:val="20"/>
                <w:u w:val="single"/>
              </w:rPr>
              <w:t>Inxhinierët e ndërtimit</w:t>
            </w:r>
            <w:r>
              <w:rPr>
                <w:rFonts w:ascii="Arial" w:hAnsi="Arial"/>
                <w:sz w:val="20"/>
              </w:rPr>
              <w:t xml:space="preserve"> - do të angazhohet në mbikëqyrjen dhe monitorimin e zbatimit të projektit.</w:t>
            </w:r>
          </w:p>
          <w:p w14:paraId="1CA76C98" w14:textId="5365769D" w:rsidR="00D25C85" w:rsidRPr="00C73DEF" w:rsidRDefault="00D25C85" w:rsidP="00D25C85">
            <w:pPr>
              <w:spacing w:after="0"/>
              <w:rPr>
                <w:rFonts w:ascii="Arial" w:hAnsi="Arial" w:cs="Arial"/>
                <w:sz w:val="20"/>
                <w:szCs w:val="20"/>
              </w:rPr>
            </w:pPr>
            <w:r>
              <w:rPr>
                <w:rFonts w:ascii="Arial" w:hAnsi="Arial"/>
                <w:sz w:val="20"/>
                <w:u w:val="single"/>
              </w:rPr>
              <w:t>Zyrtar ligjor</w:t>
            </w:r>
            <w:r>
              <w:rPr>
                <w:rFonts w:ascii="Arial" w:hAnsi="Arial"/>
                <w:sz w:val="20"/>
              </w:rPr>
              <w:t xml:space="preserve"> - përgjegjës për trajtimin e aspekteve ligjore të projektit (licencat, etj).</w:t>
            </w:r>
          </w:p>
          <w:p w14:paraId="5DFDD317" w14:textId="77777777" w:rsidR="00D25C85" w:rsidRPr="00C73DEF" w:rsidRDefault="00D25C85" w:rsidP="00D25C85">
            <w:pPr>
              <w:spacing w:after="0"/>
              <w:rPr>
                <w:rFonts w:ascii="Arial" w:hAnsi="Arial" w:cs="Arial"/>
                <w:sz w:val="20"/>
                <w:szCs w:val="20"/>
              </w:rPr>
            </w:pPr>
            <w:r>
              <w:rPr>
                <w:rFonts w:ascii="Arial" w:hAnsi="Arial"/>
                <w:sz w:val="20"/>
                <w:u w:val="single"/>
              </w:rPr>
              <w:t>Inxhinier gjeodet</w:t>
            </w:r>
            <w:r>
              <w:rPr>
                <w:rFonts w:ascii="Arial" w:hAnsi="Arial"/>
                <w:sz w:val="20"/>
              </w:rPr>
              <w:t xml:space="preserve"> – përgjegjës për monitorimin e të dhënave topografike dhe rilevimin gjatë zbatimit të projektit.</w:t>
            </w:r>
          </w:p>
          <w:p w14:paraId="6683640E" w14:textId="1725CCD4" w:rsidR="00D25C85" w:rsidRPr="00C73DEF" w:rsidRDefault="00D25C85" w:rsidP="00AF6C09">
            <w:pPr>
              <w:spacing w:after="0"/>
              <w:rPr>
                <w:rFonts w:ascii="Arial" w:hAnsi="Arial" w:cs="Arial"/>
                <w:sz w:val="20"/>
                <w:szCs w:val="20"/>
              </w:rPr>
            </w:pPr>
            <w:r>
              <w:rPr>
                <w:rFonts w:ascii="Arial" w:hAnsi="Arial"/>
                <w:sz w:val="20"/>
                <w:u w:val="single"/>
              </w:rPr>
              <w:t>Ekonomist</w:t>
            </w:r>
            <w:r>
              <w:rPr>
                <w:rFonts w:ascii="Arial" w:hAnsi="Arial"/>
                <w:sz w:val="20"/>
              </w:rPr>
              <w:t xml:space="preserve"> – përgjegjës për aspektet financiare të projekteve.</w:t>
            </w:r>
          </w:p>
        </w:tc>
      </w:tr>
    </w:tbl>
    <w:p w14:paraId="46CBE71E" w14:textId="77777777" w:rsidR="007128F1" w:rsidRPr="00C73DEF" w:rsidRDefault="007128F1" w:rsidP="007128F1">
      <w:pPr>
        <w:spacing w:after="0" w:line="240" w:lineRule="auto"/>
        <w:rPr>
          <w:rFonts w:ascii="Arial" w:hAnsi="Arial" w:cs="Arial"/>
          <w:sz w:val="20"/>
          <w:szCs w:val="20"/>
        </w:rPr>
      </w:pPr>
    </w:p>
    <w:p w14:paraId="4924213F" w14:textId="77777777" w:rsidR="006F1611" w:rsidRPr="00C73DEF" w:rsidRDefault="006F1611">
      <w:pPr>
        <w:spacing w:after="0" w:line="240" w:lineRule="auto"/>
        <w:rPr>
          <w:rFonts w:ascii="Arial" w:hAnsi="Arial" w:cs="Arial"/>
        </w:rPr>
      </w:pPr>
    </w:p>
    <w:p w14:paraId="0A1C3D8A" w14:textId="77777777" w:rsidR="00141AD3" w:rsidRPr="00C73DEF" w:rsidRDefault="00141AD3" w:rsidP="00DA5F0A">
      <w:pPr>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8718DD4" w14:textId="77777777" w:rsidR="0019538C" w:rsidRPr="00C73DEF" w:rsidRDefault="0019538C" w:rsidP="00BE2A05">
      <w:pPr>
        <w:jc w:val="right"/>
        <w:rPr>
          <w:rFonts w:ascii="Arial" w:hAnsi="Arial" w:cs="Arial"/>
          <w:sz w:val="20"/>
          <w:szCs w:val="20"/>
        </w:rPr>
      </w:pPr>
    </w:p>
    <w:sectPr w:rsidR="0019538C" w:rsidRPr="00C73DEF" w:rsidSect="00FC644F">
      <w:headerReference w:type="default" r:id="rId12"/>
      <w:footerReference w:type="default" r:id="rId13"/>
      <w:headerReference w:type="first" r:id="rId14"/>
      <w:footerReference w:type="first" r:id="rId15"/>
      <w:pgSz w:w="11913" w:h="16834" w:code="9"/>
      <w:pgMar w:top="720" w:right="720" w:bottom="720" w:left="720" w:header="397" w:footer="0" w:gutter="567"/>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7E0D0" w14:textId="77777777" w:rsidR="00B0594B" w:rsidRDefault="00B0594B" w:rsidP="00CE33CC">
      <w:pPr>
        <w:spacing w:after="0" w:line="240" w:lineRule="auto"/>
      </w:pPr>
      <w:r>
        <w:separator/>
      </w:r>
    </w:p>
  </w:endnote>
  <w:endnote w:type="continuationSeparator" w:id="0">
    <w:p w14:paraId="5654C042" w14:textId="77777777" w:rsidR="00B0594B" w:rsidRDefault="00B0594B"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BD3FF96" w14:textId="419369D4" w:rsidR="0083451C" w:rsidRPr="0083451C" w:rsidRDefault="0083451C" w:rsidP="00B35E36">
        <w:pPr>
          <w:pStyle w:val="Footer"/>
          <w:rPr>
            <w:rFonts w:ascii="Arial" w:hAnsi="Arial" w:cs="Arial"/>
            <w:noProof/>
            <w:color w:val="003870"/>
            <w:sz w:val="17"/>
            <w:szCs w:val="17"/>
          </w:rPr>
        </w:pPr>
      </w:p>
      <w:p w14:paraId="2F00D730" w14:textId="77777777" w:rsidR="0083451C" w:rsidRDefault="00B0594B" w:rsidP="00B35E36">
        <w:pPr>
          <w:pStyle w:val="Footer"/>
        </w:pPr>
      </w:p>
    </w:sdtContent>
  </w:sdt>
  <w:p w14:paraId="4E4C2108"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744B3BD5" w14:textId="5CD7598C"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FA6DFF">
          <w:rPr>
            <w:rFonts w:ascii="Arial" w:hAnsi="Arial" w:cs="Arial"/>
            <w:noProof/>
            <w:color w:val="003870"/>
            <w:sz w:val="17"/>
          </w:rPr>
          <w:t>1</w:t>
        </w:r>
        <w:r w:rsidR="00FC644F" w:rsidRPr="0083451C">
          <w:rPr>
            <w:rFonts w:ascii="Arial" w:hAnsi="Arial" w:cs="Arial"/>
            <w:color w:val="003870"/>
            <w:sz w:val="17"/>
          </w:rPr>
          <w:fldChar w:fldCharType="end"/>
        </w:r>
      </w:p>
      <w:p w14:paraId="05433D4A" w14:textId="77777777" w:rsidR="00FC644F" w:rsidRDefault="00B0594B" w:rsidP="00FC644F">
        <w:pPr>
          <w:pStyle w:val="Footer"/>
          <w:jc w:val="right"/>
          <w:rPr>
            <w:noProof/>
          </w:rPr>
        </w:pPr>
      </w:p>
    </w:sdtContent>
  </w:sdt>
  <w:p w14:paraId="7F92EA5D"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A0746" w14:textId="77777777" w:rsidR="00B0594B" w:rsidRDefault="00B0594B" w:rsidP="00CE33CC">
      <w:pPr>
        <w:spacing w:after="0" w:line="240" w:lineRule="auto"/>
      </w:pPr>
      <w:r>
        <w:separator/>
      </w:r>
    </w:p>
  </w:footnote>
  <w:footnote w:type="continuationSeparator" w:id="0">
    <w:p w14:paraId="19664D25" w14:textId="77777777" w:rsidR="00B0594B" w:rsidRDefault="00B0594B"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EBA9" w14:textId="77777777" w:rsidR="00743564" w:rsidRDefault="00F87596" w:rsidP="00F87596">
    <w:pPr>
      <w:pStyle w:val="Header"/>
      <w:rPr>
        <w:noProof/>
      </w:rPr>
    </w:pPr>
    <w:r>
      <w:t xml:space="preserve">                                                                                     </w:t>
    </w:r>
  </w:p>
  <w:p w14:paraId="196B977A"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1146"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5B2"/>
    <w:multiLevelType w:val="hybridMultilevel"/>
    <w:tmpl w:val="A49C887A"/>
    <w:lvl w:ilvl="0" w:tplc="04090005">
      <w:start w:val="1"/>
      <w:numFmt w:val="bullet"/>
      <w:lvlText w:val=""/>
      <w:lvlJc w:val="left"/>
      <w:pPr>
        <w:ind w:left="874" w:hanging="360"/>
      </w:pPr>
      <w:rPr>
        <w:rFonts w:ascii="Wingdings" w:hAnsi="Wingdings"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1"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FEB2E72"/>
    <w:multiLevelType w:val="hybridMultilevel"/>
    <w:tmpl w:val="11DEB7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33618FB"/>
    <w:multiLevelType w:val="hybridMultilevel"/>
    <w:tmpl w:val="FC222FA0"/>
    <w:lvl w:ilvl="0" w:tplc="C3AEA52C">
      <w:start w:val="1"/>
      <w:numFmt w:val="bullet"/>
      <w:lvlText w:val=""/>
      <w:lvlJc w:val="left"/>
      <w:pPr>
        <w:ind w:left="828" w:hanging="360"/>
      </w:pPr>
      <w:rPr>
        <w:rFonts w:ascii="Symbol" w:hAnsi="Symbol" w:hint="default"/>
      </w:rPr>
    </w:lvl>
    <w:lvl w:ilvl="1" w:tplc="041C0003" w:tentative="1">
      <w:start w:val="1"/>
      <w:numFmt w:val="bullet"/>
      <w:lvlText w:val="o"/>
      <w:lvlJc w:val="left"/>
      <w:pPr>
        <w:ind w:left="1548" w:hanging="360"/>
      </w:pPr>
      <w:rPr>
        <w:rFonts w:ascii="Courier New" w:hAnsi="Courier New" w:cs="Courier New" w:hint="default"/>
      </w:rPr>
    </w:lvl>
    <w:lvl w:ilvl="2" w:tplc="041C0005" w:tentative="1">
      <w:start w:val="1"/>
      <w:numFmt w:val="bullet"/>
      <w:lvlText w:val=""/>
      <w:lvlJc w:val="left"/>
      <w:pPr>
        <w:ind w:left="2268" w:hanging="360"/>
      </w:pPr>
      <w:rPr>
        <w:rFonts w:ascii="Wingdings" w:hAnsi="Wingdings" w:hint="default"/>
      </w:rPr>
    </w:lvl>
    <w:lvl w:ilvl="3" w:tplc="041C0001" w:tentative="1">
      <w:start w:val="1"/>
      <w:numFmt w:val="bullet"/>
      <w:lvlText w:val=""/>
      <w:lvlJc w:val="left"/>
      <w:pPr>
        <w:ind w:left="2988" w:hanging="360"/>
      </w:pPr>
      <w:rPr>
        <w:rFonts w:ascii="Symbol" w:hAnsi="Symbol" w:hint="default"/>
      </w:rPr>
    </w:lvl>
    <w:lvl w:ilvl="4" w:tplc="041C0003" w:tentative="1">
      <w:start w:val="1"/>
      <w:numFmt w:val="bullet"/>
      <w:lvlText w:val="o"/>
      <w:lvlJc w:val="left"/>
      <w:pPr>
        <w:ind w:left="3708" w:hanging="360"/>
      </w:pPr>
      <w:rPr>
        <w:rFonts w:ascii="Courier New" w:hAnsi="Courier New" w:cs="Courier New" w:hint="default"/>
      </w:rPr>
    </w:lvl>
    <w:lvl w:ilvl="5" w:tplc="041C0005" w:tentative="1">
      <w:start w:val="1"/>
      <w:numFmt w:val="bullet"/>
      <w:lvlText w:val=""/>
      <w:lvlJc w:val="left"/>
      <w:pPr>
        <w:ind w:left="4428" w:hanging="360"/>
      </w:pPr>
      <w:rPr>
        <w:rFonts w:ascii="Wingdings" w:hAnsi="Wingdings" w:hint="default"/>
      </w:rPr>
    </w:lvl>
    <w:lvl w:ilvl="6" w:tplc="041C0001" w:tentative="1">
      <w:start w:val="1"/>
      <w:numFmt w:val="bullet"/>
      <w:lvlText w:val=""/>
      <w:lvlJc w:val="left"/>
      <w:pPr>
        <w:ind w:left="5148" w:hanging="360"/>
      </w:pPr>
      <w:rPr>
        <w:rFonts w:ascii="Symbol" w:hAnsi="Symbol" w:hint="default"/>
      </w:rPr>
    </w:lvl>
    <w:lvl w:ilvl="7" w:tplc="041C0003" w:tentative="1">
      <w:start w:val="1"/>
      <w:numFmt w:val="bullet"/>
      <w:lvlText w:val="o"/>
      <w:lvlJc w:val="left"/>
      <w:pPr>
        <w:ind w:left="5868" w:hanging="360"/>
      </w:pPr>
      <w:rPr>
        <w:rFonts w:ascii="Courier New" w:hAnsi="Courier New" w:cs="Courier New" w:hint="default"/>
      </w:rPr>
    </w:lvl>
    <w:lvl w:ilvl="8" w:tplc="041C0005" w:tentative="1">
      <w:start w:val="1"/>
      <w:numFmt w:val="bullet"/>
      <w:lvlText w:val=""/>
      <w:lvlJc w:val="left"/>
      <w:pPr>
        <w:ind w:left="6588" w:hanging="360"/>
      </w:pPr>
      <w:rPr>
        <w:rFonts w:ascii="Wingdings" w:hAnsi="Wingdings" w:hint="default"/>
      </w:rPr>
    </w:lvl>
  </w:abstractNum>
  <w:abstractNum w:abstractNumId="4" w15:restartNumberingAfterBreak="0">
    <w:nsid w:val="33FC13AA"/>
    <w:multiLevelType w:val="multilevel"/>
    <w:tmpl w:val="1A5E0E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63302"/>
    <w:multiLevelType w:val="hybridMultilevel"/>
    <w:tmpl w:val="02AA7F74"/>
    <w:lvl w:ilvl="0" w:tplc="FAEA7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CD796B"/>
    <w:multiLevelType w:val="hybridMultilevel"/>
    <w:tmpl w:val="AE2E9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EE059B4"/>
    <w:multiLevelType w:val="hybridMultilevel"/>
    <w:tmpl w:val="C756E578"/>
    <w:lvl w:ilvl="0" w:tplc="C3AEA5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0510CB"/>
    <w:multiLevelType w:val="hybridMultilevel"/>
    <w:tmpl w:val="413E3D1A"/>
    <w:lvl w:ilvl="0" w:tplc="91F869B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7"/>
  </w:num>
  <w:num w:numId="5">
    <w:abstractNumId w:val="3"/>
  </w:num>
  <w:num w:numId="6">
    <w:abstractNumId w:val="6"/>
  </w:num>
  <w:num w:numId="7">
    <w:abstractNumId w:val="9"/>
  </w:num>
  <w:num w:numId="8">
    <w:abstractNumId w:val="2"/>
  </w:num>
  <w:num w:numId="9">
    <w:abstractNumId w:val="8"/>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160A2"/>
    <w:rsid w:val="00024F00"/>
    <w:rsid w:val="00040FFD"/>
    <w:rsid w:val="000477E4"/>
    <w:rsid w:val="000525F5"/>
    <w:rsid w:val="000757F4"/>
    <w:rsid w:val="0007598A"/>
    <w:rsid w:val="00077EBE"/>
    <w:rsid w:val="00080661"/>
    <w:rsid w:val="00090897"/>
    <w:rsid w:val="000A4E3E"/>
    <w:rsid w:val="000B021F"/>
    <w:rsid w:val="000E16B9"/>
    <w:rsid w:val="000E37B4"/>
    <w:rsid w:val="000E4F37"/>
    <w:rsid w:val="000F3B1C"/>
    <w:rsid w:val="00112040"/>
    <w:rsid w:val="00121A79"/>
    <w:rsid w:val="0012661D"/>
    <w:rsid w:val="001314A0"/>
    <w:rsid w:val="00141AD3"/>
    <w:rsid w:val="001429B6"/>
    <w:rsid w:val="001458A0"/>
    <w:rsid w:val="00151274"/>
    <w:rsid w:val="00164336"/>
    <w:rsid w:val="00170C0C"/>
    <w:rsid w:val="0018576E"/>
    <w:rsid w:val="001913E5"/>
    <w:rsid w:val="0019538C"/>
    <w:rsid w:val="00197CB7"/>
    <w:rsid w:val="001A129D"/>
    <w:rsid w:val="001A1984"/>
    <w:rsid w:val="001A7589"/>
    <w:rsid w:val="001B0A2F"/>
    <w:rsid w:val="001C2CAF"/>
    <w:rsid w:val="001E21A8"/>
    <w:rsid w:val="001E3D7C"/>
    <w:rsid w:val="001F405F"/>
    <w:rsid w:val="001F66ED"/>
    <w:rsid w:val="002014D5"/>
    <w:rsid w:val="002146EA"/>
    <w:rsid w:val="00216A63"/>
    <w:rsid w:val="00230229"/>
    <w:rsid w:val="002368E8"/>
    <w:rsid w:val="002474EE"/>
    <w:rsid w:val="00252A19"/>
    <w:rsid w:val="00254927"/>
    <w:rsid w:val="0026664D"/>
    <w:rsid w:val="00267781"/>
    <w:rsid w:val="002829B8"/>
    <w:rsid w:val="00286652"/>
    <w:rsid w:val="002B15FF"/>
    <w:rsid w:val="002B2DBF"/>
    <w:rsid w:val="002C2D74"/>
    <w:rsid w:val="002F395B"/>
    <w:rsid w:val="00306980"/>
    <w:rsid w:val="0030710A"/>
    <w:rsid w:val="00311853"/>
    <w:rsid w:val="003234A2"/>
    <w:rsid w:val="003332E9"/>
    <w:rsid w:val="003540DB"/>
    <w:rsid w:val="00364FB5"/>
    <w:rsid w:val="0037107A"/>
    <w:rsid w:val="00387064"/>
    <w:rsid w:val="00393D13"/>
    <w:rsid w:val="00394481"/>
    <w:rsid w:val="00397383"/>
    <w:rsid w:val="003B2BCA"/>
    <w:rsid w:val="003C3ED9"/>
    <w:rsid w:val="003F5B83"/>
    <w:rsid w:val="003F72F1"/>
    <w:rsid w:val="004040FC"/>
    <w:rsid w:val="00415FC4"/>
    <w:rsid w:val="0043684E"/>
    <w:rsid w:val="00461529"/>
    <w:rsid w:val="004969CD"/>
    <w:rsid w:val="004974EC"/>
    <w:rsid w:val="004B138C"/>
    <w:rsid w:val="004B21C7"/>
    <w:rsid w:val="004D00F4"/>
    <w:rsid w:val="004D754C"/>
    <w:rsid w:val="004F1AE7"/>
    <w:rsid w:val="00501A11"/>
    <w:rsid w:val="00502F50"/>
    <w:rsid w:val="005148BB"/>
    <w:rsid w:val="00515173"/>
    <w:rsid w:val="005421C3"/>
    <w:rsid w:val="00542768"/>
    <w:rsid w:val="005466FC"/>
    <w:rsid w:val="005531AD"/>
    <w:rsid w:val="00586FD1"/>
    <w:rsid w:val="00594E83"/>
    <w:rsid w:val="005A127A"/>
    <w:rsid w:val="005A3F39"/>
    <w:rsid w:val="005B145C"/>
    <w:rsid w:val="005D7AD2"/>
    <w:rsid w:val="005E135B"/>
    <w:rsid w:val="00602E39"/>
    <w:rsid w:val="006149B7"/>
    <w:rsid w:val="0062444C"/>
    <w:rsid w:val="0062702F"/>
    <w:rsid w:val="00631B88"/>
    <w:rsid w:val="006419D2"/>
    <w:rsid w:val="0065147C"/>
    <w:rsid w:val="00667E55"/>
    <w:rsid w:val="006848C7"/>
    <w:rsid w:val="00685929"/>
    <w:rsid w:val="006C06D5"/>
    <w:rsid w:val="006D2384"/>
    <w:rsid w:val="006D5800"/>
    <w:rsid w:val="006E23C6"/>
    <w:rsid w:val="006E585A"/>
    <w:rsid w:val="006F1611"/>
    <w:rsid w:val="006F689B"/>
    <w:rsid w:val="0070491D"/>
    <w:rsid w:val="007054F7"/>
    <w:rsid w:val="007112D4"/>
    <w:rsid w:val="007128F1"/>
    <w:rsid w:val="00712D73"/>
    <w:rsid w:val="007138C8"/>
    <w:rsid w:val="00714EE7"/>
    <w:rsid w:val="00732239"/>
    <w:rsid w:val="00735156"/>
    <w:rsid w:val="0074067A"/>
    <w:rsid w:val="00743564"/>
    <w:rsid w:val="007615F1"/>
    <w:rsid w:val="00775C29"/>
    <w:rsid w:val="007A679C"/>
    <w:rsid w:val="007B0787"/>
    <w:rsid w:val="007D65EE"/>
    <w:rsid w:val="007E176E"/>
    <w:rsid w:val="007F7DCE"/>
    <w:rsid w:val="00832D07"/>
    <w:rsid w:val="0083451C"/>
    <w:rsid w:val="00834D1F"/>
    <w:rsid w:val="00860221"/>
    <w:rsid w:val="00886B8D"/>
    <w:rsid w:val="008B21FD"/>
    <w:rsid w:val="008C79BD"/>
    <w:rsid w:val="008C7C9A"/>
    <w:rsid w:val="008D362D"/>
    <w:rsid w:val="008E1521"/>
    <w:rsid w:val="008F59D1"/>
    <w:rsid w:val="009105D4"/>
    <w:rsid w:val="00922308"/>
    <w:rsid w:val="00931F30"/>
    <w:rsid w:val="009357C7"/>
    <w:rsid w:val="00937472"/>
    <w:rsid w:val="0095455F"/>
    <w:rsid w:val="00961BF0"/>
    <w:rsid w:val="009621F4"/>
    <w:rsid w:val="00985BB9"/>
    <w:rsid w:val="00995582"/>
    <w:rsid w:val="009A0C14"/>
    <w:rsid w:val="009C541E"/>
    <w:rsid w:val="009C5836"/>
    <w:rsid w:val="009F10FE"/>
    <w:rsid w:val="009F6BA8"/>
    <w:rsid w:val="00A01FA3"/>
    <w:rsid w:val="00A0672F"/>
    <w:rsid w:val="00A50015"/>
    <w:rsid w:val="00A5136F"/>
    <w:rsid w:val="00A55692"/>
    <w:rsid w:val="00A62A5E"/>
    <w:rsid w:val="00A72EBA"/>
    <w:rsid w:val="00A7433B"/>
    <w:rsid w:val="00A8031B"/>
    <w:rsid w:val="00A8114B"/>
    <w:rsid w:val="00A81E0C"/>
    <w:rsid w:val="00A86B40"/>
    <w:rsid w:val="00A95CF8"/>
    <w:rsid w:val="00AD2940"/>
    <w:rsid w:val="00AE0D8D"/>
    <w:rsid w:val="00AE13AF"/>
    <w:rsid w:val="00AE1E85"/>
    <w:rsid w:val="00AF6C09"/>
    <w:rsid w:val="00B0594B"/>
    <w:rsid w:val="00B16CEE"/>
    <w:rsid w:val="00B1791B"/>
    <w:rsid w:val="00B204D2"/>
    <w:rsid w:val="00B2161A"/>
    <w:rsid w:val="00B32D17"/>
    <w:rsid w:val="00B359E8"/>
    <w:rsid w:val="00B35D80"/>
    <w:rsid w:val="00B35E36"/>
    <w:rsid w:val="00B55BCF"/>
    <w:rsid w:val="00B625AB"/>
    <w:rsid w:val="00B644BF"/>
    <w:rsid w:val="00B7091A"/>
    <w:rsid w:val="00B72936"/>
    <w:rsid w:val="00B82EF8"/>
    <w:rsid w:val="00B9041C"/>
    <w:rsid w:val="00B9360E"/>
    <w:rsid w:val="00B973BB"/>
    <w:rsid w:val="00BA1CB5"/>
    <w:rsid w:val="00BA50FA"/>
    <w:rsid w:val="00BA5857"/>
    <w:rsid w:val="00BD06ED"/>
    <w:rsid w:val="00BD1A4A"/>
    <w:rsid w:val="00BD1ACA"/>
    <w:rsid w:val="00BD2A57"/>
    <w:rsid w:val="00BD6023"/>
    <w:rsid w:val="00BE11CE"/>
    <w:rsid w:val="00BE2A05"/>
    <w:rsid w:val="00C13C88"/>
    <w:rsid w:val="00C228D6"/>
    <w:rsid w:val="00C24A3E"/>
    <w:rsid w:val="00C264B7"/>
    <w:rsid w:val="00C37FCD"/>
    <w:rsid w:val="00C44828"/>
    <w:rsid w:val="00C45E6F"/>
    <w:rsid w:val="00C51EFA"/>
    <w:rsid w:val="00C639B0"/>
    <w:rsid w:val="00C64DD6"/>
    <w:rsid w:val="00C67527"/>
    <w:rsid w:val="00C73DEF"/>
    <w:rsid w:val="00C81052"/>
    <w:rsid w:val="00C86E97"/>
    <w:rsid w:val="00CA77CF"/>
    <w:rsid w:val="00CC0407"/>
    <w:rsid w:val="00CD3BA4"/>
    <w:rsid w:val="00CE33CC"/>
    <w:rsid w:val="00CE6131"/>
    <w:rsid w:val="00CE64A2"/>
    <w:rsid w:val="00CF1732"/>
    <w:rsid w:val="00D02B46"/>
    <w:rsid w:val="00D0574D"/>
    <w:rsid w:val="00D15EFC"/>
    <w:rsid w:val="00D223A9"/>
    <w:rsid w:val="00D25C85"/>
    <w:rsid w:val="00D27887"/>
    <w:rsid w:val="00D51D93"/>
    <w:rsid w:val="00D52464"/>
    <w:rsid w:val="00D551C0"/>
    <w:rsid w:val="00D61F1E"/>
    <w:rsid w:val="00D77F14"/>
    <w:rsid w:val="00D80785"/>
    <w:rsid w:val="00D81321"/>
    <w:rsid w:val="00D8184A"/>
    <w:rsid w:val="00D8784E"/>
    <w:rsid w:val="00DA0925"/>
    <w:rsid w:val="00DA5F0A"/>
    <w:rsid w:val="00DB4132"/>
    <w:rsid w:val="00DB5E86"/>
    <w:rsid w:val="00DD3C66"/>
    <w:rsid w:val="00DD67E5"/>
    <w:rsid w:val="00DD7856"/>
    <w:rsid w:val="00DE0A8F"/>
    <w:rsid w:val="00DE330A"/>
    <w:rsid w:val="00DE5671"/>
    <w:rsid w:val="00DE6B95"/>
    <w:rsid w:val="00E03AE8"/>
    <w:rsid w:val="00E03FC3"/>
    <w:rsid w:val="00E0470F"/>
    <w:rsid w:val="00E05F2D"/>
    <w:rsid w:val="00E108BA"/>
    <w:rsid w:val="00E1318A"/>
    <w:rsid w:val="00E1456F"/>
    <w:rsid w:val="00E272A8"/>
    <w:rsid w:val="00E417C4"/>
    <w:rsid w:val="00E54449"/>
    <w:rsid w:val="00E747B6"/>
    <w:rsid w:val="00E755DC"/>
    <w:rsid w:val="00E93CEE"/>
    <w:rsid w:val="00E94BF4"/>
    <w:rsid w:val="00E96673"/>
    <w:rsid w:val="00EA0570"/>
    <w:rsid w:val="00EB36ED"/>
    <w:rsid w:val="00EB4652"/>
    <w:rsid w:val="00EC2F8E"/>
    <w:rsid w:val="00EC6846"/>
    <w:rsid w:val="00EC7626"/>
    <w:rsid w:val="00ED4AEF"/>
    <w:rsid w:val="00EE09C9"/>
    <w:rsid w:val="00EE6582"/>
    <w:rsid w:val="00EF48D7"/>
    <w:rsid w:val="00EF5C2B"/>
    <w:rsid w:val="00F04833"/>
    <w:rsid w:val="00F17A7B"/>
    <w:rsid w:val="00F303DD"/>
    <w:rsid w:val="00F30D84"/>
    <w:rsid w:val="00F541D2"/>
    <w:rsid w:val="00F6479A"/>
    <w:rsid w:val="00F666E9"/>
    <w:rsid w:val="00F87596"/>
    <w:rsid w:val="00FA4564"/>
    <w:rsid w:val="00FA6288"/>
    <w:rsid w:val="00FA6DFF"/>
    <w:rsid w:val="00FC5BA6"/>
    <w:rsid w:val="00FC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E04F"/>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unhideWhenUsed/>
    <w:rsid w:val="00197CB7"/>
    <w:rPr>
      <w:vertAlign w:val="superscript"/>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lp"/>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D1ACA"/>
    <w:pPr>
      <w:widowControl w:val="0"/>
      <w:autoSpaceDE w:val="0"/>
      <w:autoSpaceDN w:val="0"/>
      <w:spacing w:after="0" w:line="240" w:lineRule="auto"/>
      <w:ind w:left="107"/>
    </w:pPr>
    <w:rPr>
      <w:rFonts w:ascii="Arial" w:eastAsia="Arial" w:hAnsi="Arial" w:cs="Arial"/>
      <w:lang w:bidi="en-US"/>
    </w:rPr>
  </w:style>
  <w:style w:type="character" w:styleId="Hyperlink">
    <w:name w:val="Hyperlink"/>
    <w:basedOn w:val="DefaultParagraphFont"/>
    <w:uiPriority w:val="99"/>
    <w:unhideWhenUsed/>
    <w:rsid w:val="00BD1ACA"/>
    <w:rPr>
      <w:color w:val="0563C1" w:themeColor="hyperlink"/>
      <w:u w:val="single"/>
    </w:rPr>
  </w:style>
  <w:style w:type="paragraph" w:customStyle="1" w:styleId="TableText">
    <w:name w:val="Table Text"/>
    <w:basedOn w:val="Normal"/>
    <w:uiPriority w:val="7"/>
    <w:qFormat/>
    <w:rsid w:val="00BD1ACA"/>
    <w:pPr>
      <w:spacing w:after="120" w:line="220" w:lineRule="atLeast"/>
    </w:pPr>
    <w:rPr>
      <w:rFonts w:ascii="Verdana" w:hAnsi="Verdana" w:cs="Arial"/>
      <w:sz w:val="16"/>
      <w:szCs w:val="23"/>
      <w:lang w:eastAsia="da-DK"/>
    </w:rPr>
  </w:style>
  <w:style w:type="character" w:customStyle="1" w:styleId="st">
    <w:name w:val="st"/>
    <w:rsid w:val="00F04833"/>
  </w:style>
  <w:style w:type="character" w:customStyle="1" w:styleId="apple-converted-space">
    <w:name w:val="apple-converted-space"/>
    <w:basedOn w:val="DefaultParagraphFont"/>
    <w:rsid w:val="00F04833"/>
  </w:style>
  <w:style w:type="character" w:styleId="CommentReference">
    <w:name w:val="annotation reference"/>
    <w:basedOn w:val="DefaultParagraphFont"/>
    <w:uiPriority w:val="99"/>
    <w:semiHidden/>
    <w:unhideWhenUsed/>
    <w:rsid w:val="00DD67E5"/>
    <w:rPr>
      <w:sz w:val="16"/>
      <w:szCs w:val="16"/>
    </w:rPr>
  </w:style>
  <w:style w:type="paragraph" w:styleId="CommentText">
    <w:name w:val="annotation text"/>
    <w:basedOn w:val="Normal"/>
    <w:link w:val="CommentTextChar"/>
    <w:uiPriority w:val="99"/>
    <w:semiHidden/>
    <w:unhideWhenUsed/>
    <w:rsid w:val="00DD67E5"/>
    <w:pPr>
      <w:spacing w:line="240" w:lineRule="auto"/>
    </w:pPr>
    <w:rPr>
      <w:sz w:val="20"/>
      <w:szCs w:val="20"/>
    </w:rPr>
  </w:style>
  <w:style w:type="character" w:customStyle="1" w:styleId="CommentTextChar">
    <w:name w:val="Comment Text Char"/>
    <w:basedOn w:val="DefaultParagraphFont"/>
    <w:link w:val="CommentText"/>
    <w:uiPriority w:val="99"/>
    <w:semiHidden/>
    <w:rsid w:val="00DD67E5"/>
    <w:rPr>
      <w:lang w:eastAsia="en-US"/>
    </w:rPr>
  </w:style>
  <w:style w:type="paragraph" w:styleId="CommentSubject">
    <w:name w:val="annotation subject"/>
    <w:basedOn w:val="CommentText"/>
    <w:next w:val="CommentText"/>
    <w:link w:val="CommentSubjectChar"/>
    <w:uiPriority w:val="99"/>
    <w:semiHidden/>
    <w:unhideWhenUsed/>
    <w:rsid w:val="00DD67E5"/>
    <w:rPr>
      <w:b/>
      <w:bCs/>
    </w:rPr>
  </w:style>
  <w:style w:type="character" w:customStyle="1" w:styleId="CommentSubjectChar">
    <w:name w:val="Comment Subject Char"/>
    <w:basedOn w:val="CommentTextChar"/>
    <w:link w:val="CommentSubject"/>
    <w:uiPriority w:val="99"/>
    <w:semiHidden/>
    <w:rsid w:val="00DD67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99223">
      <w:bodyDiv w:val="1"/>
      <w:marLeft w:val="0"/>
      <w:marRight w:val="0"/>
      <w:marTop w:val="0"/>
      <w:marBottom w:val="0"/>
      <w:divBdr>
        <w:top w:val="none" w:sz="0" w:space="0" w:color="auto"/>
        <w:left w:val="none" w:sz="0" w:space="0" w:color="auto"/>
        <w:bottom w:val="none" w:sz="0" w:space="0" w:color="auto"/>
        <w:right w:val="none" w:sz="0" w:space="0" w:color="auto"/>
      </w:divBdr>
    </w:div>
    <w:div w:id="515465699">
      <w:bodyDiv w:val="1"/>
      <w:marLeft w:val="0"/>
      <w:marRight w:val="0"/>
      <w:marTop w:val="0"/>
      <w:marBottom w:val="0"/>
      <w:divBdr>
        <w:top w:val="none" w:sz="0" w:space="0" w:color="auto"/>
        <w:left w:val="none" w:sz="0" w:space="0" w:color="auto"/>
        <w:bottom w:val="none" w:sz="0" w:space="0" w:color="auto"/>
        <w:right w:val="none" w:sz="0" w:space="0" w:color="auto"/>
      </w:divBdr>
    </w:div>
    <w:div w:id="636027510">
      <w:bodyDiv w:val="1"/>
      <w:marLeft w:val="0"/>
      <w:marRight w:val="0"/>
      <w:marTop w:val="0"/>
      <w:marBottom w:val="0"/>
      <w:divBdr>
        <w:top w:val="none" w:sz="0" w:space="0" w:color="auto"/>
        <w:left w:val="none" w:sz="0" w:space="0" w:color="auto"/>
        <w:bottom w:val="none" w:sz="0" w:space="0" w:color="auto"/>
        <w:right w:val="none" w:sz="0" w:space="0" w:color="auto"/>
      </w:divBdr>
    </w:div>
    <w:div w:id="754132572">
      <w:bodyDiv w:val="1"/>
      <w:marLeft w:val="0"/>
      <w:marRight w:val="0"/>
      <w:marTop w:val="0"/>
      <w:marBottom w:val="0"/>
      <w:divBdr>
        <w:top w:val="none" w:sz="0" w:space="0" w:color="auto"/>
        <w:left w:val="none" w:sz="0" w:space="0" w:color="auto"/>
        <w:bottom w:val="none" w:sz="0" w:space="0" w:color="auto"/>
        <w:right w:val="none" w:sz="0" w:space="0" w:color="auto"/>
      </w:divBdr>
    </w:div>
    <w:div w:id="1625228829">
      <w:bodyDiv w:val="1"/>
      <w:marLeft w:val="0"/>
      <w:marRight w:val="0"/>
      <w:marTop w:val="0"/>
      <w:marBottom w:val="0"/>
      <w:divBdr>
        <w:top w:val="none" w:sz="0" w:space="0" w:color="auto"/>
        <w:left w:val="none" w:sz="0" w:space="0" w:color="auto"/>
        <w:bottom w:val="none" w:sz="0" w:space="0" w:color="auto"/>
        <w:right w:val="none" w:sz="0" w:space="0" w:color="auto"/>
      </w:divBdr>
    </w:div>
    <w:div w:id="1747338144">
      <w:bodyDiv w:val="1"/>
      <w:marLeft w:val="0"/>
      <w:marRight w:val="0"/>
      <w:marTop w:val="0"/>
      <w:marBottom w:val="0"/>
      <w:divBdr>
        <w:top w:val="none" w:sz="0" w:space="0" w:color="auto"/>
        <w:left w:val="none" w:sz="0" w:space="0" w:color="auto"/>
        <w:bottom w:val="none" w:sz="0" w:space="0" w:color="auto"/>
        <w:right w:val="none" w:sz="0" w:space="0" w:color="auto"/>
      </w:divBdr>
    </w:div>
    <w:div w:id="176484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ater_supply_and_sanitation_in_the_European_Un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Water_intended_for_human_consumption" TargetMode="External"/><Relationship Id="rId4" Type="http://schemas.openxmlformats.org/officeDocument/2006/relationships/settings" Target="settings.xml"/><Relationship Id="rId9" Type="http://schemas.openxmlformats.org/officeDocument/2006/relationships/hyperlink" Target="mailto:hasan.krasniqi@kru-gjakov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34D4-98B7-4E75-8B55-304E01CB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3368</Words>
  <Characters>19200</Characters>
  <Application>Microsoft Office Word</Application>
  <DocSecurity>0</DocSecurity>
  <Lines>160</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15</cp:revision>
  <cp:lastPrinted>2023-06-06T08:34:00Z</cp:lastPrinted>
  <dcterms:created xsi:type="dcterms:W3CDTF">2024-07-24T12:39:00Z</dcterms:created>
  <dcterms:modified xsi:type="dcterms:W3CDTF">2024-10-28T13:19:00Z</dcterms:modified>
</cp:coreProperties>
</file>