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A1BC4" w14:textId="77777777" w:rsidR="00FC644F" w:rsidRPr="005C128F" w:rsidRDefault="00170C0C" w:rsidP="00A0586A">
      <w:pPr>
        <w:pStyle w:val="Title"/>
        <w:pBdr>
          <w:bottom w:val="single" w:sz="8" w:space="0" w:color="5B9BD5"/>
        </w:pBdr>
        <w:spacing w:before="120" w:after="0" w:line="276" w:lineRule="auto"/>
        <w:jc w:val="center"/>
        <w:rPr>
          <w:rFonts w:ascii="Arial" w:hAnsi="Arial" w:cs="Arial"/>
          <w:sz w:val="36"/>
          <w:szCs w:val="36"/>
        </w:rPr>
      </w:pPr>
      <w:r>
        <w:rPr>
          <w:rFonts w:ascii="Arial" w:hAnsi="Arial"/>
          <w:sz w:val="36"/>
        </w:rPr>
        <w:t>Formulari i identifikimit të projektit (FIP): Sektori i Energjisë</w:t>
      </w:r>
    </w:p>
    <w:p w14:paraId="59D8294F" w14:textId="77777777" w:rsidR="00DA5F0A" w:rsidRPr="005C128F" w:rsidRDefault="0074067A" w:rsidP="0074067A">
      <w:pPr>
        <w:pStyle w:val="Heading1"/>
        <w:spacing w:before="240" w:after="120"/>
        <w:jc w:val="center"/>
        <w:rPr>
          <w:rFonts w:ascii="Arial" w:hAnsi="Arial" w:cs="Arial"/>
          <w:color w:val="auto"/>
          <w:sz w:val="20"/>
          <w:szCs w:val="20"/>
        </w:rPr>
      </w:pPr>
      <w:r>
        <w:rPr>
          <w:rFonts w:ascii="Arial" w:hAnsi="Arial"/>
          <w:color w:val="auto"/>
          <w:sz w:val="20"/>
        </w:rPr>
        <w:t>Pjesa e parë</w:t>
      </w:r>
    </w:p>
    <w:p w14:paraId="54B5A652" w14:textId="77777777" w:rsidR="0074067A" w:rsidRPr="005C128F" w:rsidRDefault="0074067A" w:rsidP="00630299">
      <w:pPr>
        <w:pStyle w:val="ListParagraph"/>
        <w:numPr>
          <w:ilvl w:val="0"/>
          <w:numId w:val="38"/>
        </w:numPr>
        <w:spacing w:before="200" w:after="120"/>
        <w:rPr>
          <w:rFonts w:cs="Arial"/>
          <w:b/>
          <w:szCs w:val="20"/>
        </w:rPr>
      </w:pPr>
      <w:r>
        <w:rPr>
          <w:b/>
          <w:bCs/>
        </w:rPr>
        <w:t>INFORMACIONE TË PËRGJITHSHME</w:t>
      </w:r>
    </w:p>
    <w:tbl>
      <w:tblPr>
        <w:tblW w:w="5000" w:type="pct"/>
        <w:jc w:val="center"/>
        <w:tblLook w:val="01E0" w:firstRow="1" w:lastRow="1" w:firstColumn="1" w:lastColumn="1" w:noHBand="0" w:noVBand="0"/>
      </w:tblPr>
      <w:tblGrid>
        <w:gridCol w:w="3929"/>
        <w:gridCol w:w="5967"/>
      </w:tblGrid>
      <w:tr w:rsidR="0098031C" w:rsidRPr="00261BD6" w14:paraId="761124B6" w14:textId="77777777" w:rsidTr="001A57C3">
        <w:trPr>
          <w:trHeight w:val="346"/>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57BA83D6" w14:textId="1DDA0D3B" w:rsidR="0098031C" w:rsidRPr="00261BD6" w:rsidRDefault="003A3FE8" w:rsidP="0074067A">
            <w:pPr>
              <w:spacing w:before="60" w:after="60" w:line="260" w:lineRule="atLeast"/>
              <w:rPr>
                <w:rFonts w:ascii="Arial" w:hAnsi="Arial" w:cs="Arial"/>
                <w:b/>
                <w:bCs/>
                <w:sz w:val="20"/>
                <w:szCs w:val="20"/>
              </w:rPr>
            </w:pPr>
            <w:r>
              <w:rPr>
                <w:rFonts w:ascii="Arial" w:hAnsi="Arial"/>
                <w:b/>
                <w:sz w:val="20"/>
              </w:rPr>
              <w:t>Titulli i projektit</w:t>
            </w:r>
          </w:p>
        </w:tc>
        <w:tc>
          <w:tcPr>
            <w:tcW w:w="3015" w:type="pct"/>
            <w:tcBorders>
              <w:top w:val="single" w:sz="4" w:space="0" w:color="auto"/>
              <w:left w:val="single" w:sz="4" w:space="0" w:color="auto"/>
              <w:bottom w:val="single" w:sz="4" w:space="0" w:color="auto"/>
              <w:right w:val="single" w:sz="4" w:space="0" w:color="auto"/>
            </w:tcBorders>
            <w:vAlign w:val="center"/>
          </w:tcPr>
          <w:p w14:paraId="29607FBC" w14:textId="3EE8ABFE" w:rsidR="00D62B56" w:rsidRPr="00A0586A" w:rsidRDefault="0056312E" w:rsidP="0056312E">
            <w:pPr>
              <w:spacing w:before="60" w:after="60" w:line="260" w:lineRule="atLeast"/>
              <w:rPr>
                <w:rFonts w:ascii="Arial" w:hAnsi="Arial" w:cs="Arial"/>
                <w:sz w:val="20"/>
                <w:szCs w:val="20"/>
              </w:rPr>
            </w:pPr>
            <w:r>
              <w:rPr>
                <w:rFonts w:ascii="Arial" w:hAnsi="Arial"/>
                <w:sz w:val="20"/>
              </w:rPr>
              <w:t>Rritja e pjesës së burimeve të ripërtëritshme të energjisë në sektorin e energjisë në Kosovë - ndërtimi i kapaciteteve gjeneruese të erës</w:t>
            </w:r>
          </w:p>
        </w:tc>
      </w:tr>
      <w:tr w:rsidR="0098031C" w:rsidRPr="00261BD6" w14:paraId="55EBC531" w14:textId="77777777" w:rsidTr="001A57C3">
        <w:trPr>
          <w:trHeight w:val="476"/>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0ABA5D05" w14:textId="77777777" w:rsidR="0098031C" w:rsidRPr="00261BD6" w:rsidRDefault="0098031C" w:rsidP="0074067A">
            <w:pPr>
              <w:spacing w:before="60" w:after="60" w:line="260" w:lineRule="atLeast"/>
              <w:rPr>
                <w:rFonts w:ascii="Arial" w:hAnsi="Arial" w:cs="Arial"/>
                <w:bCs/>
                <w:sz w:val="20"/>
                <w:szCs w:val="20"/>
              </w:rPr>
            </w:pPr>
            <w:r>
              <w:rPr>
                <w:rFonts w:ascii="Arial" w:hAnsi="Arial"/>
                <w:sz w:val="20"/>
              </w:rPr>
              <w:t>Sektori</w:t>
            </w:r>
          </w:p>
        </w:tc>
        <w:tc>
          <w:tcPr>
            <w:tcW w:w="3015" w:type="pct"/>
            <w:tcBorders>
              <w:top w:val="single" w:sz="4" w:space="0" w:color="auto"/>
              <w:left w:val="single" w:sz="4" w:space="0" w:color="auto"/>
              <w:bottom w:val="single" w:sz="4" w:space="0" w:color="auto"/>
              <w:right w:val="single" w:sz="4" w:space="0" w:color="auto"/>
            </w:tcBorders>
            <w:vAlign w:val="center"/>
          </w:tcPr>
          <w:p w14:paraId="2A8F48E2" w14:textId="0C0BEA36" w:rsidR="0098031C" w:rsidRPr="00261BD6" w:rsidRDefault="00A74B74" w:rsidP="0040793F">
            <w:pPr>
              <w:spacing w:before="60" w:after="60" w:line="260" w:lineRule="atLeast"/>
              <w:rPr>
                <w:rFonts w:ascii="Arial" w:hAnsi="Arial" w:cs="Arial"/>
                <w:sz w:val="20"/>
                <w:szCs w:val="20"/>
              </w:rPr>
            </w:pPr>
            <w:r>
              <w:rPr>
                <w:rFonts w:ascii="Arial" w:hAnsi="Arial"/>
                <w:sz w:val="20"/>
              </w:rPr>
              <w:t>Prodhimi i Energjisë</w:t>
            </w:r>
          </w:p>
        </w:tc>
      </w:tr>
      <w:tr w:rsidR="0098031C" w:rsidRPr="00261BD6" w14:paraId="10F40AEC" w14:textId="77777777" w:rsidTr="001A57C3">
        <w:trPr>
          <w:trHeight w:val="330"/>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50F8C064" w14:textId="78091F07" w:rsidR="0098031C" w:rsidRPr="00261BD6" w:rsidRDefault="0098031C" w:rsidP="0074067A">
            <w:pPr>
              <w:spacing w:before="60" w:after="60" w:line="260" w:lineRule="atLeast"/>
              <w:rPr>
                <w:rFonts w:ascii="Arial" w:hAnsi="Arial" w:cs="Arial"/>
                <w:bCs/>
                <w:sz w:val="20"/>
                <w:szCs w:val="20"/>
              </w:rPr>
            </w:pPr>
            <w:r>
              <w:rPr>
                <w:rFonts w:ascii="Arial" w:hAnsi="Arial"/>
                <w:sz w:val="20"/>
              </w:rPr>
              <w:t>Përfituesi</w:t>
            </w:r>
            <w:r w:rsidR="003A3FE8">
              <w:rPr>
                <w:rFonts w:ascii="Arial" w:hAnsi="Arial"/>
                <w:sz w:val="20"/>
              </w:rPr>
              <w:t>/propozuesi kryesor i projektit</w:t>
            </w:r>
          </w:p>
        </w:tc>
        <w:tc>
          <w:tcPr>
            <w:tcW w:w="3015" w:type="pct"/>
            <w:tcBorders>
              <w:top w:val="single" w:sz="4" w:space="0" w:color="auto"/>
              <w:left w:val="single" w:sz="4" w:space="0" w:color="auto"/>
              <w:bottom w:val="single" w:sz="4" w:space="0" w:color="auto"/>
              <w:right w:val="single" w:sz="4" w:space="0" w:color="auto"/>
            </w:tcBorders>
            <w:vAlign w:val="center"/>
          </w:tcPr>
          <w:p w14:paraId="71F9A321" w14:textId="0A8FD71D" w:rsidR="0098031C" w:rsidRPr="00261BD6" w:rsidRDefault="003A3FE8" w:rsidP="003A3FE8">
            <w:pPr>
              <w:spacing w:before="60" w:after="60" w:line="260" w:lineRule="atLeast"/>
              <w:rPr>
                <w:rFonts w:ascii="Arial" w:hAnsi="Arial" w:cs="Arial"/>
                <w:sz w:val="20"/>
                <w:szCs w:val="20"/>
              </w:rPr>
            </w:pPr>
            <w:r>
              <w:rPr>
                <w:rFonts w:ascii="Arial" w:hAnsi="Arial"/>
                <w:sz w:val="20"/>
              </w:rPr>
              <w:t>Ministria e Ekonomisë /ndërmarrja</w:t>
            </w:r>
            <w:r w:rsidR="0056312E">
              <w:rPr>
                <w:rFonts w:ascii="Arial" w:hAnsi="Arial"/>
                <w:sz w:val="20"/>
              </w:rPr>
              <w:t xml:space="preserve"> publike (të krijohet)</w:t>
            </w:r>
          </w:p>
        </w:tc>
      </w:tr>
      <w:tr w:rsidR="0098031C" w:rsidRPr="00261BD6" w14:paraId="39D782F1" w14:textId="77777777" w:rsidTr="001A57C3">
        <w:trPr>
          <w:trHeight w:val="330"/>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185AD593" w14:textId="77777777" w:rsidR="0098031C" w:rsidRPr="00261BD6" w:rsidRDefault="0098031C" w:rsidP="0074067A">
            <w:pPr>
              <w:spacing w:before="60" w:after="60" w:line="260" w:lineRule="atLeast"/>
              <w:rPr>
                <w:rFonts w:ascii="Arial" w:hAnsi="Arial" w:cs="Arial"/>
                <w:bCs/>
                <w:sz w:val="20"/>
                <w:szCs w:val="20"/>
              </w:rPr>
            </w:pPr>
            <w:r>
              <w:rPr>
                <w:rFonts w:ascii="Arial" w:hAnsi="Arial"/>
                <w:sz w:val="20"/>
              </w:rPr>
              <w:t>Institucioni që është autor i propozimit të projektit</w:t>
            </w:r>
          </w:p>
        </w:tc>
        <w:tc>
          <w:tcPr>
            <w:tcW w:w="3015" w:type="pct"/>
            <w:tcBorders>
              <w:top w:val="single" w:sz="4" w:space="0" w:color="auto"/>
              <w:left w:val="single" w:sz="4" w:space="0" w:color="auto"/>
              <w:bottom w:val="single" w:sz="4" w:space="0" w:color="auto"/>
              <w:right w:val="single" w:sz="4" w:space="0" w:color="auto"/>
            </w:tcBorders>
            <w:vAlign w:val="center"/>
          </w:tcPr>
          <w:p w14:paraId="6FC02850" w14:textId="0258B5CC" w:rsidR="0098031C" w:rsidRPr="00261BD6" w:rsidRDefault="0056312E" w:rsidP="0040793F">
            <w:pPr>
              <w:spacing w:before="60" w:after="60" w:line="260" w:lineRule="atLeast"/>
              <w:rPr>
                <w:rFonts w:ascii="Arial" w:hAnsi="Arial" w:cs="Arial"/>
                <w:sz w:val="20"/>
                <w:szCs w:val="20"/>
              </w:rPr>
            </w:pPr>
            <w:r>
              <w:rPr>
                <w:rFonts w:ascii="Arial" w:hAnsi="Arial"/>
                <w:sz w:val="20"/>
              </w:rPr>
              <w:t xml:space="preserve">Ministria e Ekonomisë / Departamenti i Energjisë </w:t>
            </w:r>
          </w:p>
        </w:tc>
      </w:tr>
      <w:tr w:rsidR="0098031C" w:rsidRPr="00261BD6" w14:paraId="6CEC62C6" w14:textId="77777777" w:rsidTr="001A57C3">
        <w:trPr>
          <w:trHeight w:val="330"/>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1BC73763" w14:textId="77777777" w:rsidR="0098031C" w:rsidRPr="00261BD6" w:rsidRDefault="0098031C" w:rsidP="0074067A">
            <w:pPr>
              <w:spacing w:before="60" w:after="60" w:line="260" w:lineRule="atLeast"/>
              <w:rPr>
                <w:rFonts w:ascii="Arial" w:hAnsi="Arial" w:cs="Arial"/>
                <w:bCs/>
                <w:sz w:val="20"/>
                <w:szCs w:val="20"/>
              </w:rPr>
            </w:pPr>
            <w:r>
              <w:rPr>
                <w:rFonts w:ascii="Arial" w:hAnsi="Arial"/>
                <w:sz w:val="20"/>
              </w:rPr>
              <w:t>Vendndodhja/Harta</w:t>
            </w:r>
          </w:p>
        </w:tc>
        <w:tc>
          <w:tcPr>
            <w:tcW w:w="3015" w:type="pct"/>
            <w:tcBorders>
              <w:top w:val="single" w:sz="4" w:space="0" w:color="auto"/>
              <w:left w:val="single" w:sz="4" w:space="0" w:color="auto"/>
              <w:bottom w:val="single" w:sz="4" w:space="0" w:color="auto"/>
              <w:right w:val="single" w:sz="4" w:space="0" w:color="auto"/>
            </w:tcBorders>
            <w:vAlign w:val="center"/>
          </w:tcPr>
          <w:p w14:paraId="4FA3134C" w14:textId="77777777" w:rsidR="008C3CB3" w:rsidRDefault="008C3CB3" w:rsidP="0040793F">
            <w:pPr>
              <w:keepNext/>
              <w:spacing w:before="60" w:after="60" w:line="260" w:lineRule="atLeast"/>
              <w:jc w:val="center"/>
              <w:rPr>
                <w:rFonts w:ascii="Arial" w:hAnsi="Arial" w:cs="Arial"/>
                <w:noProof/>
                <w:sz w:val="20"/>
                <w:szCs w:val="20"/>
                <w:lang w:val="en-US"/>
              </w:rPr>
            </w:pPr>
          </w:p>
          <w:p w14:paraId="099C1691" w14:textId="77777777" w:rsidR="008C3CB3" w:rsidRDefault="008C3CB3" w:rsidP="0040793F">
            <w:pPr>
              <w:keepNext/>
              <w:spacing w:before="60" w:after="60" w:line="260" w:lineRule="atLeast"/>
              <w:jc w:val="center"/>
              <w:rPr>
                <w:rFonts w:ascii="Arial" w:hAnsi="Arial" w:cs="Arial"/>
                <w:noProof/>
                <w:sz w:val="20"/>
                <w:szCs w:val="20"/>
                <w:lang w:val="en-US"/>
              </w:rPr>
            </w:pPr>
          </w:p>
          <w:p w14:paraId="44A490A7" w14:textId="7A11E0F0" w:rsidR="0098031C" w:rsidRPr="00261BD6" w:rsidRDefault="008C3CB3" w:rsidP="0040793F">
            <w:pPr>
              <w:keepNext/>
              <w:spacing w:before="60" w:after="60" w:line="260" w:lineRule="atLeast"/>
              <w:jc w:val="center"/>
              <w:rPr>
                <w:rFonts w:ascii="Arial" w:hAnsi="Arial" w:cs="Arial"/>
                <w:sz w:val="20"/>
                <w:szCs w:val="20"/>
              </w:rPr>
            </w:pPr>
            <w:r>
              <w:rPr>
                <w:rFonts w:ascii="Arial" w:hAnsi="Arial"/>
                <w:noProof/>
                <w:sz w:val="20"/>
                <w:lang w:val="en-US"/>
              </w:rPr>
              <w:drawing>
                <wp:inline distT="0" distB="0" distL="0" distR="0" wp14:anchorId="1AEF4675" wp14:editId="025B74CA">
                  <wp:extent cx="3558540" cy="3202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B_WindSolarNS.png"/>
                          <pic:cNvPicPr/>
                        </pic:nvPicPr>
                        <pic:blipFill rotWithShape="1">
                          <a:blip r:embed="rId8" cstate="print">
                            <a:extLst>
                              <a:ext uri="{28A0092B-C50C-407E-A947-70E740481C1C}">
                                <a14:useLocalDpi xmlns:a14="http://schemas.microsoft.com/office/drawing/2010/main" val="0"/>
                              </a:ext>
                            </a:extLst>
                          </a:blip>
                          <a:srcRect l="1648" t="5955" r="21030"/>
                          <a:stretch/>
                        </pic:blipFill>
                        <pic:spPr bwMode="auto">
                          <a:xfrm>
                            <a:off x="0" y="0"/>
                            <a:ext cx="3561596" cy="3205055"/>
                          </a:xfrm>
                          <a:prstGeom prst="rect">
                            <a:avLst/>
                          </a:prstGeom>
                          <a:ln>
                            <a:noFill/>
                          </a:ln>
                          <a:extLst>
                            <a:ext uri="{53640926-AAD7-44D8-BBD7-CCE9431645EC}">
                              <a14:shadowObscured xmlns:a14="http://schemas.microsoft.com/office/drawing/2010/main"/>
                            </a:ext>
                          </a:extLst>
                        </pic:spPr>
                      </pic:pic>
                    </a:graphicData>
                  </a:graphic>
                </wp:inline>
              </w:drawing>
            </w:r>
          </w:p>
          <w:p w14:paraId="784E3FA4" w14:textId="74335A78" w:rsidR="0098031C" w:rsidRPr="00261BD6" w:rsidRDefault="0098031C" w:rsidP="005463D0">
            <w:pPr>
              <w:spacing w:before="60" w:after="60" w:line="260" w:lineRule="atLeast"/>
              <w:jc w:val="center"/>
              <w:rPr>
                <w:rFonts w:ascii="Arial" w:hAnsi="Arial" w:cs="Arial"/>
                <w:b/>
                <w:sz w:val="20"/>
                <w:szCs w:val="20"/>
                <w:lang w:val="en-US"/>
              </w:rPr>
            </w:pPr>
          </w:p>
        </w:tc>
      </w:tr>
      <w:tr w:rsidR="001A57C3" w:rsidRPr="00261BD6" w14:paraId="72510421" w14:textId="77777777" w:rsidTr="001A57C3">
        <w:trPr>
          <w:trHeight w:val="330"/>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43962ADC" w14:textId="77777777" w:rsidR="001A57C3" w:rsidRPr="00261BD6" w:rsidRDefault="001A57C3" w:rsidP="001A57C3">
            <w:pPr>
              <w:spacing w:before="60" w:after="60" w:line="260" w:lineRule="atLeast"/>
              <w:rPr>
                <w:rFonts w:ascii="Arial" w:hAnsi="Arial" w:cs="Arial"/>
                <w:bCs/>
                <w:sz w:val="20"/>
                <w:szCs w:val="20"/>
              </w:rPr>
            </w:pPr>
            <w:r>
              <w:rPr>
                <w:rFonts w:ascii="Arial" w:hAnsi="Arial"/>
                <w:sz w:val="20"/>
              </w:rPr>
              <w:t>Investimi total i parashikuar:</w:t>
            </w:r>
          </w:p>
          <w:p w14:paraId="72F7072C" w14:textId="77777777" w:rsidR="001A57C3" w:rsidRPr="00261BD6" w:rsidRDefault="001A57C3" w:rsidP="001A57C3">
            <w:pPr>
              <w:numPr>
                <w:ilvl w:val="0"/>
                <w:numId w:val="3"/>
              </w:numPr>
              <w:spacing w:before="60" w:after="60" w:line="260" w:lineRule="atLeast"/>
              <w:ind w:left="223" w:hanging="223"/>
              <w:rPr>
                <w:rFonts w:ascii="Arial" w:hAnsi="Arial" w:cs="Arial"/>
                <w:bCs/>
                <w:sz w:val="20"/>
                <w:szCs w:val="20"/>
              </w:rPr>
            </w:pPr>
            <w:r>
              <w:rPr>
                <w:rFonts w:ascii="Arial" w:hAnsi="Arial"/>
                <w:sz w:val="20"/>
              </w:rPr>
              <w:t xml:space="preserve">Aktivitetet përgatitore (dokumentacioni planifikues, dokumentacioni teknik, marrja e tokës etj.) </w:t>
            </w:r>
          </w:p>
          <w:p w14:paraId="09DB073E" w14:textId="77777777" w:rsidR="001A57C3" w:rsidRPr="00261BD6" w:rsidRDefault="001A57C3" w:rsidP="001A57C3">
            <w:pPr>
              <w:numPr>
                <w:ilvl w:val="0"/>
                <w:numId w:val="3"/>
              </w:numPr>
              <w:spacing w:before="60" w:after="60" w:line="260" w:lineRule="atLeast"/>
              <w:ind w:left="223" w:hanging="223"/>
              <w:rPr>
                <w:rFonts w:ascii="Arial" w:hAnsi="Arial" w:cs="Arial"/>
                <w:bCs/>
                <w:sz w:val="20"/>
                <w:szCs w:val="20"/>
              </w:rPr>
            </w:pPr>
            <w:r>
              <w:rPr>
                <w:rFonts w:ascii="Arial" w:hAnsi="Arial"/>
                <w:sz w:val="20"/>
              </w:rPr>
              <w:t>Punimet ndërtimore</w:t>
            </w:r>
          </w:p>
          <w:p w14:paraId="32B18A80" w14:textId="77777777" w:rsidR="001A57C3" w:rsidRPr="00261BD6" w:rsidRDefault="001A57C3" w:rsidP="001A57C3">
            <w:pPr>
              <w:numPr>
                <w:ilvl w:val="0"/>
                <w:numId w:val="3"/>
              </w:numPr>
              <w:spacing w:before="60" w:after="60" w:line="260" w:lineRule="atLeast"/>
              <w:ind w:left="223" w:hanging="223"/>
              <w:rPr>
                <w:rFonts w:ascii="Arial" w:hAnsi="Arial" w:cs="Arial"/>
                <w:bCs/>
                <w:sz w:val="20"/>
                <w:szCs w:val="20"/>
              </w:rPr>
            </w:pPr>
            <w:r>
              <w:rPr>
                <w:rFonts w:ascii="Arial" w:hAnsi="Arial"/>
                <w:sz w:val="20"/>
              </w:rPr>
              <w:t xml:space="preserve">Mbikëqyrja </w:t>
            </w:r>
          </w:p>
        </w:tc>
        <w:tc>
          <w:tcPr>
            <w:tcW w:w="3015" w:type="pct"/>
            <w:tcBorders>
              <w:top w:val="single" w:sz="4" w:space="0" w:color="auto"/>
              <w:left w:val="single" w:sz="4" w:space="0" w:color="auto"/>
              <w:bottom w:val="single" w:sz="4" w:space="0" w:color="auto"/>
              <w:right w:val="single" w:sz="4" w:space="0" w:color="auto"/>
            </w:tcBorders>
            <w:vAlign w:val="center"/>
          </w:tcPr>
          <w:p w14:paraId="131A4020" w14:textId="1D176BAB" w:rsidR="00A0586A" w:rsidRPr="00A722D1" w:rsidRDefault="00A0586A" w:rsidP="000154E5">
            <w:pPr>
              <w:spacing w:after="60" w:line="260" w:lineRule="atLeast"/>
              <w:rPr>
                <w:rFonts w:ascii="Arial" w:eastAsia="Calibri" w:hAnsi="Arial" w:cs="Arial"/>
                <w:sz w:val="20"/>
                <w:szCs w:val="20"/>
              </w:rPr>
            </w:pPr>
            <w:r>
              <w:rPr>
                <w:rFonts w:ascii="Arial" w:hAnsi="Arial"/>
                <w:sz w:val="20"/>
              </w:rPr>
              <w:t>Gjithsej investimi:  100,000,000 EUR</w:t>
            </w:r>
          </w:p>
          <w:p w14:paraId="5BBA508C" w14:textId="0B8EDA60" w:rsidR="00A722D1" w:rsidRPr="00A722D1" w:rsidRDefault="00A722D1" w:rsidP="000154E5">
            <w:pPr>
              <w:spacing w:after="60" w:line="260" w:lineRule="atLeast"/>
              <w:rPr>
                <w:rFonts w:ascii="Arial" w:eastAsia="Calibri" w:hAnsi="Arial" w:cs="Arial"/>
                <w:sz w:val="20"/>
                <w:szCs w:val="20"/>
              </w:rPr>
            </w:pPr>
            <w:r>
              <w:rPr>
                <w:rFonts w:ascii="Arial" w:hAnsi="Arial"/>
                <w:sz w:val="20"/>
              </w:rPr>
              <w:t>Nga të cilat:</w:t>
            </w:r>
          </w:p>
          <w:p w14:paraId="26C56E4F" w14:textId="70187875" w:rsidR="00C0334B" w:rsidRPr="00261BD6" w:rsidRDefault="00567373" w:rsidP="00C0334B">
            <w:pPr>
              <w:pStyle w:val="ListParagraph"/>
              <w:numPr>
                <w:ilvl w:val="0"/>
                <w:numId w:val="21"/>
              </w:numPr>
              <w:spacing w:after="60" w:line="360" w:lineRule="auto"/>
              <w:rPr>
                <w:rFonts w:cs="Arial"/>
                <w:szCs w:val="20"/>
              </w:rPr>
            </w:pPr>
            <w:r>
              <w:t>Asistencë teknike për përgatitjen e projektit: 200,000 EUR</w:t>
            </w:r>
          </w:p>
          <w:p w14:paraId="29EF6232" w14:textId="67DC22A5" w:rsidR="00567373" w:rsidRPr="00261BD6" w:rsidRDefault="00567373" w:rsidP="000154E5">
            <w:pPr>
              <w:pStyle w:val="ListParagraph"/>
              <w:numPr>
                <w:ilvl w:val="0"/>
                <w:numId w:val="21"/>
              </w:numPr>
              <w:spacing w:after="60" w:line="240" w:lineRule="auto"/>
              <w:rPr>
                <w:rFonts w:cs="Arial"/>
                <w:szCs w:val="20"/>
              </w:rPr>
            </w:pPr>
            <w:r>
              <w:t>Përgatitja teknike e projekteve specifike për vendin, duke përfshirë matjet e erës dhe raportet e EIA: 2,000,000 EUR</w:t>
            </w:r>
          </w:p>
          <w:p w14:paraId="7F8D3D1B" w14:textId="337C9A0F" w:rsidR="00931C29" w:rsidRPr="00261BD6" w:rsidRDefault="001A57C3" w:rsidP="000154E5">
            <w:pPr>
              <w:numPr>
                <w:ilvl w:val="0"/>
                <w:numId w:val="21"/>
              </w:numPr>
              <w:spacing w:after="60" w:line="240" w:lineRule="auto"/>
              <w:rPr>
                <w:rFonts w:ascii="Arial" w:hAnsi="Arial" w:cs="Arial"/>
                <w:sz w:val="20"/>
                <w:szCs w:val="20"/>
              </w:rPr>
            </w:pPr>
            <w:r>
              <w:rPr>
                <w:rFonts w:ascii="Arial" w:hAnsi="Arial"/>
                <w:sz w:val="20"/>
              </w:rPr>
              <w:t>Ndërtimi dhe punimet (70 MW): 95,800,000 EUR</w:t>
            </w:r>
          </w:p>
          <w:p w14:paraId="15F4FB15" w14:textId="2C577867" w:rsidR="001A57C3" w:rsidRPr="001A0ADF" w:rsidRDefault="00931C29" w:rsidP="001A0ADF">
            <w:pPr>
              <w:numPr>
                <w:ilvl w:val="0"/>
                <w:numId w:val="21"/>
              </w:numPr>
              <w:spacing w:after="60" w:line="240" w:lineRule="auto"/>
              <w:rPr>
                <w:rFonts w:ascii="Arial" w:hAnsi="Arial" w:cs="Arial"/>
                <w:sz w:val="20"/>
                <w:szCs w:val="20"/>
              </w:rPr>
            </w:pPr>
            <w:r>
              <w:rPr>
                <w:rFonts w:ascii="Arial" w:hAnsi="Arial"/>
                <w:sz w:val="20"/>
              </w:rPr>
              <w:t>Planet emergjente: 2,000,000 EUR</w:t>
            </w:r>
          </w:p>
        </w:tc>
      </w:tr>
      <w:tr w:rsidR="001A57C3" w:rsidRPr="00261BD6" w14:paraId="238EC141" w14:textId="77777777" w:rsidTr="001A57C3">
        <w:trPr>
          <w:trHeight w:val="346"/>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29186C56" w14:textId="143AFD09" w:rsidR="001A57C3" w:rsidRPr="00261BD6" w:rsidRDefault="001A57C3" w:rsidP="001A57C3">
            <w:pPr>
              <w:spacing w:before="60" w:after="60" w:line="260" w:lineRule="atLeast"/>
              <w:rPr>
                <w:rFonts w:ascii="Arial" w:hAnsi="Arial" w:cs="Arial"/>
                <w:b/>
                <w:sz w:val="20"/>
                <w:szCs w:val="20"/>
              </w:rPr>
            </w:pPr>
            <w:r>
              <w:rPr>
                <w:rFonts w:ascii="Arial" w:hAnsi="Arial"/>
                <w:b/>
                <w:sz w:val="20"/>
              </w:rPr>
              <w:t>Personi përgjegj</w:t>
            </w:r>
            <w:r w:rsidR="003A3FE8">
              <w:rPr>
                <w:rFonts w:ascii="Arial" w:hAnsi="Arial"/>
                <w:b/>
                <w:sz w:val="20"/>
              </w:rPr>
              <w:t>ës ose i autorizuar për kontakt</w:t>
            </w:r>
          </w:p>
        </w:tc>
        <w:tc>
          <w:tcPr>
            <w:tcW w:w="3015" w:type="pct"/>
            <w:tcBorders>
              <w:top w:val="single" w:sz="4" w:space="0" w:color="auto"/>
              <w:left w:val="single" w:sz="4" w:space="0" w:color="auto"/>
              <w:bottom w:val="single" w:sz="4" w:space="0" w:color="auto"/>
              <w:right w:val="single" w:sz="4" w:space="0" w:color="auto"/>
            </w:tcBorders>
            <w:shd w:val="clear" w:color="auto" w:fill="auto"/>
            <w:vAlign w:val="center"/>
          </w:tcPr>
          <w:p w14:paraId="2900ECF2" w14:textId="6838DD58" w:rsidR="001A57C3" w:rsidRPr="00F15DE0" w:rsidRDefault="008515E4" w:rsidP="00F15DE0">
            <w:pPr>
              <w:spacing w:before="60" w:after="60" w:line="260" w:lineRule="atLeast"/>
              <w:rPr>
                <w:rFonts w:cs="Arial"/>
                <w:szCs w:val="20"/>
              </w:rPr>
            </w:pPr>
            <w:r>
              <w:rPr>
                <w:rFonts w:ascii="Arial" w:hAnsi="Arial"/>
                <w:sz w:val="20"/>
              </w:rPr>
              <w:t>Miftar Nika; Shqipe Gashi</w:t>
            </w:r>
          </w:p>
        </w:tc>
      </w:tr>
      <w:tr w:rsidR="001A57C3" w:rsidRPr="00261BD6" w14:paraId="71AED210" w14:textId="77777777" w:rsidTr="001A57C3">
        <w:trPr>
          <w:trHeight w:val="346"/>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36989D13" w14:textId="1F101253" w:rsidR="001A57C3" w:rsidRPr="00261BD6" w:rsidRDefault="003A3FE8" w:rsidP="001A57C3">
            <w:pPr>
              <w:spacing w:before="60" w:after="60" w:line="260" w:lineRule="atLeast"/>
              <w:rPr>
                <w:rFonts w:ascii="Arial" w:hAnsi="Arial" w:cs="Arial"/>
                <w:bCs/>
                <w:sz w:val="20"/>
                <w:szCs w:val="20"/>
              </w:rPr>
            </w:pPr>
            <w:r>
              <w:rPr>
                <w:rFonts w:ascii="Arial" w:hAnsi="Arial"/>
                <w:sz w:val="20"/>
              </w:rPr>
              <w:t>Emri – Pozita</w:t>
            </w:r>
          </w:p>
        </w:tc>
        <w:tc>
          <w:tcPr>
            <w:tcW w:w="3015" w:type="pct"/>
            <w:tcBorders>
              <w:top w:val="single" w:sz="4" w:space="0" w:color="auto"/>
              <w:left w:val="single" w:sz="4" w:space="0" w:color="auto"/>
              <w:bottom w:val="single" w:sz="4" w:space="0" w:color="auto"/>
              <w:right w:val="single" w:sz="4" w:space="0" w:color="auto"/>
            </w:tcBorders>
            <w:vAlign w:val="center"/>
          </w:tcPr>
          <w:p w14:paraId="17CEC02A" w14:textId="269E5B5A" w:rsidR="001A57C3" w:rsidRPr="00F15DE0" w:rsidRDefault="00C15922" w:rsidP="00F15DE0">
            <w:pPr>
              <w:spacing w:before="60" w:after="60" w:line="260" w:lineRule="atLeast"/>
              <w:rPr>
                <w:rFonts w:cs="Arial"/>
                <w:szCs w:val="20"/>
              </w:rPr>
            </w:pPr>
            <w:r>
              <w:rPr>
                <w:rFonts w:ascii="Arial" w:hAnsi="Arial"/>
                <w:sz w:val="20"/>
              </w:rPr>
              <w:t xml:space="preserve">Miftar Nika - Shef i Divizionit për Burimet e Ripërtëritshme të Energjisë; Shqipe Gashi - Zyrtare e Lartë për Burimet e Ripërtëritshme të Energjisë </w:t>
            </w:r>
          </w:p>
        </w:tc>
      </w:tr>
      <w:tr w:rsidR="001A57C3" w:rsidRPr="00261BD6" w14:paraId="4254B762" w14:textId="77777777" w:rsidTr="0092220D">
        <w:trPr>
          <w:trHeight w:val="611"/>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5ABDA29A" w14:textId="4524EC8F" w:rsidR="001A57C3" w:rsidRPr="00261BD6" w:rsidRDefault="003A3FE8" w:rsidP="001A57C3">
            <w:pPr>
              <w:spacing w:before="60" w:after="60" w:line="260" w:lineRule="atLeast"/>
              <w:rPr>
                <w:rFonts w:ascii="Arial" w:hAnsi="Arial" w:cs="Arial"/>
                <w:bCs/>
                <w:sz w:val="20"/>
                <w:szCs w:val="20"/>
              </w:rPr>
            </w:pPr>
            <w:r>
              <w:rPr>
                <w:rFonts w:ascii="Arial" w:hAnsi="Arial"/>
                <w:sz w:val="20"/>
              </w:rPr>
              <w:t>Adresa e emailit - Telefoni</w:t>
            </w:r>
          </w:p>
        </w:tc>
        <w:tc>
          <w:tcPr>
            <w:tcW w:w="3015" w:type="pct"/>
            <w:tcBorders>
              <w:top w:val="single" w:sz="4" w:space="0" w:color="auto"/>
              <w:left w:val="single" w:sz="4" w:space="0" w:color="auto"/>
              <w:bottom w:val="single" w:sz="4" w:space="0" w:color="auto"/>
              <w:right w:val="single" w:sz="4" w:space="0" w:color="auto"/>
            </w:tcBorders>
            <w:vAlign w:val="center"/>
          </w:tcPr>
          <w:p w14:paraId="40447989" w14:textId="77777777" w:rsidR="00F15DE0" w:rsidRDefault="0071640F" w:rsidP="00F15DE0">
            <w:pPr>
              <w:rPr>
                <w:rStyle w:val="Hyperlink"/>
                <w:rFonts w:cs="Arial"/>
                <w:szCs w:val="20"/>
                <w:u w:val="none"/>
              </w:rPr>
            </w:pPr>
            <w:hyperlink r:id="rId9" w:history="1">
              <w:r w:rsidR="00193A98">
                <w:rPr>
                  <w:rStyle w:val="Hyperlink"/>
                </w:rPr>
                <w:t>Miftar.nika@rks-gov.net</w:t>
              </w:r>
            </w:hyperlink>
            <w:r w:rsidR="00193A98">
              <w:rPr>
                <w:rStyle w:val="Hyperlink"/>
              </w:rPr>
              <w:t>;</w:t>
            </w:r>
            <w:r w:rsidR="00193A98">
              <w:rPr>
                <w:rStyle w:val="Hyperlink"/>
                <w:color w:val="0D0D0D" w:themeColor="text1" w:themeTint="F2"/>
                <w:u w:val="none"/>
              </w:rPr>
              <w:t xml:space="preserve"> </w:t>
            </w:r>
            <w:hyperlink r:id="rId10" w:history="1">
              <w:r w:rsidR="00193A98">
                <w:rPr>
                  <w:rStyle w:val="Hyperlink"/>
                </w:rPr>
                <w:t>Shqipe.n.gashi@rks-gov.net</w:t>
              </w:r>
            </w:hyperlink>
            <w:r w:rsidR="00193A98">
              <w:rPr>
                <w:rStyle w:val="Hyperlink"/>
                <w:u w:val="none"/>
              </w:rPr>
              <w:t>;</w:t>
            </w:r>
          </w:p>
          <w:p w14:paraId="6B76A995" w14:textId="3C25D54E" w:rsidR="00F15DE0" w:rsidRPr="00F15DE0" w:rsidRDefault="00A722D1" w:rsidP="00665322">
            <w:pPr>
              <w:spacing w:after="0"/>
              <w:rPr>
                <w:rFonts w:cs="Arial"/>
                <w:color w:val="0D0D0D" w:themeColor="text1" w:themeTint="F2"/>
                <w:szCs w:val="20"/>
              </w:rPr>
            </w:pPr>
            <w:r>
              <w:rPr>
                <w:rFonts w:ascii="Arial" w:hAnsi="Arial"/>
                <w:sz w:val="20"/>
              </w:rPr>
              <w:t xml:space="preserve"> +383 38 200 215 20</w:t>
            </w:r>
          </w:p>
        </w:tc>
      </w:tr>
    </w:tbl>
    <w:p w14:paraId="470C06FD" w14:textId="18FBDB6A" w:rsidR="00636813" w:rsidRPr="00261BD6" w:rsidRDefault="00636813" w:rsidP="00636813">
      <w:pPr>
        <w:pStyle w:val="ListParagraph"/>
        <w:tabs>
          <w:tab w:val="left" w:pos="2894"/>
        </w:tabs>
        <w:spacing w:before="200" w:after="120"/>
        <w:ind w:left="340"/>
        <w:jc w:val="both"/>
        <w:rPr>
          <w:rFonts w:cs="Arial"/>
          <w:b/>
          <w:szCs w:val="20"/>
          <w:lang w:val="sr-Cyrl-CS"/>
        </w:rPr>
      </w:pPr>
    </w:p>
    <w:p w14:paraId="3374F054" w14:textId="77777777" w:rsidR="0083451C" w:rsidRPr="00261BD6" w:rsidRDefault="0074067A" w:rsidP="00630299">
      <w:pPr>
        <w:pStyle w:val="ListParagraph"/>
        <w:numPr>
          <w:ilvl w:val="0"/>
          <w:numId w:val="38"/>
        </w:numPr>
        <w:spacing w:before="200" w:after="120"/>
        <w:jc w:val="both"/>
        <w:rPr>
          <w:rFonts w:cs="Arial"/>
          <w:b/>
          <w:szCs w:val="20"/>
        </w:rPr>
      </w:pPr>
      <w:r>
        <w:rPr>
          <w:b/>
        </w:rPr>
        <w:lastRenderedPageBreak/>
        <w:t>PËRSHKRIMI I PROJEKTIT</w:t>
      </w:r>
    </w:p>
    <w:tbl>
      <w:tblPr>
        <w:tblW w:w="5000" w:type="pct"/>
        <w:tblLook w:val="01E0" w:firstRow="1" w:lastRow="1" w:firstColumn="1" w:lastColumn="1" w:noHBand="0" w:noVBand="0"/>
      </w:tblPr>
      <w:tblGrid>
        <w:gridCol w:w="3685"/>
        <w:gridCol w:w="6211"/>
      </w:tblGrid>
      <w:tr w:rsidR="0098031C" w:rsidRPr="00261BD6" w14:paraId="67EFEE43" w14:textId="77777777" w:rsidTr="0098031C">
        <w:trPr>
          <w:trHeight w:val="346"/>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283486E1" w14:textId="77777777" w:rsidR="0098031C" w:rsidRPr="00261BD6" w:rsidRDefault="0098031C" w:rsidP="0074067A">
            <w:pPr>
              <w:spacing w:before="60" w:after="60" w:line="260" w:lineRule="atLeast"/>
              <w:rPr>
                <w:rFonts w:ascii="Arial" w:hAnsi="Arial" w:cs="Arial"/>
                <w:bCs/>
                <w:sz w:val="20"/>
                <w:szCs w:val="20"/>
              </w:rPr>
            </w:pPr>
            <w:r>
              <w:rPr>
                <w:rFonts w:ascii="Arial" w:hAnsi="Arial"/>
                <w:sz w:val="20"/>
              </w:rPr>
              <w:t>Qëllimi i projektit infrastrukturor</w:t>
            </w:r>
          </w:p>
        </w:tc>
        <w:tc>
          <w:tcPr>
            <w:tcW w:w="3138" w:type="pct"/>
            <w:tcBorders>
              <w:top w:val="single" w:sz="4" w:space="0" w:color="auto"/>
              <w:left w:val="single" w:sz="4" w:space="0" w:color="auto"/>
              <w:bottom w:val="single" w:sz="4" w:space="0" w:color="auto"/>
              <w:right w:val="single" w:sz="4" w:space="0" w:color="auto"/>
            </w:tcBorders>
          </w:tcPr>
          <w:p w14:paraId="7EE2367F" w14:textId="0E5481BB" w:rsidR="0068716B" w:rsidRDefault="005C68EB" w:rsidP="00665322">
            <w:pPr>
              <w:spacing w:before="40" w:after="0"/>
              <w:contextualSpacing/>
              <w:jc w:val="both"/>
              <w:rPr>
                <w:rFonts w:ascii="Arial" w:eastAsia="Calibri" w:hAnsi="Arial" w:cs="Arial"/>
                <w:sz w:val="20"/>
                <w:szCs w:val="20"/>
              </w:rPr>
            </w:pPr>
            <w:r>
              <w:rPr>
                <w:rFonts w:ascii="Arial" w:hAnsi="Arial"/>
                <w:sz w:val="20"/>
              </w:rPr>
              <w:t xml:space="preserve">Objektivi i përgjithshëm i këtij projekti është të sigurojë furnizim të besueshëm dhe të pastër me energji në Kosovë duke rritur pjesën e burimeve të ripërtëritshme të energjisë dhe duke lehtësuar tranzicionin drejt një sektori të energjisë të dekarbonizuar. </w:t>
            </w:r>
          </w:p>
          <w:p w14:paraId="5B01A1A6" w14:textId="77777777" w:rsidR="00A722D1" w:rsidRPr="00261BD6" w:rsidRDefault="00A722D1" w:rsidP="005C68EB">
            <w:pPr>
              <w:spacing w:before="40" w:after="0" w:line="240" w:lineRule="auto"/>
              <w:contextualSpacing/>
              <w:jc w:val="both"/>
              <w:rPr>
                <w:rFonts w:ascii="Arial" w:eastAsia="Calibri" w:hAnsi="Arial" w:cs="Arial"/>
                <w:sz w:val="20"/>
                <w:szCs w:val="20"/>
              </w:rPr>
            </w:pPr>
          </w:p>
          <w:p w14:paraId="7973849E" w14:textId="5E662388" w:rsidR="0068716B" w:rsidRPr="00261BD6" w:rsidRDefault="0068716B" w:rsidP="00A877FD">
            <w:pPr>
              <w:spacing w:before="40" w:after="0" w:line="240" w:lineRule="auto"/>
              <w:contextualSpacing/>
              <w:jc w:val="both"/>
              <w:rPr>
                <w:rFonts w:ascii="Arial" w:eastAsia="Calibri" w:hAnsi="Arial" w:cs="Arial"/>
                <w:sz w:val="20"/>
                <w:szCs w:val="20"/>
              </w:rPr>
            </w:pPr>
            <w:r>
              <w:rPr>
                <w:rFonts w:ascii="Arial" w:hAnsi="Arial"/>
                <w:sz w:val="20"/>
              </w:rPr>
              <w:t>Në përputhje me detyrimet tona që rrjedhin si palë kontraktuese ndaj Sekretariatit të Komunitetit të Energjisë dhe objektivave të përcaktuara në Strategjinë e Energjisë 2022-2031, projekti synon:</w:t>
            </w:r>
          </w:p>
          <w:p w14:paraId="70D3AAD3" w14:textId="77777777" w:rsidR="009F6084" w:rsidRPr="00261BD6" w:rsidRDefault="009F6084" w:rsidP="00A877FD">
            <w:pPr>
              <w:spacing w:before="40" w:after="0" w:line="240" w:lineRule="auto"/>
              <w:contextualSpacing/>
              <w:jc w:val="both"/>
              <w:rPr>
                <w:rFonts w:ascii="Arial" w:eastAsia="Calibri" w:hAnsi="Arial" w:cs="Arial"/>
                <w:sz w:val="20"/>
                <w:szCs w:val="20"/>
              </w:rPr>
            </w:pPr>
          </w:p>
          <w:p w14:paraId="0B50BB60" w14:textId="77777777" w:rsidR="009F6084" w:rsidRPr="00261BD6" w:rsidRDefault="009F6084" w:rsidP="009F6084">
            <w:pPr>
              <w:pStyle w:val="ListParagraph"/>
              <w:numPr>
                <w:ilvl w:val="0"/>
                <w:numId w:val="56"/>
              </w:numPr>
              <w:rPr>
                <w:rFonts w:cs="Arial"/>
                <w:szCs w:val="20"/>
              </w:rPr>
            </w:pPr>
            <w:r>
              <w:t>rritje të sigurisë së furnizimit;</w:t>
            </w:r>
          </w:p>
          <w:p w14:paraId="21D97260" w14:textId="24CA2495" w:rsidR="009F6084" w:rsidRPr="00261BD6" w:rsidRDefault="009F6084" w:rsidP="009F6084">
            <w:pPr>
              <w:pStyle w:val="ListParagraph"/>
              <w:numPr>
                <w:ilvl w:val="0"/>
                <w:numId w:val="56"/>
              </w:numPr>
              <w:rPr>
                <w:rFonts w:cs="Arial"/>
                <w:szCs w:val="20"/>
              </w:rPr>
            </w:pPr>
            <w:r>
              <w:t xml:space="preserve">rritje të peshës së BRE; </w:t>
            </w:r>
          </w:p>
          <w:p w14:paraId="76F89E8C" w14:textId="10594C8C" w:rsidR="009F6084" w:rsidRPr="00261BD6" w:rsidRDefault="009F6084" w:rsidP="009F6084">
            <w:pPr>
              <w:pStyle w:val="ListParagraph"/>
              <w:numPr>
                <w:ilvl w:val="0"/>
                <w:numId w:val="56"/>
              </w:numPr>
              <w:rPr>
                <w:rFonts w:cs="Arial"/>
                <w:szCs w:val="20"/>
              </w:rPr>
            </w:pPr>
            <w:r>
              <w:t>zvogëlim të emetimeve të CO</w:t>
            </w:r>
            <w:r>
              <w:rPr>
                <w:vertAlign w:val="subscript"/>
              </w:rPr>
              <w:t>2</w:t>
            </w:r>
            <w:r>
              <w:t>;</w:t>
            </w:r>
          </w:p>
          <w:p w14:paraId="5EC5C509" w14:textId="3AE765DC" w:rsidR="0068716B" w:rsidRPr="00261BD6" w:rsidRDefault="009F6084" w:rsidP="009F6084">
            <w:pPr>
              <w:pStyle w:val="ListParagraph"/>
              <w:numPr>
                <w:ilvl w:val="0"/>
                <w:numId w:val="56"/>
              </w:numPr>
              <w:rPr>
                <w:rFonts w:cs="Arial"/>
                <w:szCs w:val="20"/>
              </w:rPr>
            </w:pPr>
            <w:r>
              <w:t>zvogëlim të varësisë nga linjiti për prodhimin e energjisë elektrike.</w:t>
            </w:r>
          </w:p>
          <w:p w14:paraId="7569690C" w14:textId="77777777" w:rsidR="00114200" w:rsidRPr="00261BD6" w:rsidRDefault="00114200" w:rsidP="000154E5">
            <w:pPr>
              <w:spacing w:before="40" w:after="0" w:line="240" w:lineRule="auto"/>
              <w:contextualSpacing/>
              <w:jc w:val="both"/>
              <w:rPr>
                <w:rFonts w:ascii="Arial" w:eastAsia="Calibri" w:hAnsi="Arial" w:cs="Arial"/>
                <w:sz w:val="20"/>
                <w:szCs w:val="20"/>
              </w:rPr>
            </w:pPr>
          </w:p>
        </w:tc>
      </w:tr>
      <w:tr w:rsidR="0098031C" w:rsidRPr="00261BD6" w14:paraId="4AE50D9D" w14:textId="77777777" w:rsidTr="0098031C">
        <w:trPr>
          <w:trHeight w:val="330"/>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7A9478BF" w14:textId="2FDDBA78" w:rsidR="0098031C" w:rsidRPr="00261BD6" w:rsidRDefault="0098031C" w:rsidP="0074067A">
            <w:pPr>
              <w:spacing w:before="60" w:after="60" w:line="260" w:lineRule="atLeast"/>
              <w:rPr>
                <w:rFonts w:ascii="Arial" w:hAnsi="Arial" w:cs="Arial"/>
                <w:bCs/>
                <w:sz w:val="20"/>
                <w:szCs w:val="20"/>
              </w:rPr>
            </w:pPr>
            <w:r>
              <w:rPr>
                <w:rFonts w:ascii="Arial" w:hAnsi="Arial"/>
                <w:sz w:val="20"/>
              </w:rPr>
              <w:t>Rezultatet e projektit infrastrukturor</w:t>
            </w:r>
          </w:p>
        </w:tc>
        <w:tc>
          <w:tcPr>
            <w:tcW w:w="3138" w:type="pct"/>
            <w:tcBorders>
              <w:top w:val="single" w:sz="4" w:space="0" w:color="auto"/>
              <w:left w:val="single" w:sz="4" w:space="0" w:color="auto"/>
              <w:bottom w:val="single" w:sz="4" w:space="0" w:color="auto"/>
              <w:right w:val="single" w:sz="4" w:space="0" w:color="auto"/>
            </w:tcBorders>
          </w:tcPr>
          <w:p w14:paraId="2E61F535" w14:textId="6D849A2D" w:rsidR="00B96385" w:rsidRPr="00261BD6" w:rsidRDefault="00B96385" w:rsidP="00B96385">
            <w:pPr>
              <w:spacing w:before="120" w:line="260" w:lineRule="atLeast"/>
              <w:jc w:val="both"/>
              <w:rPr>
                <w:rFonts w:ascii="Arial" w:eastAsia="Calibri" w:hAnsi="Arial" w:cs="Arial"/>
                <w:sz w:val="20"/>
                <w:szCs w:val="20"/>
              </w:rPr>
            </w:pPr>
            <w:r>
              <w:rPr>
                <w:rFonts w:ascii="Arial" w:hAnsi="Arial"/>
                <w:sz w:val="20"/>
              </w:rPr>
              <w:t>Në vijim janë rezultatet e pritshme të Projektit:</w:t>
            </w:r>
          </w:p>
          <w:p w14:paraId="2C40FE53" w14:textId="045F0DA0" w:rsidR="00877D12" w:rsidRPr="00A722D1" w:rsidRDefault="00877D12" w:rsidP="00A722D1">
            <w:pPr>
              <w:pStyle w:val="ListParagraph"/>
              <w:numPr>
                <w:ilvl w:val="0"/>
                <w:numId w:val="59"/>
              </w:numPr>
              <w:spacing w:before="120" w:after="60" w:line="260" w:lineRule="atLeast"/>
              <w:rPr>
                <w:rFonts w:cs="Arial"/>
                <w:bCs/>
                <w:szCs w:val="20"/>
              </w:rPr>
            </w:pPr>
            <w:r>
              <w:t>Ndërtimi i centraleve të erës në pronësi publike;</w:t>
            </w:r>
          </w:p>
          <w:p w14:paraId="2DC0A46B" w14:textId="4D9A73DD" w:rsidR="00815D7A" w:rsidRPr="00A722D1" w:rsidRDefault="00815D7A" w:rsidP="00A722D1">
            <w:pPr>
              <w:pStyle w:val="ListParagraph"/>
              <w:numPr>
                <w:ilvl w:val="0"/>
                <w:numId w:val="59"/>
              </w:numPr>
              <w:spacing w:before="120" w:after="60" w:line="260" w:lineRule="atLeast"/>
              <w:rPr>
                <w:rFonts w:cs="Arial"/>
                <w:bCs/>
                <w:szCs w:val="20"/>
              </w:rPr>
            </w:pPr>
            <w:r>
              <w:t>Përmirësimi i sigurisë së furnizimit;</w:t>
            </w:r>
          </w:p>
          <w:p w14:paraId="727A2F9F" w14:textId="395BBCBA" w:rsidR="00B96385" w:rsidRPr="00A722D1" w:rsidRDefault="00B96385" w:rsidP="00A722D1">
            <w:pPr>
              <w:pStyle w:val="ListParagraph"/>
              <w:numPr>
                <w:ilvl w:val="0"/>
                <w:numId w:val="59"/>
              </w:numPr>
              <w:spacing w:before="120" w:after="60" w:line="260" w:lineRule="atLeast"/>
              <w:rPr>
                <w:rFonts w:cs="Arial"/>
                <w:bCs/>
                <w:szCs w:val="20"/>
              </w:rPr>
            </w:pPr>
            <w:r>
              <w:t>Kontributi drejt arritjes së objektivit të miratuar prej 32% të aksioneve të BRE-së sipas Vendimit 2022/02/MC -EnC në Këshillin Ministror të Komunitetit të Energjisë më 15 dhjetor 2022;</w:t>
            </w:r>
          </w:p>
          <w:p w14:paraId="47D83812" w14:textId="0F640470" w:rsidR="005C1B45" w:rsidRPr="00A722D1" w:rsidRDefault="005C1B45" w:rsidP="00A722D1">
            <w:pPr>
              <w:pStyle w:val="ListParagraph"/>
              <w:numPr>
                <w:ilvl w:val="0"/>
                <w:numId w:val="59"/>
              </w:numPr>
              <w:spacing w:before="120" w:after="60" w:line="260" w:lineRule="atLeast"/>
              <w:rPr>
                <w:rFonts w:cs="Arial"/>
                <w:bCs/>
                <w:szCs w:val="20"/>
              </w:rPr>
            </w:pPr>
            <w:r>
              <w:t>Kontributi në arritjen e objektivit prej 1300 MW të BRE siç është përcaktuar në Strategjinë e Energjisë për periudhën 2022-2031;</w:t>
            </w:r>
          </w:p>
          <w:p w14:paraId="4D0AC727" w14:textId="0B0B0080" w:rsidR="00877D12" w:rsidRPr="00A722D1" w:rsidRDefault="00877D12" w:rsidP="00A722D1">
            <w:pPr>
              <w:pStyle w:val="ListParagraph"/>
              <w:numPr>
                <w:ilvl w:val="0"/>
                <w:numId w:val="59"/>
              </w:numPr>
              <w:spacing w:before="120" w:after="60" w:line="260" w:lineRule="atLeast"/>
              <w:rPr>
                <w:rFonts w:cs="Arial"/>
                <w:bCs/>
                <w:szCs w:val="20"/>
              </w:rPr>
            </w:pPr>
            <w:r>
              <w:t>Përmirësimi i mbrojtjes së mjedisit nëpërmjet reduktimit të emetimeve të gazeve të dëmshme serrë (GHG) dhe emetimeve të dioksidit të karbonit (CO</w:t>
            </w:r>
            <w:r>
              <w:rPr>
                <w:vertAlign w:val="subscript"/>
              </w:rPr>
              <w:t>2</w:t>
            </w:r>
            <w:r>
              <w:t>);</w:t>
            </w:r>
          </w:p>
          <w:p w14:paraId="171BDCC1" w14:textId="401EF0BD" w:rsidR="00B96385" w:rsidRPr="00A722D1" w:rsidRDefault="00CF3347" w:rsidP="00A722D1">
            <w:pPr>
              <w:pStyle w:val="ListParagraph"/>
              <w:numPr>
                <w:ilvl w:val="0"/>
                <w:numId w:val="59"/>
              </w:numPr>
              <w:spacing w:before="120" w:after="60" w:line="260" w:lineRule="atLeast"/>
              <w:rPr>
                <w:rFonts w:cs="Arial"/>
                <w:bCs/>
                <w:szCs w:val="20"/>
              </w:rPr>
            </w:pPr>
            <w:r>
              <w:t>Diversifikimi i burimeve të energjisë në prodhimin e energjisë elektrike;</w:t>
            </w:r>
          </w:p>
          <w:p w14:paraId="25E12F6C" w14:textId="7E064C03" w:rsidR="00905D61" w:rsidRPr="00A722D1" w:rsidRDefault="0031679D" w:rsidP="00A722D1">
            <w:pPr>
              <w:pStyle w:val="ListParagraph"/>
              <w:numPr>
                <w:ilvl w:val="0"/>
                <w:numId w:val="59"/>
              </w:numPr>
              <w:rPr>
                <w:rFonts w:cs="Arial"/>
                <w:szCs w:val="20"/>
              </w:rPr>
            </w:pPr>
            <w:r>
              <w:t>Reduktimi i varësisë nga importi i energjisë elektrike.</w:t>
            </w:r>
          </w:p>
        </w:tc>
      </w:tr>
      <w:tr w:rsidR="0098031C" w:rsidRPr="00261BD6" w14:paraId="005FB802" w14:textId="77777777" w:rsidTr="00410749">
        <w:trPr>
          <w:trHeight w:val="818"/>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50480F89" w14:textId="62E4B87E" w:rsidR="0098031C" w:rsidRPr="00261BD6" w:rsidRDefault="00A722D1" w:rsidP="00A722D1">
            <w:pPr>
              <w:spacing w:before="60" w:after="60" w:line="260" w:lineRule="atLeast"/>
              <w:rPr>
                <w:rFonts w:ascii="Arial" w:hAnsi="Arial" w:cs="Arial"/>
                <w:bCs/>
                <w:sz w:val="20"/>
                <w:szCs w:val="20"/>
              </w:rPr>
            </w:pPr>
            <w:r>
              <w:rPr>
                <w:rFonts w:ascii="Arial" w:hAnsi="Arial"/>
                <w:sz w:val="20"/>
              </w:rPr>
              <w:t xml:space="preserve">Përshkrimi i përgjithshëm </w:t>
            </w:r>
          </w:p>
        </w:tc>
        <w:tc>
          <w:tcPr>
            <w:tcW w:w="3138" w:type="pct"/>
            <w:tcBorders>
              <w:top w:val="single" w:sz="4" w:space="0" w:color="auto"/>
              <w:left w:val="single" w:sz="4" w:space="0" w:color="auto"/>
              <w:bottom w:val="single" w:sz="4" w:space="0" w:color="auto"/>
              <w:right w:val="single" w:sz="4" w:space="0" w:color="auto"/>
            </w:tcBorders>
          </w:tcPr>
          <w:p w14:paraId="4E381AC7" w14:textId="3A1AAD94" w:rsidR="008B2E0D" w:rsidRPr="00A722D1" w:rsidRDefault="008B2E0D" w:rsidP="00615CC5">
            <w:pPr>
              <w:spacing w:before="40" w:after="0" w:line="240" w:lineRule="auto"/>
              <w:jc w:val="both"/>
              <w:rPr>
                <w:rFonts w:ascii="Arial" w:eastAsia="Calibri" w:hAnsi="Arial" w:cs="Arial"/>
                <w:b/>
                <w:sz w:val="20"/>
                <w:szCs w:val="20"/>
              </w:rPr>
            </w:pPr>
            <w:r>
              <w:rPr>
                <w:rFonts w:ascii="Arial" w:hAnsi="Arial"/>
                <w:b/>
                <w:sz w:val="20"/>
              </w:rPr>
              <w:t>Foto e sektorit të energjisë elektrike në Kosovë (prodhimi i energjisë elektrike, aksioni i BRE-ve, kriza energjetike)</w:t>
            </w:r>
          </w:p>
          <w:p w14:paraId="52D818E1" w14:textId="763825C7" w:rsidR="00151782" w:rsidRPr="00261BD6" w:rsidRDefault="005B631A" w:rsidP="00151782">
            <w:pPr>
              <w:rPr>
                <w:rFonts w:ascii="Arial" w:eastAsia="Calibri" w:hAnsi="Arial" w:cs="Arial"/>
                <w:sz w:val="20"/>
                <w:szCs w:val="20"/>
              </w:rPr>
            </w:pPr>
            <w:r>
              <w:rPr>
                <w:rFonts w:ascii="Arial" w:hAnsi="Arial"/>
                <w:sz w:val="20"/>
              </w:rPr>
              <w:t xml:space="preserve">Sektori i energjisë në Kosovë varet shumë nga linjiti, ku shumica e prodhimit të energjisë elektrike vjen nga dy termocentrale të vjetra me bazë linjiti: TC Kosova A dhe TC Kosova B. </w:t>
            </w:r>
          </w:p>
          <w:p w14:paraId="67A9D539" w14:textId="6F7B75AD" w:rsidR="00EB36B9" w:rsidRPr="00261BD6" w:rsidRDefault="008B2E0D" w:rsidP="00615CC5">
            <w:pPr>
              <w:spacing w:before="40" w:after="0" w:line="240" w:lineRule="auto"/>
              <w:jc w:val="both"/>
              <w:rPr>
                <w:rFonts w:ascii="Arial" w:eastAsia="Calibri" w:hAnsi="Arial" w:cs="Arial"/>
                <w:sz w:val="20"/>
                <w:szCs w:val="20"/>
              </w:rPr>
            </w:pPr>
            <w:r>
              <w:rPr>
                <w:rFonts w:ascii="Arial" w:hAnsi="Arial"/>
                <w:sz w:val="20"/>
              </w:rPr>
              <w:t>Prodhimi i përgjithshëm i energjisë elektrike në vitin 2022 ishte 6,315 GWh, nga të cilat 5,678 GWh janë prodhuar nga termocentralet e linjitit që përbëjnë 90% të prodhimit vendas të energjisë elektrike. Pjesa e mbetur, që arrin në 637 GWh, është prodhuar nga burimet e ripërtërishme të energjisë (BRE). Kjo përbën një rritje prej 1.7% të prodhimit të energjisë elektrike me bazë BRE krahasuar me vitin 2021.</w:t>
            </w:r>
          </w:p>
          <w:p w14:paraId="32869EA3" w14:textId="77777777" w:rsidR="00017360" w:rsidRPr="00261BD6" w:rsidRDefault="00017360" w:rsidP="00615CC5">
            <w:pPr>
              <w:spacing w:before="40" w:after="0" w:line="240" w:lineRule="auto"/>
              <w:jc w:val="both"/>
              <w:rPr>
                <w:rFonts w:ascii="Arial" w:eastAsia="Calibri" w:hAnsi="Arial" w:cs="Arial"/>
                <w:sz w:val="20"/>
                <w:szCs w:val="20"/>
              </w:rPr>
            </w:pPr>
          </w:p>
          <w:p w14:paraId="6D540819" w14:textId="5BF334F1" w:rsidR="00017360" w:rsidRPr="00261BD6" w:rsidRDefault="00017360" w:rsidP="00A6061A">
            <w:pPr>
              <w:rPr>
                <w:rFonts w:ascii="Arial" w:eastAsia="Calibri" w:hAnsi="Arial" w:cs="Arial"/>
                <w:sz w:val="20"/>
                <w:szCs w:val="20"/>
              </w:rPr>
            </w:pPr>
            <w:r>
              <w:rPr>
                <w:rFonts w:ascii="Arial" w:hAnsi="Arial"/>
                <w:sz w:val="20"/>
              </w:rPr>
              <w:t>Aktualisht, Kosova ka një kapacitet operativ të BRE prej 279 MW, prej të cilave 137 MW prodhohen nga centralet me erë. Këto centrale me erë u zhvilluan kryesisht nën skemën mbështetëse të Tarifave nxitëse (FiT), e dhënë përmes një procedure administrative të bazuar në bazën "i pari shërbehet". Gjithashtu, ka plane për të ndërtuar 350 MW kapacitet diellor fotovoltaik (PV) gjatë viteve 2023-2026. Kjo do të përfshijë një kombinim të investimeve private dhe publike, qoftë mbi baza tregtare ose nëpërmjet kontratave afatgjata si Marrëveshjet e Blerjes së Energjisë Elektrike (MBE).</w:t>
            </w:r>
          </w:p>
          <w:p w14:paraId="718097FF" w14:textId="21AA990C" w:rsidR="00017360" w:rsidRPr="00261BD6" w:rsidRDefault="00A6061A" w:rsidP="00A0586A">
            <w:pPr>
              <w:rPr>
                <w:rFonts w:ascii="Arial" w:eastAsia="Calibri" w:hAnsi="Arial" w:cs="Arial"/>
                <w:sz w:val="20"/>
                <w:szCs w:val="20"/>
              </w:rPr>
            </w:pPr>
            <w:r>
              <w:rPr>
                <w:rFonts w:ascii="Arial" w:hAnsi="Arial"/>
                <w:sz w:val="20"/>
              </w:rPr>
              <w:lastRenderedPageBreak/>
              <w:t>Në maj të vitit 2024, Kosova përfundoi ankandin e parë pilot dhe nënshkroi kontratën për ndërtimin e centralit 100 MW diellor PV në Kramovik, dhe në të ardhmen e afërt planifikohet të iniciohen edhe disa tenderë të tjerë.</w:t>
            </w:r>
          </w:p>
          <w:p w14:paraId="1FFC46C0" w14:textId="12766255" w:rsidR="00A6061A" w:rsidRPr="00261BD6" w:rsidRDefault="000B3EB9" w:rsidP="00AC5C77">
            <w:pPr>
              <w:spacing w:before="40" w:after="0" w:line="240" w:lineRule="auto"/>
              <w:jc w:val="both"/>
              <w:rPr>
                <w:rFonts w:ascii="Arial" w:eastAsia="Calibri" w:hAnsi="Arial" w:cs="Arial"/>
                <w:sz w:val="20"/>
                <w:szCs w:val="20"/>
              </w:rPr>
            </w:pPr>
            <w:r>
              <w:rPr>
                <w:rFonts w:ascii="Arial" w:hAnsi="Arial"/>
                <w:sz w:val="20"/>
              </w:rPr>
              <w:t xml:space="preserve">Për shkak të furnizimit të pamjaftueshëm vendor, centraleve jo të besueshme, kriza energjetike ndikoi negativisht në sektorin energjetik në Kosovë përmes importit të energjisë elektrike. Prandaj, ndërtimi i kapaciteteve gjeneruese të erës pritet të përmirësojë sigurinë e furnizimit. </w:t>
            </w:r>
          </w:p>
          <w:p w14:paraId="4C6F0E60" w14:textId="77777777" w:rsidR="002E2F72" w:rsidRPr="00261BD6" w:rsidRDefault="002E2F72" w:rsidP="00A877FD">
            <w:pPr>
              <w:spacing w:before="40" w:after="0" w:line="240" w:lineRule="auto"/>
              <w:jc w:val="both"/>
              <w:rPr>
                <w:rFonts w:ascii="Arial" w:eastAsia="Calibri" w:hAnsi="Arial" w:cs="Arial"/>
                <w:sz w:val="20"/>
                <w:szCs w:val="20"/>
                <w:u w:val="single"/>
              </w:rPr>
            </w:pPr>
          </w:p>
          <w:p w14:paraId="3489A9D5" w14:textId="72E1781D" w:rsidR="002E2F72" w:rsidRPr="00261BD6" w:rsidRDefault="002E2F72" w:rsidP="00A877FD">
            <w:pPr>
              <w:spacing w:before="40" w:after="0" w:line="240" w:lineRule="auto"/>
              <w:jc w:val="both"/>
              <w:rPr>
                <w:rFonts w:ascii="Arial" w:eastAsia="Calibri" w:hAnsi="Arial" w:cs="Arial"/>
                <w:sz w:val="20"/>
                <w:szCs w:val="20"/>
                <w:u w:val="single"/>
              </w:rPr>
            </w:pPr>
            <w:r>
              <w:rPr>
                <w:rFonts w:ascii="Arial" w:hAnsi="Arial"/>
                <w:sz w:val="20"/>
                <w:u w:val="single"/>
              </w:rPr>
              <w:t xml:space="preserve">Projekti i centralit me erë: </w:t>
            </w:r>
          </w:p>
          <w:p w14:paraId="339F29CD" w14:textId="77777777" w:rsidR="00A6061A" w:rsidRPr="00261BD6" w:rsidRDefault="00A6061A" w:rsidP="00A877FD">
            <w:pPr>
              <w:spacing w:before="40" w:after="0" w:line="240" w:lineRule="auto"/>
              <w:jc w:val="both"/>
              <w:rPr>
                <w:rFonts w:ascii="Arial" w:eastAsia="Calibri" w:hAnsi="Arial" w:cs="Arial"/>
                <w:sz w:val="20"/>
                <w:szCs w:val="20"/>
                <w:u w:val="single"/>
              </w:rPr>
            </w:pPr>
          </w:p>
          <w:p w14:paraId="3B39CEAB" w14:textId="2CA60F3D" w:rsidR="009B4C4D" w:rsidRPr="00261BD6" w:rsidRDefault="000B3EB9" w:rsidP="00A877FD">
            <w:pPr>
              <w:spacing w:before="40" w:after="0" w:line="240" w:lineRule="auto"/>
              <w:jc w:val="both"/>
              <w:rPr>
                <w:rFonts w:ascii="Arial" w:eastAsia="Calibri" w:hAnsi="Arial" w:cs="Arial"/>
                <w:sz w:val="20"/>
                <w:szCs w:val="20"/>
              </w:rPr>
            </w:pPr>
            <w:r>
              <w:rPr>
                <w:rFonts w:ascii="Arial" w:hAnsi="Arial"/>
                <w:sz w:val="20"/>
              </w:rPr>
              <w:t xml:space="preserve">Në këtë kontekst, Ministria e Ekonomisë ka iniciuar një studim fizibiliteti në kuadër të Kornizës së Investimeve të Ballkanit Perëndimor Asistenca Teknike e Instrumentit të Projektit për Infrastrukturë 7 (IPI 7). </w:t>
            </w:r>
          </w:p>
          <w:p w14:paraId="15BDF2C1" w14:textId="77777777" w:rsidR="004F6A9B" w:rsidRPr="00261BD6" w:rsidRDefault="004F6A9B" w:rsidP="00A877FD">
            <w:pPr>
              <w:spacing w:before="40" w:after="0" w:line="240" w:lineRule="auto"/>
              <w:jc w:val="both"/>
              <w:rPr>
                <w:rFonts w:ascii="Arial" w:eastAsia="Calibri" w:hAnsi="Arial" w:cs="Arial"/>
                <w:sz w:val="20"/>
                <w:szCs w:val="20"/>
              </w:rPr>
            </w:pPr>
          </w:p>
          <w:p w14:paraId="4D4EA1B0" w14:textId="4780013C" w:rsidR="009B4C4D" w:rsidRPr="00261BD6" w:rsidRDefault="009B4C4D" w:rsidP="00A877FD">
            <w:pPr>
              <w:spacing w:before="40" w:after="0" w:line="240" w:lineRule="auto"/>
              <w:jc w:val="both"/>
              <w:rPr>
                <w:rFonts w:ascii="Arial" w:eastAsia="Calibri" w:hAnsi="Arial" w:cs="Arial"/>
                <w:sz w:val="20"/>
                <w:szCs w:val="20"/>
              </w:rPr>
            </w:pPr>
            <w:r>
              <w:rPr>
                <w:rFonts w:ascii="Arial" w:hAnsi="Arial"/>
                <w:sz w:val="20"/>
              </w:rPr>
              <w:t>Qëllimi i këtij studimi është të identifikojë tokën publike më të përshtatshme për ndërtimin e impianteve me erë dhe atyre diellore, duke shfrytëzuar ose investime publike ose private nëpërmjet proceseve transparente dhe konkurruese – siç janë ankandet.</w:t>
            </w:r>
          </w:p>
          <w:p w14:paraId="14BC4712" w14:textId="77777777" w:rsidR="005874BE" w:rsidRPr="00261BD6" w:rsidRDefault="005874BE" w:rsidP="00A877FD">
            <w:pPr>
              <w:spacing w:before="40" w:after="0" w:line="240" w:lineRule="auto"/>
              <w:jc w:val="both"/>
              <w:rPr>
                <w:rFonts w:ascii="Arial" w:eastAsia="Calibri" w:hAnsi="Arial" w:cs="Arial"/>
                <w:sz w:val="20"/>
                <w:szCs w:val="20"/>
              </w:rPr>
            </w:pPr>
          </w:p>
          <w:p w14:paraId="18395321" w14:textId="7977467E" w:rsidR="005874BE" w:rsidRPr="00261BD6" w:rsidRDefault="005874BE" w:rsidP="00A877FD">
            <w:pPr>
              <w:spacing w:before="40" w:after="0" w:line="240" w:lineRule="auto"/>
              <w:jc w:val="both"/>
              <w:rPr>
                <w:rFonts w:ascii="Arial" w:eastAsia="Calibri" w:hAnsi="Arial" w:cs="Arial"/>
                <w:sz w:val="20"/>
                <w:szCs w:val="20"/>
              </w:rPr>
            </w:pPr>
            <w:r>
              <w:rPr>
                <w:rFonts w:ascii="Arial" w:hAnsi="Arial"/>
                <w:sz w:val="20"/>
              </w:rPr>
              <w:t xml:space="preserve">Në këtë studim, janë identifikuar trembëdhjetë (13) lokacione me erë, nga të cilat tetë (8) lokacione janë përzgjedhur në këtë fazë bazuar në rreziqet e tyre të krahasueshme të zhvillimit të ulët për projektet e erës. Kjo përzgjedhje mori parasysh një sërë kriteresh dhe parametrash të ndryshëm si: </w:t>
            </w:r>
          </w:p>
          <w:p w14:paraId="121DD8EC" w14:textId="333BFBE0" w:rsidR="004F6A9B" w:rsidRPr="00261BD6" w:rsidRDefault="004F6A9B" w:rsidP="000154E5">
            <w:pPr>
              <w:pStyle w:val="ListParagraph"/>
              <w:numPr>
                <w:ilvl w:val="0"/>
                <w:numId w:val="52"/>
              </w:numPr>
              <w:spacing w:before="40" w:line="240" w:lineRule="auto"/>
              <w:jc w:val="both"/>
              <w:rPr>
                <w:rFonts w:cs="Arial"/>
                <w:szCs w:val="20"/>
              </w:rPr>
            </w:pPr>
            <w:r>
              <w:t xml:space="preserve">Largësia nga rrjeti i transmetimit; </w:t>
            </w:r>
          </w:p>
          <w:p w14:paraId="12C674C4" w14:textId="233D3B84" w:rsidR="004F6A9B" w:rsidRPr="00261BD6" w:rsidRDefault="00DE48BE" w:rsidP="000154E5">
            <w:pPr>
              <w:pStyle w:val="ListParagraph"/>
              <w:numPr>
                <w:ilvl w:val="0"/>
                <w:numId w:val="52"/>
              </w:numPr>
              <w:spacing w:before="40" w:line="240" w:lineRule="auto"/>
              <w:jc w:val="both"/>
              <w:rPr>
                <w:rFonts w:cs="Arial"/>
                <w:szCs w:val="20"/>
              </w:rPr>
            </w:pPr>
            <w:r>
              <w:t xml:space="preserve">Disponueshmëria e kapaciteteve transmetuese; </w:t>
            </w:r>
          </w:p>
          <w:p w14:paraId="57EC779C" w14:textId="0FE171A1" w:rsidR="004F6A9B" w:rsidRPr="00261BD6" w:rsidRDefault="00DE48BE" w:rsidP="000154E5">
            <w:pPr>
              <w:pStyle w:val="ListParagraph"/>
              <w:numPr>
                <w:ilvl w:val="0"/>
                <w:numId w:val="52"/>
              </w:numPr>
              <w:spacing w:before="40" w:line="240" w:lineRule="auto"/>
              <w:jc w:val="both"/>
              <w:rPr>
                <w:rFonts w:cs="Arial"/>
                <w:szCs w:val="20"/>
              </w:rPr>
            </w:pPr>
            <w:r>
              <w:t xml:space="preserve">Analiza e orografisë së terrenit (pjerrësia, përjashtimi i zonës së mbrojtur dhe zonës së papërshtatshme siç janë vendet e ndërtuara, toka bujqësore, infrastruktura dhe trupat ujorë); </w:t>
            </w:r>
          </w:p>
          <w:p w14:paraId="4234551D" w14:textId="02E0532C" w:rsidR="004F6A9B" w:rsidRPr="00261BD6" w:rsidRDefault="00DE48BE" w:rsidP="000154E5">
            <w:pPr>
              <w:pStyle w:val="ListParagraph"/>
              <w:numPr>
                <w:ilvl w:val="0"/>
                <w:numId w:val="52"/>
              </w:numPr>
              <w:spacing w:before="40" w:line="240" w:lineRule="auto"/>
              <w:jc w:val="both"/>
              <w:rPr>
                <w:rFonts w:cs="Arial"/>
                <w:szCs w:val="20"/>
              </w:rPr>
            </w:pPr>
            <w:r>
              <w:t>Burimi i erës, për sa i përket një shpejtësie mesatare të erës.</w:t>
            </w:r>
          </w:p>
          <w:p w14:paraId="6A36D740" w14:textId="77777777" w:rsidR="005874BE" w:rsidRPr="00261BD6" w:rsidRDefault="005874BE" w:rsidP="005874BE">
            <w:pPr>
              <w:pStyle w:val="ListParagraph"/>
              <w:spacing w:before="40" w:line="240" w:lineRule="auto"/>
              <w:jc w:val="both"/>
              <w:rPr>
                <w:rFonts w:cs="Arial"/>
                <w:szCs w:val="20"/>
              </w:rPr>
            </w:pPr>
          </w:p>
          <w:p w14:paraId="24CE9718" w14:textId="7933A06D" w:rsidR="00F82391" w:rsidRPr="00261BD6" w:rsidRDefault="00DE6A9A" w:rsidP="000154E5">
            <w:pPr>
              <w:spacing w:before="40" w:line="240" w:lineRule="auto"/>
              <w:jc w:val="both"/>
              <w:rPr>
                <w:rFonts w:ascii="Arial" w:hAnsi="Arial" w:cs="Arial"/>
                <w:sz w:val="20"/>
                <w:szCs w:val="20"/>
              </w:rPr>
            </w:pPr>
            <w:r>
              <w:rPr>
                <w:rFonts w:ascii="Arial" w:hAnsi="Arial"/>
                <w:sz w:val="20"/>
              </w:rPr>
              <w:t xml:space="preserve">Analiza e vazhdueshme e studimit të fizibilitetit për tetë lokacionet e përzgjedhura përfshin: </w:t>
            </w:r>
          </w:p>
          <w:p w14:paraId="24873ECD" w14:textId="5CB9F306" w:rsidR="00F82391" w:rsidRPr="00261BD6" w:rsidRDefault="00DE6A9A" w:rsidP="00DE6A9A">
            <w:pPr>
              <w:pStyle w:val="ListParagraph"/>
              <w:numPr>
                <w:ilvl w:val="0"/>
                <w:numId w:val="57"/>
              </w:numPr>
              <w:spacing w:before="40" w:line="240" w:lineRule="auto"/>
              <w:jc w:val="both"/>
              <w:rPr>
                <w:rFonts w:cs="Arial"/>
                <w:szCs w:val="20"/>
              </w:rPr>
            </w:pPr>
            <w:r>
              <w:t xml:space="preserve">Kryerjen e imazheve gjatë ecjes në këmbë dhe dronit për inspektimin e vendeve të përzgjedhura; </w:t>
            </w:r>
          </w:p>
          <w:p w14:paraId="7B78EE99" w14:textId="2D81C2D8" w:rsidR="008211E7" w:rsidRPr="00261BD6" w:rsidRDefault="008211E7" w:rsidP="00DE6A9A">
            <w:pPr>
              <w:pStyle w:val="ListParagraph"/>
              <w:numPr>
                <w:ilvl w:val="0"/>
                <w:numId w:val="57"/>
              </w:numPr>
              <w:spacing w:before="40" w:line="240" w:lineRule="auto"/>
              <w:jc w:val="both"/>
              <w:rPr>
                <w:rFonts w:cs="Arial"/>
                <w:szCs w:val="20"/>
              </w:rPr>
            </w:pPr>
            <w:r>
              <w:t>Sqarimin e çështjeve të pronësisë brenda lokacioneve të identifikuara;</w:t>
            </w:r>
          </w:p>
          <w:p w14:paraId="72CA7CFE" w14:textId="5F62CD9C" w:rsidR="008211E7" w:rsidRPr="00261BD6" w:rsidRDefault="00DE6A9A" w:rsidP="00DE6A9A">
            <w:pPr>
              <w:pStyle w:val="ListParagraph"/>
              <w:numPr>
                <w:ilvl w:val="0"/>
                <w:numId w:val="57"/>
              </w:numPr>
              <w:spacing w:before="40" w:line="240" w:lineRule="auto"/>
              <w:jc w:val="both"/>
              <w:rPr>
                <w:rFonts w:cs="Arial"/>
                <w:szCs w:val="20"/>
              </w:rPr>
            </w:pPr>
            <w:r>
              <w:t>Kryerjen e vlerësimeve mjedisore dhe;</w:t>
            </w:r>
          </w:p>
          <w:p w14:paraId="2896C769" w14:textId="7752A9B8" w:rsidR="00DE6A9A" w:rsidRPr="00A0586A" w:rsidRDefault="00DE6A9A" w:rsidP="000154E5">
            <w:pPr>
              <w:pStyle w:val="ListParagraph"/>
              <w:numPr>
                <w:ilvl w:val="0"/>
                <w:numId w:val="57"/>
              </w:numPr>
              <w:spacing w:before="40" w:line="240" w:lineRule="auto"/>
              <w:jc w:val="both"/>
              <w:rPr>
                <w:rFonts w:cs="Arial"/>
                <w:szCs w:val="20"/>
              </w:rPr>
            </w:pPr>
            <w:r>
              <w:t>Kryerjen e analizave të lidhjeve si analiza e rrjedhës së fuqisë (N-1), pajtueshmëria e kodit të rrjetit, simulimi i qarkut të shkurtër dhe analiza e stabilitetit kalimtar.</w:t>
            </w:r>
          </w:p>
          <w:p w14:paraId="3CE7392B" w14:textId="77777777" w:rsidR="00DE6A9A" w:rsidRPr="00261BD6" w:rsidRDefault="00DE48BE" w:rsidP="000154E5">
            <w:pPr>
              <w:spacing w:before="40" w:line="240" w:lineRule="auto"/>
              <w:jc w:val="both"/>
              <w:rPr>
                <w:rFonts w:ascii="Arial" w:eastAsia="Calibri" w:hAnsi="Arial" w:cs="Arial"/>
                <w:sz w:val="20"/>
                <w:szCs w:val="20"/>
              </w:rPr>
            </w:pPr>
            <w:r>
              <w:rPr>
                <w:rFonts w:ascii="Arial" w:hAnsi="Arial"/>
                <w:sz w:val="20"/>
              </w:rPr>
              <w:t xml:space="preserve">Studimi pritet të kryhet në TM1 2024. Njëkohësisht, një ndërmarrje publike (NP) do të themelohet për të menaxhuar pasuritë. Pas përfundimit të studimit, Ministria do të posedojë një databazë të detajuar të tetë (8) lokacioneve të erës, duke përfshirë analizën e detajuar të lidhjeve në rrjet, informacionin mbi pronësinë, informacionin mbi potencialin e burimeve të erës dhe informacione të tjera përkatëse të terrenit. </w:t>
            </w:r>
          </w:p>
          <w:p w14:paraId="4F407B01" w14:textId="78A89FFE" w:rsidR="00E56607" w:rsidRPr="00261BD6" w:rsidRDefault="0053460F" w:rsidP="000154E5">
            <w:pPr>
              <w:spacing w:before="40" w:line="240" w:lineRule="auto"/>
              <w:jc w:val="both"/>
              <w:rPr>
                <w:rFonts w:ascii="Arial" w:eastAsia="Calibri" w:hAnsi="Arial" w:cs="Arial"/>
                <w:sz w:val="20"/>
                <w:szCs w:val="20"/>
              </w:rPr>
            </w:pPr>
            <w:r>
              <w:rPr>
                <w:rFonts w:ascii="Arial" w:hAnsi="Arial"/>
                <w:sz w:val="20"/>
              </w:rPr>
              <w:t xml:space="preserve">Ministria më pas do të vazhdojë me veprime shtesë, duke përfshirë fillimin e një raporti të detajuar të Vlerësimit të Ndikimit Mjedisor dhe Social (VNMS), blerjen e pajisjeve matëse të erës dhe ndërmarrjen e përgatitjeve të tjera teknike për ndërtimin e fermës me erë, si dhe fokusimin në ngritjen e kapaciteteve brenda NP të krijuar. </w:t>
            </w:r>
          </w:p>
          <w:p w14:paraId="3DA1B9BF" w14:textId="6E71A321" w:rsidR="00151782" w:rsidRPr="00261BD6" w:rsidRDefault="004E5583" w:rsidP="00FB5EC0">
            <w:pPr>
              <w:spacing w:before="40" w:after="0" w:line="240" w:lineRule="auto"/>
              <w:jc w:val="both"/>
              <w:rPr>
                <w:rFonts w:ascii="Arial" w:eastAsia="Calibri" w:hAnsi="Arial" w:cs="Arial"/>
                <w:sz w:val="20"/>
                <w:szCs w:val="20"/>
              </w:rPr>
            </w:pPr>
            <w:r>
              <w:rPr>
                <w:rFonts w:ascii="Arial" w:hAnsi="Arial"/>
                <w:sz w:val="20"/>
              </w:rPr>
              <w:t xml:space="preserve">Kapaciteti i saktë dhe shtrirja e impiantit për çdo vendndodhje do të përcaktohet pasi të jenë finalizuar të gjitha studimet dhe zgjidhjet e sakta teknike. Kapaciteti i instaluar mund të variojë nga afërsisht 50 </w:t>
            </w:r>
            <w:r>
              <w:rPr>
                <w:rFonts w:ascii="Arial" w:hAnsi="Arial"/>
                <w:sz w:val="20"/>
              </w:rPr>
              <w:lastRenderedPageBreak/>
              <w:t xml:space="preserve">MW deri në 200 MW, edhe pse për qëllime të analizës në këtë fazë të hershme, një kapacitet mesatar prej 70 MW do të përdoret si referencë për llogaritjen e çmimit.  </w:t>
            </w:r>
          </w:p>
        </w:tc>
      </w:tr>
    </w:tbl>
    <w:p w14:paraId="1ABEB537" w14:textId="73F49DA1" w:rsidR="006F1611" w:rsidRPr="00261BD6" w:rsidRDefault="003A3FE8" w:rsidP="003A3FE8">
      <w:pPr>
        <w:pStyle w:val="ListParagraph"/>
        <w:numPr>
          <w:ilvl w:val="0"/>
          <w:numId w:val="38"/>
        </w:numPr>
        <w:spacing w:before="240" w:line="240" w:lineRule="auto"/>
        <w:rPr>
          <w:rFonts w:cs="Arial"/>
          <w:b/>
          <w:szCs w:val="20"/>
        </w:rPr>
      </w:pPr>
      <w:r>
        <w:rPr>
          <w:b/>
        </w:rPr>
        <w:lastRenderedPageBreak/>
        <w:t>KUALIFIKUESHMËRIA</w:t>
      </w:r>
    </w:p>
    <w:tbl>
      <w:tblPr>
        <w:tblW w:w="4949" w:type="pct"/>
        <w:tblInd w:w="108" w:type="dxa"/>
        <w:tblLook w:val="01E0" w:firstRow="1" w:lastRow="1" w:firstColumn="1" w:lastColumn="1" w:noHBand="0" w:noVBand="0"/>
      </w:tblPr>
      <w:tblGrid>
        <w:gridCol w:w="3608"/>
        <w:gridCol w:w="6187"/>
      </w:tblGrid>
      <w:tr w:rsidR="0098031C" w:rsidRPr="00261BD6" w14:paraId="184E0600" w14:textId="77777777" w:rsidTr="00434F47">
        <w:trPr>
          <w:trHeight w:val="368"/>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213AAEB6" w14:textId="76FB78D0" w:rsidR="0098031C" w:rsidRPr="00261BD6" w:rsidRDefault="003C1A54" w:rsidP="0074067A">
            <w:pPr>
              <w:spacing w:after="0" w:line="240" w:lineRule="auto"/>
              <w:rPr>
                <w:rFonts w:ascii="Arial" w:hAnsi="Arial" w:cs="Arial"/>
                <w:sz w:val="20"/>
                <w:szCs w:val="20"/>
              </w:rPr>
            </w:pPr>
            <w:r>
              <w:rPr>
                <w:rFonts w:ascii="Arial" w:hAnsi="Arial"/>
                <w:sz w:val="20"/>
              </w:rPr>
              <w:t xml:space="preserve">Koherenca </w:t>
            </w:r>
            <w:r w:rsidR="0098031C">
              <w:rPr>
                <w:rFonts w:ascii="Arial" w:hAnsi="Arial"/>
                <w:sz w:val="20"/>
              </w:rPr>
              <w:t>me politikat dhe strategjitë e vlefshme të BE-së</w:t>
            </w:r>
          </w:p>
        </w:tc>
        <w:tc>
          <w:tcPr>
            <w:tcW w:w="3158" w:type="pct"/>
            <w:tcBorders>
              <w:top w:val="single" w:sz="4" w:space="0" w:color="auto"/>
              <w:left w:val="single" w:sz="4" w:space="0" w:color="auto"/>
              <w:bottom w:val="single" w:sz="4" w:space="0" w:color="auto"/>
              <w:right w:val="single" w:sz="4" w:space="0" w:color="auto"/>
            </w:tcBorders>
          </w:tcPr>
          <w:p w14:paraId="1EA31EE4" w14:textId="3945EC22" w:rsidR="00293C2F" w:rsidRPr="00261BD6" w:rsidRDefault="00293C2F" w:rsidP="00D63C73">
            <w:pPr>
              <w:spacing w:after="0"/>
              <w:jc w:val="both"/>
              <w:rPr>
                <w:rFonts w:ascii="Arial" w:hAnsi="Arial" w:cs="Arial"/>
                <w:b/>
                <w:bCs/>
                <w:sz w:val="20"/>
                <w:szCs w:val="20"/>
              </w:rPr>
            </w:pPr>
            <w:r>
              <w:rPr>
                <w:rFonts w:ascii="Arial" w:hAnsi="Arial"/>
                <w:b/>
                <w:sz w:val="20"/>
              </w:rPr>
              <w:t>DIREKTIVA (BE) 2018/2001 E PARLAMENTIT EVROPIAN DHE E KËSHILLIT e datës 11 dhjetor 2018 për promovimin e përdorimit të energjisë nga burimet e ripërtëritshme</w:t>
            </w:r>
          </w:p>
          <w:p w14:paraId="4FCF990A" w14:textId="4A80AA98" w:rsidR="00293C2F" w:rsidRPr="00261BD6" w:rsidRDefault="00293C2F" w:rsidP="00293C2F">
            <w:pPr>
              <w:spacing w:after="0"/>
              <w:rPr>
                <w:rFonts w:ascii="Arial" w:hAnsi="Arial" w:cs="Arial"/>
                <w:sz w:val="20"/>
                <w:szCs w:val="20"/>
              </w:rPr>
            </w:pPr>
          </w:p>
          <w:p w14:paraId="2DA46A07" w14:textId="421E4DE3" w:rsidR="00293C2F" w:rsidRPr="00261BD6" w:rsidRDefault="00436CA2" w:rsidP="00293C2F">
            <w:pPr>
              <w:spacing w:after="0"/>
              <w:rPr>
                <w:rFonts w:ascii="Arial" w:hAnsi="Arial" w:cs="Arial"/>
                <w:b/>
                <w:bCs/>
                <w:i/>
                <w:iCs/>
                <w:sz w:val="20"/>
                <w:szCs w:val="20"/>
              </w:rPr>
            </w:pPr>
            <w:r>
              <w:rPr>
                <w:rFonts w:ascii="Arial" w:hAnsi="Arial"/>
                <w:b/>
                <w:i/>
                <w:sz w:val="20"/>
              </w:rPr>
              <w:t>Neni 3 - Objektivi i përgjithshëm i Komunitetit të Energjisë për vitin 2030</w:t>
            </w:r>
          </w:p>
          <w:p w14:paraId="25BA42C9" w14:textId="12DAE0D4" w:rsidR="00CA27EF" w:rsidRPr="00261BD6" w:rsidRDefault="00CA27EF" w:rsidP="00CA27EF">
            <w:pPr>
              <w:pStyle w:val="ListParagraph"/>
              <w:numPr>
                <w:ilvl w:val="0"/>
                <w:numId w:val="48"/>
              </w:numPr>
              <w:ind w:left="131" w:hanging="180"/>
              <w:jc w:val="both"/>
              <w:rPr>
                <w:rFonts w:cs="Arial"/>
                <w:iCs/>
                <w:szCs w:val="20"/>
              </w:rPr>
            </w:pPr>
            <w:r>
              <w:t>Palët Kontraktuese do të sigurojnë që pjesa e energjisë nga burimet e ripërtëritshme në konsumin përfundimtar bruto të energjisë nga palët kontraktuese në vitin 2030 të kontribuojë në objektivin e përgjithshëm të Komunitetit të Energjisë të vendosur në pjesën A të Shtojcës I (Synimi për pjesën e energjisë nga burimet e ripërtëritshme në konsumin bruto finale të energjisë, 2030 për Kosovën është 32%);</w:t>
            </w:r>
          </w:p>
          <w:p w14:paraId="6FBD0A3F" w14:textId="22528DBF" w:rsidR="00CA27EF" w:rsidRPr="00261BD6" w:rsidRDefault="00436CA2" w:rsidP="00CA27EF">
            <w:pPr>
              <w:pStyle w:val="ListParagraph"/>
              <w:numPr>
                <w:ilvl w:val="0"/>
                <w:numId w:val="49"/>
              </w:numPr>
              <w:ind w:left="221" w:hanging="270"/>
              <w:jc w:val="both"/>
              <w:rPr>
                <w:rFonts w:cs="Arial"/>
                <w:iCs/>
                <w:szCs w:val="20"/>
              </w:rPr>
            </w:pPr>
            <w:r>
              <w:t xml:space="preserve">Bashkimi Evropian do të përpiqet të mbështesë ambicien e lartë të Palëve Kontraktuese nëpërmjet një kornize mundësues që përfshin përdorimin e zgjeruar të fondeve në dispozicion, duke përfshirë fonde shtesë për të lehtësuar një tranzicion të drejtë të rajoneve me intensitet karboni drejt rritjes së aksioneve të energjisë së ripërtëritshme, në veçanti instrumenteve financiare veçanërisht për qëllimet e mëposhtme: </w:t>
            </w:r>
          </w:p>
          <w:p w14:paraId="4C81568C" w14:textId="777CD3C3" w:rsidR="00436CA2" w:rsidRPr="00261BD6" w:rsidRDefault="00740C99" w:rsidP="00306504">
            <w:pPr>
              <w:spacing w:after="0"/>
              <w:jc w:val="both"/>
              <w:rPr>
                <w:rFonts w:ascii="Arial" w:hAnsi="Arial" w:cs="Arial"/>
                <w:iCs/>
                <w:sz w:val="20"/>
                <w:szCs w:val="20"/>
              </w:rPr>
            </w:pPr>
            <w:r>
              <w:rPr>
                <w:rFonts w:ascii="Arial" w:hAnsi="Arial"/>
                <w:sz w:val="20"/>
              </w:rPr>
              <w:t>(b) zhvillimin e projekteve dhe programeve për integrimin e burimeve të ripërtëritshme në sistemin e energjisë.</w:t>
            </w:r>
          </w:p>
          <w:p w14:paraId="377F23D5" w14:textId="77777777" w:rsidR="00436CA2" w:rsidRPr="00261BD6" w:rsidRDefault="00436CA2" w:rsidP="00D63C73">
            <w:pPr>
              <w:spacing w:after="0"/>
              <w:jc w:val="both"/>
              <w:rPr>
                <w:rFonts w:ascii="Arial" w:hAnsi="Arial" w:cs="Arial"/>
                <w:i/>
                <w:iCs/>
                <w:sz w:val="20"/>
                <w:szCs w:val="20"/>
              </w:rPr>
            </w:pPr>
          </w:p>
          <w:p w14:paraId="719817A5" w14:textId="4F93A93E" w:rsidR="008B0D5E" w:rsidRPr="00261BD6" w:rsidRDefault="008B0D5E" w:rsidP="008B0D5E">
            <w:pPr>
              <w:spacing w:after="0"/>
              <w:rPr>
                <w:rFonts w:ascii="Arial" w:hAnsi="Arial" w:cs="Arial"/>
                <w:b/>
                <w:bCs/>
                <w:i/>
                <w:iCs/>
                <w:sz w:val="20"/>
                <w:szCs w:val="20"/>
              </w:rPr>
            </w:pPr>
            <w:r>
              <w:rPr>
                <w:rFonts w:ascii="Arial" w:hAnsi="Arial"/>
                <w:b/>
                <w:i/>
                <w:sz w:val="20"/>
              </w:rPr>
              <w:t>Neni 15 - Procedurat administrative, rregulloret dhe kodet</w:t>
            </w:r>
          </w:p>
          <w:p w14:paraId="065F3E8E" w14:textId="77777777" w:rsidR="008B0D5E" w:rsidRPr="00261BD6" w:rsidRDefault="008B0D5E" w:rsidP="008B0D5E">
            <w:pPr>
              <w:spacing w:after="0"/>
              <w:rPr>
                <w:rFonts w:ascii="Arial" w:hAnsi="Arial" w:cs="Arial"/>
                <w:b/>
                <w:bCs/>
                <w:i/>
                <w:iCs/>
                <w:sz w:val="20"/>
                <w:szCs w:val="20"/>
              </w:rPr>
            </w:pPr>
          </w:p>
          <w:p w14:paraId="0EEF729B" w14:textId="4C24296D" w:rsidR="008B0D5E" w:rsidRPr="00261BD6" w:rsidRDefault="008B0D5E" w:rsidP="008B0D5E">
            <w:pPr>
              <w:spacing w:after="0"/>
              <w:jc w:val="both"/>
              <w:rPr>
                <w:rFonts w:ascii="Arial" w:hAnsi="Arial" w:cs="Arial"/>
                <w:iCs/>
                <w:sz w:val="20"/>
                <w:szCs w:val="20"/>
              </w:rPr>
            </w:pPr>
            <w:r>
              <w:rPr>
                <w:rFonts w:ascii="Arial" w:hAnsi="Arial"/>
                <w:sz w:val="20"/>
              </w:rPr>
              <w:t>Palët Kontraktuese do të sigurojnë që çdo rregull kombëtar në lidhje me procedurat e autorizimit, certifikimit dhe licencimit që zbatohen për impiantet dhe rrjetet shoqëruese të transmetimit dhe shpërndarjes për prodhimin e energjisë elektrike, ngrohjen ose ftohjen nga burimet e ripërtëritshme, në procesin e transformimit të biomasës në biokarburant, bio-lëngjet, lëndët djegëse të biomasës ose produkte të tjera energjetike, dhe lëndë djegëse të ripërtëritshme të transportit të lëngshme dhe të gaztë me origjinë jobiologjike janë proporcionale dhe të nevojshme dhe kontribuojnë në zbatimin e parimit të parë të efiçencës së energjisë</w:t>
            </w:r>
          </w:p>
          <w:p w14:paraId="2617F4E2" w14:textId="0AD4E9DD" w:rsidR="00424755" w:rsidRPr="00261BD6" w:rsidRDefault="00424755" w:rsidP="00293C2F">
            <w:pPr>
              <w:spacing w:after="0"/>
              <w:rPr>
                <w:rFonts w:ascii="Arial" w:hAnsi="Arial" w:cs="Arial"/>
                <w:sz w:val="20"/>
                <w:szCs w:val="20"/>
              </w:rPr>
            </w:pPr>
          </w:p>
          <w:p w14:paraId="5AB18518" w14:textId="77777777" w:rsidR="00293C2F" w:rsidRPr="00261BD6" w:rsidRDefault="00293C2F" w:rsidP="00293C2F">
            <w:pPr>
              <w:spacing w:after="0"/>
              <w:rPr>
                <w:rFonts w:ascii="Arial" w:hAnsi="Arial" w:cs="Arial"/>
                <w:b/>
                <w:bCs/>
                <w:sz w:val="20"/>
                <w:szCs w:val="20"/>
              </w:rPr>
            </w:pPr>
            <w:r>
              <w:rPr>
                <w:rFonts w:ascii="Arial" w:hAnsi="Arial"/>
                <w:b/>
                <w:sz w:val="20"/>
              </w:rPr>
              <w:t>KOMISIONI EVROPIAN Komunikimi për plan ekonomik dhe investiv për Ballkanin Perëndimor</w:t>
            </w:r>
          </w:p>
          <w:p w14:paraId="61382F82" w14:textId="77777777" w:rsidR="00293C2F" w:rsidRPr="00261BD6" w:rsidRDefault="00293C2F" w:rsidP="00293C2F">
            <w:pPr>
              <w:spacing w:after="0"/>
              <w:rPr>
                <w:rFonts w:ascii="Arial" w:hAnsi="Arial" w:cs="Arial"/>
                <w:sz w:val="20"/>
                <w:szCs w:val="20"/>
              </w:rPr>
            </w:pPr>
          </w:p>
          <w:p w14:paraId="43836B23" w14:textId="0E7B8576" w:rsidR="00293C2F" w:rsidRPr="00261BD6" w:rsidRDefault="00293C2F" w:rsidP="00293C2F">
            <w:pPr>
              <w:spacing w:after="0"/>
              <w:rPr>
                <w:rFonts w:ascii="Arial" w:hAnsi="Arial" w:cs="Arial"/>
                <w:b/>
                <w:bCs/>
                <w:i/>
                <w:iCs/>
                <w:sz w:val="20"/>
                <w:szCs w:val="20"/>
              </w:rPr>
            </w:pPr>
            <w:r>
              <w:rPr>
                <w:rFonts w:ascii="Arial" w:hAnsi="Arial"/>
                <w:b/>
                <w:i/>
                <w:sz w:val="20"/>
              </w:rPr>
              <w:t>V: Investimi në energjinë e pastër</w:t>
            </w:r>
          </w:p>
          <w:p w14:paraId="33BBBECF" w14:textId="77777777" w:rsidR="00293C2F" w:rsidRPr="00261BD6" w:rsidRDefault="00293C2F" w:rsidP="00293C2F">
            <w:pPr>
              <w:spacing w:after="0"/>
              <w:rPr>
                <w:rFonts w:ascii="Arial" w:hAnsi="Arial" w:cs="Arial"/>
                <w:sz w:val="20"/>
                <w:szCs w:val="20"/>
              </w:rPr>
            </w:pPr>
          </w:p>
          <w:p w14:paraId="73FF1138" w14:textId="1DF2482D" w:rsidR="00293C2F" w:rsidRPr="00261BD6" w:rsidRDefault="00293C2F" w:rsidP="00293C2F">
            <w:pPr>
              <w:spacing w:after="0"/>
              <w:jc w:val="both"/>
              <w:rPr>
                <w:rFonts w:ascii="Arial" w:hAnsi="Arial" w:cs="Arial"/>
                <w:iCs/>
                <w:sz w:val="20"/>
                <w:szCs w:val="20"/>
              </w:rPr>
            </w:pPr>
            <w:r>
              <w:rPr>
                <w:rFonts w:ascii="Arial" w:hAnsi="Arial"/>
                <w:sz w:val="20"/>
              </w:rPr>
              <w:t>Mbështetja në fushën e energjisë do të përforcohet. Theks i fuqishëm do t’i vihet integrimit të tregut të energjisë, dekarbonizimit dhe energjisë së pastër, tranzicionit të drejtë, rritjes së digjitalizimit të sistemit dhe rrjeteve inteligjente, efiçencës së energjisë, duke përfshirë modernizimin e ngrohjes qendrore dhe sigurisë së energjisë. Dekarbonizimi është një shtyllë kryesore e këtij Plani Ekonomik dhe Investiv në përputhje me synimet e Marrëveshjes së Gjelbër Evropiane. Rritja e konektivitetit dhe shtrirja e Unionit të Energjisë në Ballkanin Perëndimor do të jetë gjithashtu thelbësore për një tranzicion të suksesshëm të energjisë së pastër në rajon.</w:t>
            </w:r>
          </w:p>
          <w:p w14:paraId="2D407FAF" w14:textId="251C66E1" w:rsidR="00436CA2" w:rsidRPr="00261BD6" w:rsidRDefault="00436CA2" w:rsidP="00293C2F">
            <w:pPr>
              <w:spacing w:after="0"/>
              <w:jc w:val="both"/>
              <w:rPr>
                <w:rFonts w:ascii="Arial" w:hAnsi="Arial" w:cs="Arial"/>
                <w:i/>
                <w:iCs/>
                <w:sz w:val="20"/>
                <w:szCs w:val="20"/>
              </w:rPr>
            </w:pPr>
          </w:p>
          <w:p w14:paraId="01729DD3" w14:textId="2B30FC8C" w:rsidR="00436CA2" w:rsidRPr="00261BD6" w:rsidRDefault="00436CA2" w:rsidP="00436CA2">
            <w:pPr>
              <w:spacing w:after="0"/>
              <w:jc w:val="both"/>
              <w:rPr>
                <w:rFonts w:ascii="Arial" w:hAnsi="Arial" w:cs="Arial"/>
                <w:b/>
                <w:bCs/>
                <w:sz w:val="20"/>
                <w:szCs w:val="20"/>
              </w:rPr>
            </w:pPr>
            <w:r>
              <w:rPr>
                <w:rFonts w:ascii="Arial" w:hAnsi="Arial"/>
                <w:b/>
                <w:sz w:val="20"/>
              </w:rPr>
              <w:lastRenderedPageBreak/>
              <w:t>DEKLARATA E SOFJES PËR AGJENDËN E GJELBËR PËR BALLKANIN PERËNDIMOR</w:t>
            </w:r>
          </w:p>
          <w:p w14:paraId="561026A3" w14:textId="77777777" w:rsidR="00BA1582" w:rsidRPr="00261BD6" w:rsidRDefault="00BA1582" w:rsidP="00BA1582">
            <w:pPr>
              <w:autoSpaceDE w:val="0"/>
              <w:autoSpaceDN w:val="0"/>
              <w:adjustRightInd w:val="0"/>
              <w:spacing w:after="0" w:line="240" w:lineRule="auto"/>
              <w:rPr>
                <w:rFonts w:ascii="Arial" w:hAnsi="Arial" w:cs="Arial"/>
                <w:b/>
                <w:bCs/>
                <w:color w:val="000000"/>
                <w:sz w:val="20"/>
                <w:szCs w:val="20"/>
                <w:lang w:val="en-US" w:eastAsia="en-GB"/>
              </w:rPr>
            </w:pPr>
          </w:p>
          <w:p w14:paraId="4C615AB5" w14:textId="77777777" w:rsidR="00BA1582" w:rsidRPr="00261BD6" w:rsidRDefault="00BA1582" w:rsidP="00BA1582">
            <w:pPr>
              <w:autoSpaceDE w:val="0"/>
              <w:autoSpaceDN w:val="0"/>
              <w:adjustRightInd w:val="0"/>
              <w:spacing w:after="0" w:line="240" w:lineRule="auto"/>
              <w:rPr>
                <w:rFonts w:ascii="Arial" w:hAnsi="Arial" w:cs="Arial"/>
                <w:b/>
                <w:bCs/>
                <w:color w:val="000000"/>
                <w:sz w:val="20"/>
                <w:szCs w:val="20"/>
              </w:rPr>
            </w:pPr>
            <w:r>
              <w:rPr>
                <w:rFonts w:ascii="Arial" w:hAnsi="Arial"/>
                <w:b/>
                <w:color w:val="000000"/>
                <w:sz w:val="20"/>
              </w:rPr>
              <w:t xml:space="preserve">Klima, energjia, lëvizshmëria </w:t>
            </w:r>
          </w:p>
          <w:p w14:paraId="7266CFD6" w14:textId="77777777" w:rsidR="00BA1582" w:rsidRPr="00261BD6" w:rsidRDefault="00BA1582" w:rsidP="00BA1582">
            <w:pPr>
              <w:autoSpaceDE w:val="0"/>
              <w:autoSpaceDN w:val="0"/>
              <w:adjustRightInd w:val="0"/>
              <w:spacing w:after="0" w:line="240" w:lineRule="auto"/>
              <w:rPr>
                <w:rFonts w:ascii="Arial" w:hAnsi="Arial" w:cs="Arial"/>
                <w:color w:val="000000"/>
                <w:sz w:val="20"/>
                <w:szCs w:val="20"/>
                <w:lang w:val="en-US" w:eastAsia="en-GB"/>
              </w:rPr>
            </w:pPr>
          </w:p>
          <w:p w14:paraId="443A2A65" w14:textId="4D62CC8E" w:rsidR="00BA1582" w:rsidRPr="00A0586A" w:rsidRDefault="00BA1582" w:rsidP="00BA1582">
            <w:pPr>
              <w:pStyle w:val="ListParagraph"/>
              <w:numPr>
                <w:ilvl w:val="0"/>
                <w:numId w:val="47"/>
              </w:numPr>
              <w:autoSpaceDE w:val="0"/>
              <w:autoSpaceDN w:val="0"/>
              <w:adjustRightInd w:val="0"/>
              <w:spacing w:line="240" w:lineRule="auto"/>
              <w:jc w:val="both"/>
              <w:rPr>
                <w:rFonts w:cs="Arial"/>
                <w:color w:val="000000"/>
                <w:szCs w:val="20"/>
              </w:rPr>
            </w:pPr>
            <w:r>
              <w:rPr>
                <w:color w:val="000000"/>
              </w:rPr>
              <w:t xml:space="preserve">Vendosni objektiva largpamëse për energjinë dhe klimën 2030 në përputhje me kornizën e Komunitetit të Energjisë dhe acquis të BE-së, si dhe zhvilloni dhe zbatoni plane të integruara për Energjinë dhe Klimën me masa të qarta të dizajnuara për të reduktuar emetimet e gazeve serrë në ekonomitë e Ballkanit Perëndimor duke integruar veprimet klimatike në të gjitha politikat përkatëse sektoriale; </w:t>
            </w:r>
          </w:p>
          <w:p w14:paraId="14C302C5" w14:textId="0C4D6485" w:rsidR="00436CA2" w:rsidRPr="00A0586A" w:rsidRDefault="00BA1582" w:rsidP="00BA1582">
            <w:pPr>
              <w:pStyle w:val="ListParagraph"/>
              <w:numPr>
                <w:ilvl w:val="0"/>
                <w:numId w:val="47"/>
              </w:numPr>
              <w:autoSpaceDE w:val="0"/>
              <w:autoSpaceDN w:val="0"/>
              <w:adjustRightInd w:val="0"/>
              <w:spacing w:line="240" w:lineRule="auto"/>
              <w:jc w:val="both"/>
              <w:rPr>
                <w:rFonts w:cs="Arial"/>
                <w:color w:val="000000"/>
                <w:szCs w:val="20"/>
              </w:rPr>
            </w:pPr>
            <w:r>
              <w:rPr>
                <w:color w:val="000000"/>
              </w:rPr>
              <w:t>Rritja e pjesës së burimeve të ripërtërishme të energjisë dhe sigurimi i kushteve të nevojshme investimi, në përputhje me acquis dhe objektivin e BE-së dhe Komunitetit të Energjisë.</w:t>
            </w:r>
          </w:p>
        </w:tc>
      </w:tr>
      <w:tr w:rsidR="0098031C" w:rsidRPr="00261BD6" w14:paraId="5096001C" w14:textId="77777777" w:rsidTr="0098031C">
        <w:trPr>
          <w:trHeight w:val="330"/>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0448FDF4" w14:textId="77777777" w:rsidR="0098031C" w:rsidRPr="00261BD6" w:rsidRDefault="0098031C" w:rsidP="0074067A">
            <w:pPr>
              <w:spacing w:after="0" w:line="240" w:lineRule="auto"/>
              <w:rPr>
                <w:rFonts w:ascii="Arial" w:hAnsi="Arial" w:cs="Arial"/>
                <w:sz w:val="20"/>
                <w:szCs w:val="20"/>
              </w:rPr>
            </w:pPr>
            <w:r>
              <w:rPr>
                <w:rFonts w:ascii="Arial" w:hAnsi="Arial"/>
                <w:sz w:val="20"/>
              </w:rPr>
              <w:lastRenderedPageBreak/>
              <w:t>Kontributi në objektivat e vlefshme të zhvillimit kombëtar</w:t>
            </w:r>
          </w:p>
        </w:tc>
        <w:tc>
          <w:tcPr>
            <w:tcW w:w="3158" w:type="pct"/>
            <w:tcBorders>
              <w:top w:val="single" w:sz="4" w:space="0" w:color="auto"/>
              <w:left w:val="single" w:sz="4" w:space="0" w:color="auto"/>
              <w:bottom w:val="single" w:sz="4" w:space="0" w:color="auto"/>
              <w:right w:val="single" w:sz="4" w:space="0" w:color="auto"/>
            </w:tcBorders>
          </w:tcPr>
          <w:p w14:paraId="6A44EAF4" w14:textId="598D73BF" w:rsidR="00C07824" w:rsidRPr="00261BD6" w:rsidRDefault="00CA27EF" w:rsidP="0039003C">
            <w:pPr>
              <w:rPr>
                <w:rFonts w:ascii="Arial" w:hAnsi="Arial" w:cs="Arial"/>
                <w:b/>
                <w:color w:val="0D0D0D" w:themeColor="text1" w:themeTint="F2"/>
                <w:sz w:val="20"/>
                <w:szCs w:val="20"/>
              </w:rPr>
            </w:pPr>
            <w:r>
              <w:rPr>
                <w:rFonts w:ascii="Arial" w:hAnsi="Arial"/>
                <w:b/>
                <w:color w:val="0D0D0D" w:themeColor="text1" w:themeTint="F2"/>
                <w:sz w:val="20"/>
              </w:rPr>
              <w:t>Strategjia Kombëtare për Zhvillim 2030</w:t>
            </w:r>
          </w:p>
          <w:p w14:paraId="7B463E01" w14:textId="50C5B8DA" w:rsidR="00484BEC" w:rsidRPr="00261BD6" w:rsidRDefault="00484BEC" w:rsidP="00484BEC">
            <w:pPr>
              <w:pStyle w:val="Heading2"/>
              <w:spacing w:before="0" w:after="120" w:line="259" w:lineRule="auto"/>
              <w:rPr>
                <w:rFonts w:ascii="Arial" w:hAnsi="Arial" w:cs="Arial"/>
                <w:b w:val="0"/>
                <w:color w:val="0D0D0D" w:themeColor="text1" w:themeTint="F2"/>
                <w:sz w:val="20"/>
                <w:szCs w:val="20"/>
              </w:rPr>
            </w:pPr>
            <w:r>
              <w:rPr>
                <w:rFonts w:ascii="Arial" w:hAnsi="Arial"/>
                <w:color w:val="0D0D0D" w:themeColor="text1" w:themeTint="F2"/>
                <w:sz w:val="20"/>
              </w:rPr>
              <w:t>6.3.</w:t>
            </w:r>
            <w:r>
              <w:rPr>
                <w:rFonts w:ascii="Arial" w:hAnsi="Arial"/>
                <w:b w:val="0"/>
                <w:color w:val="0D0D0D" w:themeColor="text1" w:themeTint="F2"/>
                <w:sz w:val="20"/>
              </w:rPr>
              <w:t xml:space="preserve"> </w:t>
            </w:r>
            <w:bookmarkStart w:id="0" w:name="_Toc104816818"/>
            <w:r>
              <w:rPr>
                <w:rFonts w:ascii="Arial" w:hAnsi="Arial"/>
                <w:i/>
                <w:color w:val="0D0D0D" w:themeColor="text1" w:themeTint="F2"/>
                <w:sz w:val="20"/>
              </w:rPr>
              <w:t>Agjenda e Gjelbër</w:t>
            </w:r>
            <w:bookmarkEnd w:id="0"/>
            <w:r>
              <w:rPr>
                <w:rFonts w:ascii="Arial" w:hAnsi="Arial"/>
                <w:color w:val="0D0D0D" w:themeColor="text1" w:themeTint="F2"/>
                <w:sz w:val="20"/>
              </w:rPr>
              <w:t xml:space="preserve"> </w:t>
            </w:r>
          </w:p>
          <w:p w14:paraId="72D1E812" w14:textId="6B7C4208" w:rsidR="00484BEC" w:rsidRPr="00261BD6" w:rsidRDefault="00484BEC" w:rsidP="0039003C">
            <w:pPr>
              <w:rPr>
                <w:rFonts w:ascii="Arial" w:eastAsiaTheme="minorHAnsi" w:hAnsi="Arial" w:cs="Arial"/>
                <w:iCs/>
                <w:color w:val="0D0D0D" w:themeColor="text1" w:themeTint="F2"/>
                <w:sz w:val="20"/>
                <w:szCs w:val="20"/>
              </w:rPr>
            </w:pPr>
            <w:r>
              <w:rPr>
                <w:rFonts w:ascii="Arial" w:hAnsi="Arial"/>
                <w:color w:val="0D0D0D" w:themeColor="text1" w:themeTint="F2"/>
                <w:sz w:val="20"/>
              </w:rPr>
              <w:t>Në këtë drejtim, efikasiteti i burimeve mbështetet në zhvillimin ekonomik të emetimeve të ulëta, promovimin e përmirësimeve të energjisë, efiçencës së energjisë dhe burimeve të ripërtëritshme për të reduktuar emetimet e karbonit dhe varësinë nga lëndët djegëse fosile, duke përmirësuar transportin dhe mekanizmat për t'u mbështetur më pak në ndotjen.</w:t>
            </w:r>
          </w:p>
          <w:p w14:paraId="4FAF6EC2" w14:textId="77777777" w:rsidR="00125219" w:rsidRPr="00261BD6" w:rsidRDefault="00125219" w:rsidP="00125219">
            <w:pPr>
              <w:rPr>
                <w:rFonts w:ascii="Arial" w:hAnsi="Arial" w:cs="Arial"/>
                <w:b/>
                <w:color w:val="0D0D0D" w:themeColor="text1" w:themeTint="F2"/>
                <w:sz w:val="20"/>
                <w:szCs w:val="20"/>
              </w:rPr>
            </w:pPr>
            <w:r>
              <w:rPr>
                <w:rFonts w:ascii="Arial" w:hAnsi="Arial"/>
                <w:b/>
                <w:color w:val="0D0D0D" w:themeColor="text1" w:themeTint="F2"/>
                <w:sz w:val="20"/>
              </w:rPr>
              <w:t>Plani Kombëtare për Zhvillim 2030</w:t>
            </w:r>
          </w:p>
          <w:p w14:paraId="2B243636" w14:textId="03A4F04A" w:rsidR="00125219" w:rsidRPr="00261BD6" w:rsidRDefault="00125219" w:rsidP="0039003C">
            <w:pPr>
              <w:rPr>
                <w:rFonts w:ascii="Arial" w:eastAsiaTheme="minorHAnsi" w:hAnsi="Arial" w:cs="Arial"/>
                <w:i/>
                <w:iCs/>
                <w:color w:val="0D0D0D" w:themeColor="text1" w:themeTint="F2"/>
                <w:sz w:val="20"/>
                <w:szCs w:val="20"/>
              </w:rPr>
            </w:pPr>
            <w:r>
              <w:rPr>
                <w:rFonts w:ascii="Arial" w:hAnsi="Arial"/>
                <w:b/>
                <w:color w:val="0D0D0D" w:themeColor="text1" w:themeTint="F2"/>
                <w:sz w:val="20"/>
              </w:rPr>
              <w:t>3.3 Rritja e pjesëmarrjes së burimeve të ripërtërishme në përzierjen e energjisë</w:t>
            </w:r>
          </w:p>
          <w:p w14:paraId="6B0E2FBC" w14:textId="53F7CC77" w:rsidR="0039186E" w:rsidRPr="00261BD6" w:rsidRDefault="0039003C" w:rsidP="0039003C">
            <w:pPr>
              <w:rPr>
                <w:rFonts w:ascii="Arial" w:hAnsi="Arial" w:cs="Arial"/>
                <w:b/>
                <w:color w:val="0D0D0D" w:themeColor="text1" w:themeTint="F2"/>
                <w:sz w:val="20"/>
                <w:szCs w:val="20"/>
              </w:rPr>
            </w:pPr>
            <w:r>
              <w:rPr>
                <w:rFonts w:ascii="Arial" w:hAnsi="Arial"/>
                <w:b/>
                <w:color w:val="0D0D0D" w:themeColor="text1" w:themeTint="F2"/>
                <w:sz w:val="20"/>
              </w:rPr>
              <w:t xml:space="preserve">Programi i Qeverisë 2024-2026 </w:t>
            </w:r>
          </w:p>
          <w:p w14:paraId="718B92E4" w14:textId="7CEE98DF" w:rsidR="00CA27EF" w:rsidRPr="00261BD6" w:rsidRDefault="0039003C" w:rsidP="00D63C73">
            <w:pPr>
              <w:rPr>
                <w:rFonts w:ascii="Arial" w:hAnsi="Arial" w:cs="Arial"/>
                <w:b/>
                <w:i/>
                <w:sz w:val="20"/>
                <w:szCs w:val="20"/>
              </w:rPr>
            </w:pPr>
            <w:r>
              <w:rPr>
                <w:rFonts w:ascii="Arial" w:hAnsi="Arial"/>
                <w:b/>
                <w:i/>
                <w:color w:val="0D0D0D" w:themeColor="text1" w:themeTint="F2"/>
                <w:sz w:val="20"/>
              </w:rPr>
              <w:t xml:space="preserve">Pika 2.1. </w:t>
            </w:r>
            <w:r>
              <w:rPr>
                <w:rFonts w:ascii="Arial" w:hAnsi="Arial"/>
                <w:b/>
                <w:i/>
                <w:sz w:val="20"/>
              </w:rPr>
              <w:t>Rritja e sigurisë, qëndrueshmërisë dhe përballueshmërisë së furnizimit me energji</w:t>
            </w:r>
          </w:p>
          <w:p w14:paraId="4E0FD61D" w14:textId="3C3F4D96" w:rsidR="0039003C" w:rsidRPr="00261BD6" w:rsidRDefault="00E0157F" w:rsidP="00740C99">
            <w:pPr>
              <w:rPr>
                <w:rFonts w:ascii="Arial" w:eastAsiaTheme="minorHAnsi" w:hAnsi="Arial" w:cs="Arial"/>
                <w:iCs/>
                <w:color w:val="000000"/>
                <w:sz w:val="20"/>
                <w:szCs w:val="20"/>
              </w:rPr>
            </w:pPr>
            <w:r>
              <w:rPr>
                <w:rFonts w:ascii="Arial" w:hAnsi="Arial"/>
                <w:color w:val="000000"/>
                <w:sz w:val="20"/>
              </w:rPr>
              <w:t>Rritja e shumëllojshmërisë së burimeve energjetike dhe krijimi i kushteve të favorshme për furnizim me energji të qëndrueshme dhe të përballueshme, për të gjithë qytetarët dhe ndërmarrjet në Kosovë, duke marrë parasysh ndikimin në mjedis.</w:t>
            </w:r>
          </w:p>
        </w:tc>
      </w:tr>
      <w:tr w:rsidR="0098031C" w:rsidRPr="00261BD6" w14:paraId="1337F5D7" w14:textId="77777777" w:rsidTr="0098031C">
        <w:trPr>
          <w:trHeight w:val="330"/>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258F0964" w14:textId="22681E95" w:rsidR="0098031C" w:rsidRPr="00261BD6" w:rsidRDefault="0098031C" w:rsidP="0074067A">
            <w:pPr>
              <w:spacing w:after="0" w:line="240" w:lineRule="auto"/>
              <w:rPr>
                <w:rFonts w:ascii="Arial" w:hAnsi="Arial" w:cs="Arial"/>
                <w:sz w:val="20"/>
                <w:szCs w:val="20"/>
              </w:rPr>
            </w:pPr>
            <w:r>
              <w:rPr>
                <w:rFonts w:ascii="Arial" w:hAnsi="Arial"/>
                <w:sz w:val="20"/>
              </w:rPr>
              <w:t>A mbulohet projekti nga strategjia sektoriale përkatëse, nga një plan veprimi sektorial apo nga një masterplan sektori?</w:t>
            </w:r>
          </w:p>
        </w:tc>
        <w:tc>
          <w:tcPr>
            <w:tcW w:w="3158" w:type="pct"/>
            <w:tcBorders>
              <w:top w:val="single" w:sz="4" w:space="0" w:color="auto"/>
              <w:left w:val="single" w:sz="4" w:space="0" w:color="auto"/>
              <w:bottom w:val="single" w:sz="4" w:space="0" w:color="auto"/>
              <w:right w:val="single" w:sz="4" w:space="0" w:color="auto"/>
            </w:tcBorders>
          </w:tcPr>
          <w:p w14:paraId="609FB80E" w14:textId="343DE99D" w:rsidR="00665E8C" w:rsidRPr="00261BD6" w:rsidRDefault="00665E8C" w:rsidP="00665E8C">
            <w:pPr>
              <w:spacing w:before="120" w:after="0"/>
              <w:jc w:val="both"/>
              <w:rPr>
                <w:rFonts w:ascii="Arial" w:eastAsia="Calibri" w:hAnsi="Arial" w:cs="Arial"/>
                <w:b/>
                <w:bCs/>
                <w:sz w:val="20"/>
                <w:szCs w:val="20"/>
              </w:rPr>
            </w:pPr>
            <w:r>
              <w:rPr>
                <w:rFonts w:ascii="Arial" w:hAnsi="Arial"/>
                <w:b/>
                <w:sz w:val="20"/>
              </w:rPr>
              <w:t>Strategjia e Energjisë e Republikës së Kosovës 2022-2031.</w:t>
            </w:r>
          </w:p>
          <w:p w14:paraId="0CD53D1D" w14:textId="76EAA4A0" w:rsidR="00023667" w:rsidRPr="00261BD6" w:rsidRDefault="00023667" w:rsidP="00665E8C">
            <w:pPr>
              <w:spacing w:before="120" w:after="0"/>
              <w:jc w:val="both"/>
              <w:rPr>
                <w:rFonts w:ascii="Arial" w:eastAsia="Calibri" w:hAnsi="Arial" w:cs="Arial"/>
                <w:b/>
                <w:bCs/>
                <w:i/>
                <w:iCs/>
                <w:sz w:val="20"/>
                <w:szCs w:val="20"/>
              </w:rPr>
            </w:pPr>
            <w:r>
              <w:rPr>
                <w:rFonts w:ascii="Arial" w:hAnsi="Arial"/>
                <w:b/>
                <w:i/>
                <w:sz w:val="20"/>
              </w:rPr>
              <w:t>Objektivi strategjik 2: Dekarbonizimi dhe promovimi i energjisë së ripërtëritshme</w:t>
            </w:r>
          </w:p>
          <w:p w14:paraId="6DBD36D8" w14:textId="29F029AD" w:rsidR="0094724E" w:rsidRPr="00261BD6" w:rsidRDefault="00023667" w:rsidP="00D63C73">
            <w:pPr>
              <w:spacing w:before="120" w:after="0"/>
              <w:jc w:val="both"/>
              <w:rPr>
                <w:rFonts w:ascii="Arial" w:eastAsiaTheme="minorHAnsi" w:hAnsi="Arial" w:cs="Arial"/>
                <w:color w:val="0D0D0D" w:themeColor="text1" w:themeTint="F2"/>
                <w:sz w:val="20"/>
                <w:szCs w:val="20"/>
              </w:rPr>
            </w:pPr>
            <w:r>
              <w:rPr>
                <w:rFonts w:ascii="Arial" w:hAnsi="Arial"/>
                <w:color w:val="0D0D0D" w:themeColor="text1" w:themeTint="F2"/>
                <w:sz w:val="20"/>
              </w:rPr>
              <w:t>Objektivi specifik 2.2: Promovimi i energjisë së ripërtëritshme në konsumin e energjisë elektrike</w:t>
            </w:r>
          </w:p>
          <w:p w14:paraId="6A64D8B6" w14:textId="4B434B66" w:rsidR="00665E8C" w:rsidRPr="00261BD6" w:rsidRDefault="00023667" w:rsidP="00D63C73">
            <w:pPr>
              <w:spacing w:before="120" w:after="0"/>
              <w:jc w:val="both"/>
              <w:rPr>
                <w:rFonts w:ascii="Arial" w:hAnsi="Arial" w:cs="Arial"/>
                <w:iCs/>
                <w:color w:val="0D0D0D" w:themeColor="text1" w:themeTint="F2"/>
                <w:sz w:val="20"/>
                <w:szCs w:val="20"/>
              </w:rPr>
            </w:pPr>
            <w:r>
              <w:rPr>
                <w:rFonts w:ascii="Arial" w:hAnsi="Arial"/>
                <w:color w:val="0D0D0D" w:themeColor="text1" w:themeTint="F2"/>
                <w:sz w:val="20"/>
              </w:rPr>
              <w:t xml:space="preserve"> Rritja e pjesës së burimeve të ripërtëritshme në sektorin e energjisë elektrike është thelbësore për të arritur objektivat e dekarbonizimit dhe për të siguruar një tranzicion të drejtë energjetik në Kosovë. Diversifikimi i përzierjes së energjisë është jetik për përpjekjet e Kosovës për dekarbonizimin dhe ruajtjen e sigurisë së furnizimit. Rritja e kapacitetit lokal për prodhimin e energjisë nga burimet e ripërtëritshme.</w:t>
            </w:r>
          </w:p>
          <w:p w14:paraId="44D27970" w14:textId="3134EED5" w:rsidR="000B355A" w:rsidRPr="00261BD6" w:rsidRDefault="0094724E" w:rsidP="00BC5257">
            <w:pPr>
              <w:spacing w:line="240" w:lineRule="auto"/>
              <w:rPr>
                <w:rFonts w:ascii="Arial" w:hAnsi="Arial" w:cs="Arial"/>
                <w:color w:val="0D0D0D" w:themeColor="text1" w:themeTint="F2"/>
                <w:sz w:val="20"/>
                <w:szCs w:val="20"/>
              </w:rPr>
            </w:pPr>
            <w:r>
              <w:rPr>
                <w:rFonts w:ascii="Arial" w:hAnsi="Arial"/>
                <w:color w:val="0D0D0D" w:themeColor="text1" w:themeTint="F2"/>
                <w:sz w:val="20"/>
              </w:rPr>
              <w:t>Rruga e reduktimit të emetimeve të CO</w:t>
            </w:r>
            <w:r>
              <w:rPr>
                <w:rFonts w:ascii="Arial" w:hAnsi="Arial"/>
                <w:color w:val="0D0D0D" w:themeColor="text1" w:themeTint="F2"/>
                <w:sz w:val="20"/>
                <w:vertAlign w:val="subscript"/>
              </w:rPr>
              <w:t>2</w:t>
            </w:r>
            <w:r>
              <w:rPr>
                <w:rFonts w:ascii="Arial" w:hAnsi="Arial"/>
                <w:color w:val="0D0D0D" w:themeColor="text1" w:themeTint="F2"/>
                <w:sz w:val="20"/>
              </w:rPr>
              <w:t xml:space="preserve"> të sektorit do të shoqërohet me zhvillimin e kapaciteteve të BRE-ve në shkallë të gjerë, bazuar në potencialin e tyre teknik dhe ekonomik. Reduktimi i prodhimit të energjisë elektrike me bazë linjiti kontribuon në reduktimin e ndotjes dhe emetimeve të GHG, por efektet e tij në sigurinë e furnizimit dhe përshtatshmërinë e prodhimit </w:t>
            </w:r>
            <w:r>
              <w:rPr>
                <w:rFonts w:ascii="Arial" w:hAnsi="Arial"/>
                <w:color w:val="0D0D0D" w:themeColor="text1" w:themeTint="F2"/>
                <w:sz w:val="20"/>
              </w:rPr>
              <w:lastRenderedPageBreak/>
              <w:t>kompensohen duke u mbështetur gjithnjë e më shumë në burimet e pastra të energjisë vendase.</w:t>
            </w:r>
          </w:p>
          <w:p w14:paraId="49B1E90A" w14:textId="41665971" w:rsidR="007C73EF" w:rsidRPr="00261BD6" w:rsidRDefault="0094724E" w:rsidP="00BC5257">
            <w:pPr>
              <w:spacing w:line="240" w:lineRule="auto"/>
              <w:rPr>
                <w:rFonts w:ascii="Arial" w:hAnsi="Arial" w:cs="Arial"/>
                <w:color w:val="0D0D0D" w:themeColor="text1" w:themeTint="F2"/>
                <w:sz w:val="20"/>
                <w:szCs w:val="20"/>
              </w:rPr>
            </w:pPr>
            <w:r>
              <w:rPr>
                <w:rFonts w:ascii="Arial" w:hAnsi="Arial"/>
                <w:color w:val="0D0D0D" w:themeColor="text1" w:themeTint="F2"/>
                <w:sz w:val="20"/>
              </w:rPr>
              <w:t>Kapacitetet e reja të BRE-ve, me teknologji ekzistuese dhe inovative, do të zëvendësojnë gradualisht përdorimin e qymyrit, duke arritur largimin e qymyrit më së voni deri në vitin 2050.</w:t>
            </w:r>
          </w:p>
          <w:p w14:paraId="39581408" w14:textId="1098AB8F" w:rsidR="00BC5257" w:rsidRPr="00261BD6" w:rsidRDefault="00BC5257" w:rsidP="00BC5257">
            <w:pPr>
              <w:spacing w:line="240" w:lineRule="auto"/>
              <w:rPr>
                <w:rFonts w:ascii="Arial" w:hAnsi="Arial" w:cs="Arial"/>
                <w:b/>
                <w:sz w:val="20"/>
                <w:szCs w:val="20"/>
              </w:rPr>
            </w:pPr>
            <w:r>
              <w:rPr>
                <w:rFonts w:ascii="Arial" w:hAnsi="Arial"/>
                <w:b/>
                <w:sz w:val="20"/>
              </w:rPr>
              <w:t>Plani i zbatimit të Strategjisë së Energjisë 2022-2025</w:t>
            </w:r>
          </w:p>
          <w:p w14:paraId="0E710EE1" w14:textId="75A2AADE" w:rsidR="002E4E26" w:rsidRPr="00261BD6" w:rsidRDefault="002E4E26" w:rsidP="00BC5257">
            <w:pPr>
              <w:spacing w:line="240" w:lineRule="auto"/>
              <w:rPr>
                <w:rFonts w:ascii="Arial" w:hAnsi="Arial" w:cs="Arial"/>
                <w:b/>
                <w:sz w:val="20"/>
                <w:szCs w:val="20"/>
              </w:rPr>
            </w:pPr>
            <w:r>
              <w:rPr>
                <w:rFonts w:ascii="Arial" w:hAnsi="Arial"/>
                <w:b/>
                <w:sz w:val="20"/>
              </w:rPr>
              <w:t>Objektivi strategjik 2: Dekarbonizimi dhe promovimi i energjisë së ripërtëritshme</w:t>
            </w:r>
          </w:p>
          <w:p w14:paraId="32FA80D5" w14:textId="7C81F46A" w:rsidR="00BC5257" w:rsidRPr="00261BD6" w:rsidRDefault="002E4E26" w:rsidP="002E4E26">
            <w:pPr>
              <w:spacing w:line="240" w:lineRule="auto"/>
              <w:rPr>
                <w:rFonts w:ascii="Arial" w:hAnsi="Arial" w:cs="Arial"/>
                <w:color w:val="0D0D0D" w:themeColor="text1" w:themeTint="F2"/>
                <w:sz w:val="20"/>
                <w:szCs w:val="20"/>
              </w:rPr>
            </w:pPr>
            <w:r>
              <w:rPr>
                <w:rFonts w:ascii="Arial" w:hAnsi="Arial"/>
                <w:color w:val="0D0D0D" w:themeColor="text1" w:themeTint="F2"/>
                <w:sz w:val="20"/>
              </w:rPr>
              <w:t>II.2. Objektivi specifik: Promovimi i energjisë së ripërtëritshme në konsumin e energjisë elektrike</w:t>
            </w:r>
          </w:p>
          <w:p w14:paraId="39DA9FF9" w14:textId="10160648" w:rsidR="002E4E26" w:rsidRPr="00261BD6" w:rsidRDefault="002E4E26" w:rsidP="002E4E26">
            <w:pPr>
              <w:spacing w:line="240" w:lineRule="auto"/>
              <w:rPr>
                <w:rFonts w:ascii="Arial" w:hAnsi="Arial" w:cs="Arial"/>
                <w:b/>
                <w:sz w:val="20"/>
                <w:szCs w:val="20"/>
              </w:rPr>
            </w:pPr>
            <w:r>
              <w:rPr>
                <w:rFonts w:ascii="Arial" w:hAnsi="Arial"/>
                <w:color w:val="0D0D0D" w:themeColor="text1" w:themeTint="F2"/>
                <w:sz w:val="20"/>
              </w:rPr>
              <w:t>II. 2.10.  Veprimi: Studim fizibiliteti për identifikimin e tokës publike të përshtatshme për PV dhe erë (faza e tretë).</w:t>
            </w:r>
          </w:p>
        </w:tc>
      </w:tr>
    </w:tbl>
    <w:p w14:paraId="59FE2114" w14:textId="107762DF" w:rsidR="006F1611" w:rsidRPr="00261BD6" w:rsidRDefault="0074067A" w:rsidP="00E00169">
      <w:pPr>
        <w:pStyle w:val="ListParagraph"/>
        <w:numPr>
          <w:ilvl w:val="0"/>
          <w:numId w:val="38"/>
        </w:numPr>
        <w:spacing w:before="200" w:after="120"/>
        <w:rPr>
          <w:rFonts w:cs="Arial"/>
          <w:b/>
          <w:szCs w:val="20"/>
        </w:rPr>
      </w:pPr>
      <w:r>
        <w:rPr>
          <w:b/>
        </w:rPr>
        <w:lastRenderedPageBreak/>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4067A" w:rsidRPr="00261BD6" w14:paraId="349685D0" w14:textId="77777777" w:rsidTr="0074067A">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47F534" w14:textId="77777777" w:rsidR="0074067A" w:rsidRPr="00261BD6" w:rsidRDefault="0074067A" w:rsidP="0074067A">
            <w:pPr>
              <w:spacing w:after="0" w:line="240" w:lineRule="auto"/>
              <w:rPr>
                <w:rFonts w:ascii="Arial" w:hAnsi="Arial" w:cs="Arial"/>
                <w:sz w:val="20"/>
                <w:szCs w:val="20"/>
              </w:rPr>
            </w:pPr>
            <w:r>
              <w:rPr>
                <w:rFonts w:ascii="Arial" w:hAnsi="Arial"/>
                <w:b/>
                <w:sz w:val="20"/>
              </w:rPr>
              <w:t>Shpjegoni veçoritë e projektit në lidhje me:</w:t>
            </w:r>
          </w:p>
        </w:tc>
      </w:tr>
      <w:tr w:rsidR="00037EA5" w:rsidRPr="00261BD6" w14:paraId="3F065A1B"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C65819C" w14:textId="018C8EF7" w:rsidR="00037EA5" w:rsidRPr="00261BD6" w:rsidRDefault="003C1A54" w:rsidP="0074067A">
            <w:pPr>
              <w:spacing w:after="0" w:line="240" w:lineRule="auto"/>
              <w:rPr>
                <w:rFonts w:ascii="Arial" w:hAnsi="Arial" w:cs="Arial"/>
                <w:sz w:val="20"/>
                <w:szCs w:val="20"/>
              </w:rPr>
            </w:pPr>
            <w:r>
              <w:rPr>
                <w:rFonts w:ascii="Arial" w:hAnsi="Arial"/>
                <w:sz w:val="20"/>
              </w:rPr>
              <w:t xml:space="preserve">Përfshirja </w:t>
            </w:r>
            <w:r w:rsidR="00037EA5">
              <w:rPr>
                <w:rFonts w:ascii="Arial" w:hAnsi="Arial"/>
                <w:sz w:val="20"/>
              </w:rPr>
              <w:t>në listën e fundit PECI</w:t>
            </w:r>
          </w:p>
        </w:tc>
        <w:tc>
          <w:tcPr>
            <w:tcW w:w="2989" w:type="pct"/>
            <w:tcBorders>
              <w:top w:val="single" w:sz="4" w:space="0" w:color="auto"/>
              <w:left w:val="single" w:sz="4" w:space="0" w:color="auto"/>
              <w:bottom w:val="single" w:sz="4" w:space="0" w:color="auto"/>
              <w:right w:val="single" w:sz="4" w:space="0" w:color="auto"/>
            </w:tcBorders>
          </w:tcPr>
          <w:p w14:paraId="2D29FE1D" w14:textId="05F80FCF" w:rsidR="00037EA5" w:rsidRPr="00261BD6" w:rsidRDefault="00971186" w:rsidP="0068716B">
            <w:pPr>
              <w:pStyle w:val="NoSpacing"/>
              <w:rPr>
                <w:rFonts w:ascii="Arial" w:hAnsi="Arial" w:cs="Arial"/>
                <w:color w:val="000000" w:themeColor="text1"/>
                <w:sz w:val="20"/>
                <w:szCs w:val="20"/>
              </w:rPr>
            </w:pPr>
            <w:r>
              <w:rPr>
                <w:rFonts w:ascii="Arial" w:hAnsi="Arial"/>
                <w:color w:val="000000" w:themeColor="text1"/>
                <w:sz w:val="20"/>
              </w:rPr>
              <w:t>Jo</w:t>
            </w:r>
          </w:p>
        </w:tc>
      </w:tr>
      <w:tr w:rsidR="0098031C" w:rsidRPr="00261BD6" w14:paraId="7E212364"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477610E" w14:textId="69043C71" w:rsidR="0098031C" w:rsidRPr="00261BD6" w:rsidRDefault="003C1A54" w:rsidP="0074067A">
            <w:pPr>
              <w:spacing w:after="0" w:line="240" w:lineRule="auto"/>
              <w:rPr>
                <w:rFonts w:ascii="Arial" w:hAnsi="Arial" w:cs="Arial"/>
                <w:sz w:val="20"/>
                <w:szCs w:val="20"/>
              </w:rPr>
            </w:pPr>
            <w:r>
              <w:rPr>
                <w:rFonts w:ascii="Arial" w:hAnsi="Arial"/>
                <w:sz w:val="20"/>
              </w:rPr>
              <w:t xml:space="preserve">Koherenca </w:t>
            </w:r>
            <w:r w:rsidR="0098031C">
              <w:rPr>
                <w:rFonts w:ascii="Arial" w:hAnsi="Arial"/>
                <w:sz w:val="20"/>
              </w:rPr>
              <w:t>me planet e zhvillimit të infrastrukturës ENTSO-E, ENTSOG</w:t>
            </w:r>
          </w:p>
        </w:tc>
        <w:tc>
          <w:tcPr>
            <w:tcW w:w="2989" w:type="pct"/>
            <w:tcBorders>
              <w:top w:val="single" w:sz="4" w:space="0" w:color="auto"/>
              <w:left w:val="single" w:sz="4" w:space="0" w:color="auto"/>
              <w:bottom w:val="single" w:sz="4" w:space="0" w:color="auto"/>
              <w:right w:val="single" w:sz="4" w:space="0" w:color="auto"/>
            </w:tcBorders>
          </w:tcPr>
          <w:p w14:paraId="02D34595" w14:textId="024C8060" w:rsidR="0098031C" w:rsidRPr="00261BD6" w:rsidRDefault="00971186" w:rsidP="0068716B">
            <w:pPr>
              <w:pStyle w:val="NoSpacing"/>
              <w:rPr>
                <w:rFonts w:ascii="Arial" w:hAnsi="Arial" w:cs="Arial"/>
                <w:color w:val="000000" w:themeColor="text1"/>
                <w:sz w:val="20"/>
                <w:szCs w:val="20"/>
              </w:rPr>
            </w:pPr>
            <w:r>
              <w:rPr>
                <w:rFonts w:ascii="Arial" w:hAnsi="Arial"/>
                <w:color w:val="000000" w:themeColor="text1"/>
                <w:sz w:val="20"/>
              </w:rPr>
              <w:t>Jo</w:t>
            </w:r>
          </w:p>
        </w:tc>
      </w:tr>
      <w:tr w:rsidR="0098031C" w:rsidRPr="00261BD6" w14:paraId="122F43FF"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857B15C" w14:textId="5B8C69FC" w:rsidR="0098031C" w:rsidRPr="00261BD6" w:rsidRDefault="003C1A54" w:rsidP="0074067A">
            <w:pPr>
              <w:spacing w:after="0" w:line="240" w:lineRule="auto"/>
              <w:rPr>
                <w:rFonts w:ascii="Arial" w:hAnsi="Arial" w:cs="Arial"/>
                <w:sz w:val="20"/>
                <w:szCs w:val="20"/>
              </w:rPr>
            </w:pPr>
            <w:r>
              <w:rPr>
                <w:rFonts w:ascii="Arial" w:hAnsi="Arial"/>
                <w:sz w:val="20"/>
              </w:rPr>
              <w:t xml:space="preserve">Kontributi </w:t>
            </w:r>
            <w:r w:rsidR="0098031C">
              <w:rPr>
                <w:rFonts w:ascii="Arial" w:hAnsi="Arial"/>
                <w:sz w:val="20"/>
              </w:rPr>
              <w:t>në përmirësimin e sigurisë së furnizimit</w:t>
            </w:r>
          </w:p>
        </w:tc>
        <w:tc>
          <w:tcPr>
            <w:tcW w:w="2989" w:type="pct"/>
            <w:tcBorders>
              <w:top w:val="single" w:sz="4" w:space="0" w:color="auto"/>
              <w:left w:val="single" w:sz="4" w:space="0" w:color="auto"/>
              <w:bottom w:val="single" w:sz="4" w:space="0" w:color="auto"/>
              <w:right w:val="single" w:sz="4" w:space="0" w:color="auto"/>
            </w:tcBorders>
          </w:tcPr>
          <w:p w14:paraId="373BF4E8" w14:textId="50BEC499" w:rsidR="002E4E26" w:rsidRPr="00261BD6" w:rsidRDefault="00D05573" w:rsidP="007A5446">
            <w:pPr>
              <w:jc w:val="both"/>
              <w:rPr>
                <w:rFonts w:ascii="Arial" w:hAnsi="Arial" w:cs="Arial"/>
                <w:sz w:val="20"/>
                <w:szCs w:val="20"/>
              </w:rPr>
            </w:pPr>
            <w:r>
              <w:rPr>
                <w:rFonts w:ascii="Arial" w:hAnsi="Arial"/>
                <w:sz w:val="20"/>
              </w:rPr>
              <w:t>Duke rritur peshën e BRE-ve në prodhimin e energjisë elektrike, projekti kontribuon drejtpërdrejt në përmirësimin e sigurisë së përgjithshme të furnizimit.</w:t>
            </w:r>
            <w:r>
              <w:rPr>
                <w:rFonts w:ascii="Arial" w:hAnsi="Arial"/>
                <w:color w:val="374151"/>
                <w:sz w:val="20"/>
                <w:shd w:val="clear" w:color="auto" w:fill="F7F7F8"/>
              </w:rPr>
              <w:t xml:space="preserve"> </w:t>
            </w:r>
          </w:p>
        </w:tc>
      </w:tr>
      <w:tr w:rsidR="0098031C" w:rsidRPr="00261BD6" w14:paraId="62C29346"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A504DB3" w14:textId="64292644" w:rsidR="0098031C" w:rsidRPr="00261BD6" w:rsidRDefault="003C1A54" w:rsidP="0074067A">
            <w:pPr>
              <w:spacing w:after="0" w:line="240" w:lineRule="auto"/>
              <w:rPr>
                <w:rFonts w:ascii="Arial" w:hAnsi="Arial" w:cs="Arial"/>
                <w:sz w:val="20"/>
                <w:szCs w:val="20"/>
              </w:rPr>
            </w:pPr>
            <w:r>
              <w:rPr>
                <w:rFonts w:ascii="Arial" w:hAnsi="Arial"/>
                <w:sz w:val="20"/>
              </w:rPr>
              <w:t xml:space="preserve">Ndikimi </w:t>
            </w:r>
            <w:r w:rsidR="0098031C">
              <w:rPr>
                <w:rFonts w:ascii="Arial" w:hAnsi="Arial"/>
                <w:sz w:val="20"/>
              </w:rPr>
              <w:t>në përmirësimin e infrastrukturës lokale</w:t>
            </w:r>
          </w:p>
        </w:tc>
        <w:tc>
          <w:tcPr>
            <w:tcW w:w="2989" w:type="pct"/>
            <w:tcBorders>
              <w:top w:val="single" w:sz="4" w:space="0" w:color="auto"/>
              <w:left w:val="single" w:sz="4" w:space="0" w:color="auto"/>
              <w:bottom w:val="single" w:sz="4" w:space="0" w:color="auto"/>
              <w:right w:val="single" w:sz="4" w:space="0" w:color="auto"/>
            </w:tcBorders>
          </w:tcPr>
          <w:p w14:paraId="35C1B17B" w14:textId="3E878D2D" w:rsidR="0098031C" w:rsidRPr="00261BD6" w:rsidRDefault="00484BEC" w:rsidP="00484BEC">
            <w:pPr>
              <w:jc w:val="both"/>
              <w:rPr>
                <w:rFonts w:ascii="Arial" w:hAnsi="Arial" w:cs="Arial"/>
                <w:sz w:val="20"/>
                <w:szCs w:val="20"/>
                <w:highlight w:val="red"/>
              </w:rPr>
            </w:pPr>
            <w:r>
              <w:rPr>
                <w:rFonts w:ascii="Arial" w:hAnsi="Arial"/>
                <w:sz w:val="20"/>
              </w:rPr>
              <w:t>Do të përmirësojë rrjetin në nivel lokal në Kosovë.</w:t>
            </w:r>
          </w:p>
        </w:tc>
      </w:tr>
      <w:tr w:rsidR="0098031C" w:rsidRPr="00261BD6" w14:paraId="6B4B7122"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D98CB3B" w14:textId="77777777" w:rsidR="0098031C" w:rsidRPr="00261BD6" w:rsidRDefault="0098031C" w:rsidP="0074067A">
            <w:pPr>
              <w:spacing w:after="0" w:line="240" w:lineRule="auto"/>
              <w:rPr>
                <w:rFonts w:ascii="Arial" w:hAnsi="Arial" w:cs="Arial"/>
                <w:sz w:val="20"/>
                <w:szCs w:val="20"/>
              </w:rPr>
            </w:pPr>
            <w:r>
              <w:rPr>
                <w:rFonts w:ascii="Arial" w:hAnsi="Arial"/>
                <w:sz w:val="20"/>
              </w:rPr>
              <w:t>Rritja e burimeve të ripërtërishme të energjisë dhe/ose efiçencës së energjisë</w:t>
            </w:r>
          </w:p>
        </w:tc>
        <w:tc>
          <w:tcPr>
            <w:tcW w:w="2989" w:type="pct"/>
            <w:tcBorders>
              <w:top w:val="single" w:sz="4" w:space="0" w:color="auto"/>
              <w:left w:val="single" w:sz="4" w:space="0" w:color="auto"/>
              <w:bottom w:val="single" w:sz="4" w:space="0" w:color="auto"/>
              <w:right w:val="single" w:sz="4" w:space="0" w:color="auto"/>
            </w:tcBorders>
          </w:tcPr>
          <w:p w14:paraId="49B9785D" w14:textId="14D789DF" w:rsidR="0098031C" w:rsidRPr="00261BD6" w:rsidRDefault="00395D97" w:rsidP="00395D97">
            <w:pPr>
              <w:jc w:val="both"/>
              <w:rPr>
                <w:rFonts w:ascii="Arial" w:hAnsi="Arial" w:cs="Arial"/>
                <w:sz w:val="20"/>
                <w:szCs w:val="20"/>
                <w:highlight w:val="red"/>
              </w:rPr>
            </w:pPr>
            <w:r>
              <w:rPr>
                <w:rFonts w:ascii="Arial" w:hAnsi="Arial"/>
                <w:sz w:val="20"/>
              </w:rPr>
              <w:t>Ky projekt do të siguronte kapacitete të reja shtesë të instaluara të burimeve të rinovueshme të energjisë, të cilat do të kishin ndikim të drejtpërdrejtë në rritjen e peshës së burimeve të rinovueshme në sektorin e energjisë elektrike.</w:t>
            </w:r>
          </w:p>
        </w:tc>
      </w:tr>
      <w:tr w:rsidR="0098031C" w:rsidRPr="00261BD6" w14:paraId="7482DD91"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8400E07" w14:textId="77777777" w:rsidR="0098031C" w:rsidRPr="00261BD6" w:rsidRDefault="0098031C" w:rsidP="00E548AE">
            <w:pPr>
              <w:spacing w:after="0" w:line="240" w:lineRule="auto"/>
              <w:rPr>
                <w:rFonts w:ascii="Arial" w:hAnsi="Arial" w:cs="Arial"/>
                <w:sz w:val="20"/>
                <w:szCs w:val="20"/>
              </w:rPr>
            </w:pPr>
            <w:r>
              <w:rPr>
                <w:rFonts w:ascii="Arial" w:hAnsi="Arial"/>
                <w:sz w:val="20"/>
              </w:rPr>
              <w:t>Reduktimi i emetimeve të CO</w:t>
            </w:r>
            <w:r>
              <w:rPr>
                <w:rFonts w:ascii="Arial" w:hAnsi="Arial"/>
                <w:sz w:val="20"/>
                <w:vertAlign w:val="subscript"/>
              </w:rPr>
              <w:t>2</w:t>
            </w:r>
          </w:p>
        </w:tc>
        <w:tc>
          <w:tcPr>
            <w:tcW w:w="2989" w:type="pct"/>
            <w:tcBorders>
              <w:top w:val="single" w:sz="4" w:space="0" w:color="auto"/>
              <w:left w:val="single" w:sz="4" w:space="0" w:color="auto"/>
              <w:bottom w:val="single" w:sz="4" w:space="0" w:color="auto"/>
              <w:right w:val="single" w:sz="4" w:space="0" w:color="auto"/>
            </w:tcBorders>
          </w:tcPr>
          <w:p w14:paraId="5C66F2F1" w14:textId="3C9238B3" w:rsidR="0098031C" w:rsidRPr="00261BD6" w:rsidRDefault="006632DD" w:rsidP="00B70402">
            <w:pPr>
              <w:jc w:val="both"/>
              <w:rPr>
                <w:rFonts w:ascii="Arial" w:hAnsi="Arial" w:cs="Arial"/>
                <w:sz w:val="20"/>
                <w:szCs w:val="20"/>
                <w:highlight w:val="red"/>
              </w:rPr>
            </w:pPr>
            <w:r>
              <w:rPr>
                <w:rFonts w:ascii="Arial" w:hAnsi="Arial"/>
                <w:sz w:val="20"/>
              </w:rPr>
              <w:t>Ka një ndikim pozitiv në reduktimin e emetimeve të CO</w:t>
            </w:r>
            <w:r>
              <w:rPr>
                <w:rFonts w:ascii="Arial" w:hAnsi="Arial"/>
                <w:sz w:val="20"/>
                <w:vertAlign w:val="subscript"/>
              </w:rPr>
              <w:t>2</w:t>
            </w:r>
            <w:r>
              <w:rPr>
                <w:rFonts w:ascii="Arial" w:hAnsi="Arial"/>
                <w:sz w:val="20"/>
              </w:rPr>
              <w:t>.</w:t>
            </w:r>
          </w:p>
        </w:tc>
      </w:tr>
      <w:tr w:rsidR="0098031C" w:rsidRPr="00261BD6" w14:paraId="2A0CA816"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B7AF198" w14:textId="696E23EF" w:rsidR="0098031C" w:rsidRPr="00261BD6" w:rsidRDefault="003C1A54" w:rsidP="0074067A">
            <w:pPr>
              <w:spacing w:after="0" w:line="240" w:lineRule="auto"/>
              <w:rPr>
                <w:rFonts w:ascii="Arial" w:hAnsi="Arial" w:cs="Arial"/>
                <w:sz w:val="20"/>
                <w:szCs w:val="20"/>
              </w:rPr>
            </w:pPr>
            <w:r>
              <w:rPr>
                <w:rFonts w:ascii="Arial" w:hAnsi="Arial"/>
                <w:sz w:val="20"/>
              </w:rPr>
              <w:t>Kontributi</w:t>
            </w:r>
            <w:r w:rsidR="0098031C">
              <w:rPr>
                <w:rFonts w:ascii="Arial" w:hAnsi="Arial"/>
                <w:sz w:val="20"/>
              </w:rPr>
              <w:t xml:space="preserve"> në rritjen e përgjithshme ekonomike</w:t>
            </w:r>
          </w:p>
        </w:tc>
        <w:tc>
          <w:tcPr>
            <w:tcW w:w="2989" w:type="pct"/>
            <w:tcBorders>
              <w:top w:val="single" w:sz="4" w:space="0" w:color="auto"/>
              <w:left w:val="single" w:sz="4" w:space="0" w:color="auto"/>
              <w:bottom w:val="single" w:sz="4" w:space="0" w:color="auto"/>
              <w:right w:val="single" w:sz="4" w:space="0" w:color="auto"/>
            </w:tcBorders>
          </w:tcPr>
          <w:p w14:paraId="1693400B" w14:textId="3CE4224E" w:rsidR="00395D97" w:rsidRPr="00261BD6" w:rsidRDefault="00765169" w:rsidP="00395D97">
            <w:pPr>
              <w:jc w:val="both"/>
              <w:rPr>
                <w:rFonts w:ascii="Arial" w:hAnsi="Arial" w:cs="Arial"/>
                <w:sz w:val="20"/>
                <w:szCs w:val="20"/>
              </w:rPr>
            </w:pPr>
            <w:r>
              <w:rPr>
                <w:rFonts w:ascii="Arial" w:hAnsi="Arial"/>
                <w:sz w:val="20"/>
              </w:rPr>
              <w:t>Do të përmirësojë rritjen ekonomike duke investuar në investime afatgjata kapitale dhe duke krijuar vende të reja pune për qytetarët e Kosovës.</w:t>
            </w:r>
          </w:p>
        </w:tc>
      </w:tr>
      <w:tr w:rsidR="0098031C" w:rsidRPr="00261BD6" w14:paraId="2E2EDA81"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2990F69" w14:textId="77777777" w:rsidR="0098031C" w:rsidRPr="00261BD6" w:rsidRDefault="0098031C" w:rsidP="0074067A">
            <w:pPr>
              <w:spacing w:after="0" w:line="240" w:lineRule="auto"/>
              <w:rPr>
                <w:rFonts w:ascii="Arial" w:hAnsi="Arial" w:cs="Arial"/>
                <w:sz w:val="20"/>
                <w:szCs w:val="20"/>
              </w:rPr>
            </w:pPr>
            <w:r>
              <w:rPr>
                <w:rFonts w:ascii="Arial" w:hAnsi="Arial"/>
                <w:sz w:val="20"/>
              </w:rPr>
              <w:t>Integrimi me projekte të tjera</w:t>
            </w:r>
          </w:p>
        </w:tc>
        <w:tc>
          <w:tcPr>
            <w:tcW w:w="2989" w:type="pct"/>
            <w:tcBorders>
              <w:top w:val="single" w:sz="4" w:space="0" w:color="auto"/>
              <w:left w:val="single" w:sz="4" w:space="0" w:color="auto"/>
              <w:bottom w:val="single" w:sz="4" w:space="0" w:color="auto"/>
              <w:right w:val="single" w:sz="4" w:space="0" w:color="auto"/>
            </w:tcBorders>
          </w:tcPr>
          <w:p w14:paraId="04F10A90" w14:textId="08078DA9" w:rsidR="0098031C" w:rsidRPr="00261BD6" w:rsidRDefault="00971186" w:rsidP="0068716B">
            <w:pPr>
              <w:rPr>
                <w:rFonts w:ascii="Arial" w:eastAsia="Calibri" w:hAnsi="Arial" w:cs="Arial"/>
                <w:sz w:val="20"/>
                <w:szCs w:val="20"/>
                <w:highlight w:val="red"/>
              </w:rPr>
            </w:pPr>
            <w:r>
              <w:rPr>
                <w:rFonts w:ascii="Arial" w:hAnsi="Arial"/>
                <w:sz w:val="20"/>
              </w:rPr>
              <w:t>Jo</w:t>
            </w:r>
          </w:p>
        </w:tc>
      </w:tr>
      <w:tr w:rsidR="0098031C" w:rsidRPr="00261BD6" w14:paraId="6C6BB32E"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6815670" w14:textId="77777777" w:rsidR="0098031C" w:rsidRPr="00261BD6" w:rsidRDefault="0098031C" w:rsidP="0074067A">
            <w:pPr>
              <w:spacing w:after="0" w:line="240" w:lineRule="auto"/>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tcPr>
          <w:p w14:paraId="018FBD11" w14:textId="0EB4910D" w:rsidR="00395D97" w:rsidRPr="00261BD6" w:rsidRDefault="003C1A54" w:rsidP="00395D97">
            <w:pPr>
              <w:jc w:val="both"/>
              <w:rPr>
                <w:rFonts w:ascii="Arial" w:hAnsi="Arial" w:cs="Arial"/>
                <w:sz w:val="20"/>
                <w:szCs w:val="20"/>
              </w:rPr>
            </w:pPr>
            <w:r>
              <w:rPr>
                <w:rFonts w:ascii="Arial" w:hAnsi="Arial"/>
                <w:sz w:val="20"/>
              </w:rPr>
              <w:t>Nëse nuk realizohet ky projekt do të vazhdohet varësia ndaj</w:t>
            </w:r>
            <w:r w:rsidR="00395D97">
              <w:rPr>
                <w:rFonts w:ascii="Arial" w:hAnsi="Arial"/>
                <w:sz w:val="20"/>
              </w:rPr>
              <w:t xml:space="preserve"> prodhimit të energjisë elektrike nga linjiti dhe kjo do të rrezikojë edhe më tej sigurinë e furnizimit me energji elektrike.</w:t>
            </w:r>
          </w:p>
          <w:p w14:paraId="3ADDDCC8" w14:textId="2B3499F0" w:rsidR="00395D97" w:rsidRPr="00261BD6" w:rsidRDefault="00395D97" w:rsidP="007A5473">
            <w:pPr>
              <w:pStyle w:val="NoSpacing"/>
              <w:spacing w:line="276" w:lineRule="auto"/>
              <w:jc w:val="both"/>
              <w:rPr>
                <w:rFonts w:ascii="Arial" w:hAnsi="Arial" w:cs="Arial"/>
                <w:sz w:val="20"/>
                <w:szCs w:val="20"/>
                <w:highlight w:val="red"/>
              </w:rPr>
            </w:pPr>
            <w:r>
              <w:rPr>
                <w:rFonts w:ascii="Arial" w:hAnsi="Arial"/>
                <w:sz w:val="20"/>
              </w:rPr>
              <w:t xml:space="preserve">Gjithashtu, rrezik për projektin është afati kohor i zhvillimit të projektit, inflacioni dhe mungesa e kapaciteteve institucionale në zbatimin e projekteve të reja siç janë impiantet e erës. </w:t>
            </w:r>
          </w:p>
        </w:tc>
      </w:tr>
    </w:tbl>
    <w:p w14:paraId="7AC5D355" w14:textId="77777777" w:rsidR="0074067A" w:rsidRPr="00261BD6" w:rsidRDefault="0074067A" w:rsidP="001C2CAF">
      <w:pPr>
        <w:pStyle w:val="Heading1"/>
        <w:spacing w:before="240" w:after="120"/>
        <w:jc w:val="center"/>
        <w:rPr>
          <w:rFonts w:ascii="Arial" w:hAnsi="Arial" w:cs="Arial"/>
          <w:color w:val="auto"/>
          <w:sz w:val="20"/>
          <w:szCs w:val="20"/>
        </w:rPr>
      </w:pPr>
      <w:r>
        <w:rPr>
          <w:rFonts w:ascii="Arial" w:hAnsi="Arial"/>
          <w:color w:val="auto"/>
          <w:sz w:val="20"/>
        </w:rPr>
        <w:t>Pjesa e dytë</w:t>
      </w:r>
    </w:p>
    <w:p w14:paraId="12496C2D" w14:textId="77777777" w:rsidR="0074067A" w:rsidRPr="00261BD6" w:rsidRDefault="0074067A" w:rsidP="00E00169">
      <w:pPr>
        <w:pStyle w:val="ListParagraph"/>
        <w:numPr>
          <w:ilvl w:val="0"/>
          <w:numId w:val="38"/>
        </w:numPr>
        <w:spacing w:after="120"/>
        <w:rPr>
          <w:rFonts w:cs="Arial"/>
          <w:b/>
          <w:szCs w:val="20"/>
        </w:rPr>
      </w:pPr>
      <w:r>
        <w:rPr>
          <w:b/>
        </w:rPr>
        <w:t>MATURITETI</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559"/>
        <w:gridCol w:w="1567"/>
        <w:gridCol w:w="1394"/>
        <w:gridCol w:w="1271"/>
      </w:tblGrid>
      <w:tr w:rsidR="0074067A" w:rsidRPr="00261BD6" w14:paraId="1DDAF995"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7BD69" w14:textId="77777777" w:rsidR="0074067A" w:rsidRPr="00261BD6" w:rsidRDefault="0074067A" w:rsidP="0074067A">
            <w:pPr>
              <w:spacing w:after="0" w:line="240" w:lineRule="auto"/>
              <w:rPr>
                <w:rFonts w:ascii="Arial" w:hAnsi="Arial" w:cs="Arial"/>
                <w:b/>
                <w:sz w:val="20"/>
                <w:szCs w:val="20"/>
              </w:rPr>
            </w:pPr>
            <w:r>
              <w:rPr>
                <w:rFonts w:ascii="Arial" w:hAnsi="Arial"/>
                <w:b/>
                <w:sz w:val="20"/>
              </w:rPr>
              <w:t>Studimet dhe dokumentet në dispozicion</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A2E6C" w14:textId="77777777" w:rsidR="0074067A" w:rsidRPr="00261BD6" w:rsidRDefault="0074067A" w:rsidP="0074067A">
            <w:pPr>
              <w:spacing w:after="0" w:line="240" w:lineRule="auto"/>
              <w:jc w:val="center"/>
              <w:rPr>
                <w:rFonts w:ascii="Arial" w:hAnsi="Arial" w:cs="Arial"/>
                <w:b/>
                <w:sz w:val="20"/>
                <w:szCs w:val="20"/>
              </w:rPr>
            </w:pPr>
            <w:r>
              <w:rPr>
                <w:rFonts w:ascii="Arial" w:hAnsi="Arial"/>
                <w:b/>
                <w:sz w:val="20"/>
              </w:rPr>
              <w:t>Gati dhe të miratuara</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3D7CD" w14:textId="77777777" w:rsidR="0074067A" w:rsidRPr="00261BD6" w:rsidRDefault="0074067A" w:rsidP="0074067A">
            <w:pPr>
              <w:spacing w:after="0" w:line="240" w:lineRule="auto"/>
              <w:jc w:val="center"/>
              <w:rPr>
                <w:rFonts w:ascii="Arial" w:hAnsi="Arial" w:cs="Arial"/>
                <w:b/>
                <w:sz w:val="20"/>
                <w:szCs w:val="20"/>
              </w:rPr>
            </w:pPr>
            <w:r>
              <w:rPr>
                <w:rFonts w:ascii="Arial" w:hAnsi="Arial"/>
                <w:b/>
                <w:sz w:val="20"/>
              </w:rPr>
              <w:t>Duke u punuar</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AA2F8" w14:textId="77777777" w:rsidR="0074067A" w:rsidRPr="00261BD6" w:rsidRDefault="0074067A" w:rsidP="0074067A">
            <w:pPr>
              <w:spacing w:after="0" w:line="240" w:lineRule="auto"/>
              <w:jc w:val="center"/>
              <w:rPr>
                <w:rFonts w:ascii="Arial" w:hAnsi="Arial" w:cs="Arial"/>
                <w:b/>
                <w:sz w:val="20"/>
                <w:szCs w:val="20"/>
              </w:rPr>
            </w:pPr>
            <w:r>
              <w:rPr>
                <w:rFonts w:ascii="Arial" w:hAnsi="Arial"/>
                <w:b/>
                <w:sz w:val="20"/>
              </w:rPr>
              <w:t>Nuk ka filluar ende</w:t>
            </w:r>
          </w:p>
        </w:tc>
      </w:tr>
      <w:tr w:rsidR="0098031C" w:rsidRPr="00261BD6" w14:paraId="7B5C3385"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4A59BC6" w14:textId="77777777" w:rsidR="0098031C" w:rsidRPr="00261BD6" w:rsidRDefault="0098031C" w:rsidP="0074067A">
            <w:pPr>
              <w:spacing w:after="0" w:line="240" w:lineRule="auto"/>
              <w:rPr>
                <w:rFonts w:ascii="Arial" w:hAnsi="Arial" w:cs="Arial"/>
                <w:sz w:val="20"/>
                <w:szCs w:val="20"/>
              </w:rPr>
            </w:pPr>
            <w:r>
              <w:rPr>
                <w:rFonts w:ascii="Arial" w:hAnsi="Arial"/>
                <w:sz w:val="20"/>
              </w:rPr>
              <w:t>Idea konceptuale</w:t>
            </w:r>
          </w:p>
        </w:tc>
        <w:tc>
          <w:tcPr>
            <w:tcW w:w="800" w:type="pct"/>
            <w:tcBorders>
              <w:top w:val="single" w:sz="4" w:space="0" w:color="auto"/>
              <w:left w:val="single" w:sz="4" w:space="0" w:color="auto"/>
              <w:bottom w:val="single" w:sz="4" w:space="0" w:color="auto"/>
              <w:right w:val="single" w:sz="4" w:space="0" w:color="auto"/>
            </w:tcBorders>
            <w:vAlign w:val="center"/>
          </w:tcPr>
          <w:p w14:paraId="1055E22F" w14:textId="71AE06CF" w:rsidR="0098031C" w:rsidRPr="00261BD6" w:rsidRDefault="0098031C" w:rsidP="00FB172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49D2E43D" w14:textId="733C9C33" w:rsidR="0098031C" w:rsidRPr="00261BD6" w:rsidRDefault="00F15DE0" w:rsidP="00772CAF">
            <w:pPr>
              <w:jc w:val="center"/>
              <w:rPr>
                <w:rFonts w:ascii="Arial" w:hAnsi="Arial" w:cs="Arial"/>
                <w:sz w:val="20"/>
                <w:szCs w:val="20"/>
              </w:rPr>
            </w:pPr>
            <w:r>
              <w:rPr>
                <w:rFonts w:ascii="Arial" w:hAnsi="Arial"/>
                <w:sz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3A8AD6B8" w14:textId="77777777" w:rsidR="0098031C" w:rsidRPr="00261BD6" w:rsidRDefault="0098031C" w:rsidP="00FB1729">
            <w:pPr>
              <w:jc w:val="center"/>
              <w:rPr>
                <w:rFonts w:ascii="Arial" w:hAnsi="Arial" w:cs="Arial"/>
                <w:sz w:val="20"/>
                <w:szCs w:val="20"/>
              </w:rPr>
            </w:pPr>
          </w:p>
        </w:tc>
      </w:tr>
      <w:tr w:rsidR="00395D97" w:rsidRPr="00261BD6" w14:paraId="121CD3FB"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B317DFD" w14:textId="77777777" w:rsidR="00395D97" w:rsidRPr="00261BD6" w:rsidRDefault="00395D97" w:rsidP="00395D97">
            <w:pPr>
              <w:spacing w:after="0" w:line="240" w:lineRule="auto"/>
              <w:rPr>
                <w:rFonts w:ascii="Arial" w:hAnsi="Arial" w:cs="Arial"/>
                <w:sz w:val="20"/>
                <w:szCs w:val="20"/>
              </w:rPr>
            </w:pPr>
            <w:r>
              <w:rPr>
                <w:rFonts w:ascii="Arial" w:hAnsi="Arial"/>
                <w:sz w:val="20"/>
              </w:rPr>
              <w:lastRenderedPageBreak/>
              <w:t>Studimi paraprak i fizibilitetit</w:t>
            </w:r>
          </w:p>
        </w:tc>
        <w:tc>
          <w:tcPr>
            <w:tcW w:w="800" w:type="pct"/>
            <w:tcBorders>
              <w:top w:val="single" w:sz="4" w:space="0" w:color="auto"/>
              <w:left w:val="single" w:sz="4" w:space="0" w:color="auto"/>
              <w:bottom w:val="single" w:sz="4" w:space="0" w:color="auto"/>
              <w:right w:val="single" w:sz="4" w:space="0" w:color="auto"/>
            </w:tcBorders>
            <w:vAlign w:val="center"/>
          </w:tcPr>
          <w:p w14:paraId="54BB1260" w14:textId="12613776"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7BCC0F2" w14:textId="1671CA66" w:rsidR="00395D97" w:rsidRPr="00261BD6" w:rsidRDefault="00F15DE0" w:rsidP="00772CAF">
            <w:pPr>
              <w:jc w:val="center"/>
              <w:rPr>
                <w:rFonts w:ascii="Arial" w:hAnsi="Arial" w:cs="Arial"/>
                <w:sz w:val="20"/>
                <w:szCs w:val="20"/>
              </w:rPr>
            </w:pPr>
            <w:r>
              <w:rPr>
                <w:rFonts w:ascii="Arial" w:hAnsi="Arial"/>
                <w:sz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0F42D61D" w14:textId="77777777" w:rsidR="00395D97" w:rsidRPr="00261BD6" w:rsidRDefault="00395D97" w:rsidP="00395D97">
            <w:pPr>
              <w:pStyle w:val="ListParagraph"/>
              <w:ind w:left="360"/>
              <w:jc w:val="center"/>
              <w:rPr>
                <w:rFonts w:cs="Arial"/>
                <w:szCs w:val="20"/>
              </w:rPr>
            </w:pPr>
          </w:p>
        </w:tc>
      </w:tr>
      <w:tr w:rsidR="00395D97" w:rsidRPr="00261BD6" w14:paraId="5114C41F"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6FCF58F" w14:textId="77777777" w:rsidR="00395D97" w:rsidRPr="00261BD6" w:rsidRDefault="00395D97" w:rsidP="00395D97">
            <w:pPr>
              <w:spacing w:after="0" w:line="240" w:lineRule="auto"/>
              <w:rPr>
                <w:rFonts w:ascii="Arial" w:hAnsi="Arial" w:cs="Arial"/>
                <w:sz w:val="20"/>
                <w:szCs w:val="20"/>
              </w:rPr>
            </w:pPr>
            <w:r>
              <w:rPr>
                <w:rFonts w:ascii="Arial" w:hAnsi="Arial"/>
                <w:sz w:val="20"/>
              </w:rPr>
              <w:t>Projektimi konceptual</w:t>
            </w:r>
          </w:p>
        </w:tc>
        <w:tc>
          <w:tcPr>
            <w:tcW w:w="800" w:type="pct"/>
            <w:tcBorders>
              <w:top w:val="single" w:sz="4" w:space="0" w:color="auto"/>
              <w:left w:val="single" w:sz="4" w:space="0" w:color="auto"/>
              <w:bottom w:val="single" w:sz="4" w:space="0" w:color="auto"/>
              <w:right w:val="single" w:sz="4" w:space="0" w:color="auto"/>
            </w:tcBorders>
            <w:vAlign w:val="center"/>
          </w:tcPr>
          <w:p w14:paraId="616563B0" w14:textId="36995DCB"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9AE30C8" w14:textId="77777777" w:rsidR="00395D97" w:rsidRPr="00261BD6" w:rsidRDefault="00395D97" w:rsidP="00772CAF">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A9213F6" w14:textId="081A53A8" w:rsidR="00395D97" w:rsidRPr="00261BD6" w:rsidRDefault="00F15DE0" w:rsidP="00772CAF">
            <w:pPr>
              <w:jc w:val="center"/>
              <w:rPr>
                <w:rFonts w:ascii="Arial" w:hAnsi="Arial" w:cs="Arial"/>
                <w:sz w:val="20"/>
                <w:szCs w:val="20"/>
              </w:rPr>
            </w:pPr>
            <w:r>
              <w:rPr>
                <w:rFonts w:ascii="Arial" w:hAnsi="Arial"/>
                <w:sz w:val="20"/>
              </w:rPr>
              <w:t>X</w:t>
            </w:r>
          </w:p>
        </w:tc>
      </w:tr>
      <w:tr w:rsidR="00395D97" w:rsidRPr="00261BD6" w14:paraId="2F686E1A"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4B4A790" w14:textId="77777777" w:rsidR="00395D97" w:rsidRPr="00261BD6" w:rsidRDefault="00395D97" w:rsidP="00395D97">
            <w:pPr>
              <w:spacing w:after="0" w:line="240" w:lineRule="auto"/>
              <w:rPr>
                <w:rFonts w:ascii="Arial" w:hAnsi="Arial" w:cs="Arial"/>
                <w:sz w:val="20"/>
                <w:szCs w:val="20"/>
              </w:rPr>
            </w:pPr>
            <w:r>
              <w:rPr>
                <w:rFonts w:ascii="Arial" w:hAnsi="Arial"/>
                <w:sz w:val="20"/>
              </w:rPr>
              <w:t>Studimi i fizibilitetit + AKP</w:t>
            </w:r>
          </w:p>
        </w:tc>
        <w:tc>
          <w:tcPr>
            <w:tcW w:w="800" w:type="pct"/>
            <w:tcBorders>
              <w:top w:val="single" w:sz="4" w:space="0" w:color="auto"/>
              <w:left w:val="single" w:sz="4" w:space="0" w:color="auto"/>
              <w:bottom w:val="single" w:sz="4" w:space="0" w:color="auto"/>
              <w:right w:val="single" w:sz="4" w:space="0" w:color="auto"/>
            </w:tcBorders>
            <w:vAlign w:val="center"/>
          </w:tcPr>
          <w:p w14:paraId="418D1209" w14:textId="34B009DE"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BF9AB20" w14:textId="092537B1" w:rsidR="00395D97" w:rsidRPr="00261BD6" w:rsidRDefault="00F15DE0" w:rsidP="00772CAF">
            <w:pPr>
              <w:jc w:val="center"/>
              <w:rPr>
                <w:rFonts w:ascii="Arial" w:hAnsi="Arial" w:cs="Arial"/>
                <w:sz w:val="20"/>
                <w:szCs w:val="20"/>
              </w:rPr>
            </w:pPr>
            <w:r>
              <w:rPr>
                <w:rFonts w:ascii="Arial" w:hAnsi="Arial"/>
                <w:sz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1426CBE3" w14:textId="7312337D" w:rsidR="00395D97" w:rsidRPr="00261BD6" w:rsidRDefault="00395D97" w:rsidP="00772CAF">
            <w:pPr>
              <w:ind w:left="360"/>
              <w:jc w:val="center"/>
              <w:rPr>
                <w:rFonts w:ascii="Arial" w:hAnsi="Arial" w:cs="Arial"/>
                <w:sz w:val="20"/>
                <w:szCs w:val="20"/>
              </w:rPr>
            </w:pPr>
          </w:p>
        </w:tc>
      </w:tr>
      <w:tr w:rsidR="00395D97" w:rsidRPr="00261BD6" w14:paraId="22163729"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4549C7B" w14:textId="423BCA54" w:rsidR="00395D97" w:rsidRPr="00261BD6" w:rsidRDefault="00395D97" w:rsidP="00395D97">
            <w:pPr>
              <w:spacing w:after="0" w:line="240" w:lineRule="auto"/>
              <w:rPr>
                <w:rFonts w:ascii="Arial" w:hAnsi="Arial" w:cs="Arial"/>
                <w:sz w:val="20"/>
                <w:szCs w:val="20"/>
              </w:rPr>
            </w:pPr>
            <w:r>
              <w:rPr>
                <w:rFonts w:ascii="Arial" w:hAnsi="Arial"/>
                <w:sz w:val="20"/>
              </w:rPr>
              <w:t>Studimi i VNM (nëse nevojitet)</w:t>
            </w:r>
          </w:p>
        </w:tc>
        <w:tc>
          <w:tcPr>
            <w:tcW w:w="800" w:type="pct"/>
            <w:tcBorders>
              <w:top w:val="single" w:sz="4" w:space="0" w:color="auto"/>
              <w:left w:val="single" w:sz="4" w:space="0" w:color="auto"/>
              <w:bottom w:val="single" w:sz="4" w:space="0" w:color="auto"/>
              <w:right w:val="single" w:sz="4" w:space="0" w:color="auto"/>
            </w:tcBorders>
            <w:vAlign w:val="center"/>
          </w:tcPr>
          <w:p w14:paraId="4D040DFF" w14:textId="77777777"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F99DE62" w14:textId="60774A4F"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CF51AE9" w14:textId="1F8C8FFF" w:rsidR="00395D97" w:rsidRPr="00261BD6" w:rsidRDefault="00F15DE0" w:rsidP="00772CAF">
            <w:pPr>
              <w:jc w:val="center"/>
              <w:rPr>
                <w:rFonts w:ascii="Arial" w:hAnsi="Arial" w:cs="Arial"/>
                <w:sz w:val="20"/>
                <w:szCs w:val="20"/>
              </w:rPr>
            </w:pPr>
            <w:r>
              <w:rPr>
                <w:rFonts w:ascii="Arial" w:hAnsi="Arial"/>
                <w:sz w:val="20"/>
              </w:rPr>
              <w:t>X</w:t>
            </w:r>
          </w:p>
        </w:tc>
      </w:tr>
      <w:tr w:rsidR="00395D97" w:rsidRPr="00261BD6" w14:paraId="4BD2AFD4"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494EE38E" w14:textId="77777777" w:rsidR="00395D97" w:rsidRPr="00261BD6" w:rsidRDefault="00395D97" w:rsidP="00395D97">
            <w:pPr>
              <w:spacing w:after="0" w:line="240" w:lineRule="auto"/>
              <w:rPr>
                <w:rFonts w:ascii="Arial" w:hAnsi="Arial" w:cs="Arial"/>
                <w:sz w:val="20"/>
                <w:szCs w:val="20"/>
              </w:rPr>
            </w:pPr>
            <w:r>
              <w:rPr>
                <w:rFonts w:ascii="Arial" w:hAnsi="Arial"/>
                <w:sz w:val="20"/>
              </w:rPr>
              <w:t>Dokumentet e vlefshme të planifikimit hapësinor</w:t>
            </w:r>
          </w:p>
        </w:tc>
        <w:tc>
          <w:tcPr>
            <w:tcW w:w="800" w:type="pct"/>
            <w:tcBorders>
              <w:top w:val="single" w:sz="4" w:space="0" w:color="auto"/>
              <w:left w:val="single" w:sz="4" w:space="0" w:color="auto"/>
              <w:bottom w:val="single" w:sz="4" w:space="0" w:color="auto"/>
              <w:right w:val="single" w:sz="4" w:space="0" w:color="auto"/>
            </w:tcBorders>
            <w:vAlign w:val="center"/>
          </w:tcPr>
          <w:p w14:paraId="727C993F" w14:textId="77777777" w:rsidR="00395D97" w:rsidRPr="00261BD6" w:rsidRDefault="00395D97" w:rsidP="00395D97">
            <w:pPr>
              <w:ind w:left="360"/>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10FFDD9" w14:textId="0EEBC84D"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4D8A4054" w14:textId="49D9E0B4" w:rsidR="00395D97" w:rsidRPr="00261BD6" w:rsidRDefault="00F15DE0" w:rsidP="00772CAF">
            <w:pPr>
              <w:jc w:val="center"/>
              <w:rPr>
                <w:rFonts w:ascii="Arial" w:hAnsi="Arial" w:cs="Arial"/>
                <w:sz w:val="20"/>
                <w:szCs w:val="20"/>
              </w:rPr>
            </w:pPr>
            <w:r>
              <w:rPr>
                <w:rFonts w:ascii="Arial" w:hAnsi="Arial"/>
                <w:sz w:val="20"/>
              </w:rPr>
              <w:t>X</w:t>
            </w:r>
          </w:p>
        </w:tc>
      </w:tr>
      <w:tr w:rsidR="00395D97" w:rsidRPr="00261BD6" w14:paraId="23870CD7"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CB045A2" w14:textId="77777777" w:rsidR="00395D97" w:rsidRPr="00261BD6" w:rsidRDefault="00395D97" w:rsidP="00395D97">
            <w:pPr>
              <w:spacing w:after="0" w:line="240" w:lineRule="auto"/>
              <w:rPr>
                <w:rFonts w:ascii="Arial" w:hAnsi="Arial" w:cs="Arial"/>
                <w:sz w:val="20"/>
                <w:szCs w:val="20"/>
              </w:rPr>
            </w:pPr>
            <w:r>
              <w:rPr>
                <w:rFonts w:ascii="Arial" w:hAnsi="Arial"/>
                <w:sz w:val="20"/>
              </w:rPr>
              <w:t>Prona tokë e zgjidhur</w:t>
            </w:r>
          </w:p>
        </w:tc>
        <w:tc>
          <w:tcPr>
            <w:tcW w:w="800" w:type="pct"/>
            <w:tcBorders>
              <w:top w:val="single" w:sz="4" w:space="0" w:color="auto"/>
              <w:left w:val="single" w:sz="4" w:space="0" w:color="auto"/>
              <w:bottom w:val="single" w:sz="4" w:space="0" w:color="auto"/>
              <w:right w:val="single" w:sz="4" w:space="0" w:color="auto"/>
            </w:tcBorders>
            <w:vAlign w:val="center"/>
          </w:tcPr>
          <w:p w14:paraId="416C4E17" w14:textId="77777777" w:rsidR="00395D97" w:rsidRPr="00261BD6" w:rsidRDefault="00395D97" w:rsidP="00395D97">
            <w:pPr>
              <w:ind w:left="360"/>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2FC941B" w14:textId="306EEF50" w:rsidR="00395D97" w:rsidRPr="00261BD6" w:rsidRDefault="00F15DE0" w:rsidP="00395D97">
            <w:pPr>
              <w:jc w:val="center"/>
              <w:rPr>
                <w:rFonts w:ascii="Arial" w:hAnsi="Arial" w:cs="Arial"/>
                <w:sz w:val="20"/>
                <w:szCs w:val="20"/>
              </w:rPr>
            </w:pPr>
            <w:r>
              <w:rPr>
                <w:rFonts w:ascii="Arial" w:hAnsi="Arial"/>
                <w:sz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5ECAC226" w14:textId="77777777" w:rsidR="00395D97" w:rsidRPr="00261BD6" w:rsidRDefault="00395D97" w:rsidP="00772CAF">
            <w:pPr>
              <w:jc w:val="center"/>
              <w:rPr>
                <w:rFonts w:ascii="Arial" w:hAnsi="Arial" w:cs="Arial"/>
                <w:sz w:val="20"/>
                <w:szCs w:val="20"/>
              </w:rPr>
            </w:pPr>
          </w:p>
        </w:tc>
      </w:tr>
      <w:tr w:rsidR="00395D97" w:rsidRPr="00261BD6" w14:paraId="4B0071C7"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F045034" w14:textId="77777777" w:rsidR="00395D97" w:rsidRPr="00261BD6" w:rsidRDefault="00395D97" w:rsidP="00395D97">
            <w:pPr>
              <w:spacing w:after="0" w:line="240" w:lineRule="auto"/>
              <w:rPr>
                <w:rFonts w:ascii="Arial" w:hAnsi="Arial" w:cs="Arial"/>
                <w:sz w:val="20"/>
                <w:szCs w:val="20"/>
              </w:rPr>
            </w:pPr>
            <w:r>
              <w:rPr>
                <w:rFonts w:ascii="Arial" w:hAnsi="Arial"/>
                <w:sz w:val="20"/>
              </w:rPr>
              <w:t>Projektimi paraprak</w:t>
            </w:r>
          </w:p>
        </w:tc>
        <w:tc>
          <w:tcPr>
            <w:tcW w:w="800" w:type="pct"/>
            <w:tcBorders>
              <w:top w:val="single" w:sz="4" w:space="0" w:color="auto"/>
              <w:left w:val="single" w:sz="4" w:space="0" w:color="auto"/>
              <w:bottom w:val="single" w:sz="4" w:space="0" w:color="auto"/>
              <w:right w:val="single" w:sz="4" w:space="0" w:color="auto"/>
            </w:tcBorders>
            <w:vAlign w:val="center"/>
          </w:tcPr>
          <w:p w14:paraId="338581EE" w14:textId="77777777"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3D6534A" w14:textId="36A48CF5" w:rsidR="00395D97" w:rsidRPr="00261BD6" w:rsidRDefault="00F15DE0" w:rsidP="00395D97">
            <w:pPr>
              <w:jc w:val="center"/>
              <w:rPr>
                <w:rFonts w:ascii="Arial" w:hAnsi="Arial" w:cs="Arial"/>
                <w:sz w:val="20"/>
                <w:szCs w:val="20"/>
              </w:rPr>
            </w:pPr>
            <w:r>
              <w:rPr>
                <w:rFonts w:ascii="Arial" w:hAnsi="Arial"/>
                <w:sz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704610D3" w14:textId="51C3CB55" w:rsidR="00395D97" w:rsidRPr="00261BD6" w:rsidRDefault="00395D97" w:rsidP="00772CAF">
            <w:pPr>
              <w:jc w:val="center"/>
              <w:rPr>
                <w:rFonts w:ascii="Arial" w:hAnsi="Arial" w:cs="Arial"/>
                <w:sz w:val="20"/>
                <w:szCs w:val="20"/>
              </w:rPr>
            </w:pPr>
          </w:p>
        </w:tc>
      </w:tr>
      <w:tr w:rsidR="00395D97" w:rsidRPr="00261BD6" w14:paraId="03681DA0"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B19B456" w14:textId="77777777" w:rsidR="00395D97" w:rsidRPr="00261BD6" w:rsidRDefault="00395D97" w:rsidP="00395D97">
            <w:pPr>
              <w:spacing w:after="0" w:line="240" w:lineRule="auto"/>
              <w:rPr>
                <w:rFonts w:ascii="Arial" w:hAnsi="Arial" w:cs="Arial"/>
                <w:sz w:val="20"/>
                <w:szCs w:val="20"/>
              </w:rPr>
            </w:pPr>
            <w:r>
              <w:rPr>
                <w:rFonts w:ascii="Arial" w:hAnsi="Arial"/>
                <w:sz w:val="20"/>
              </w:rPr>
              <w:t>Projektimi kryesor/projektimi i detajuar</w:t>
            </w:r>
          </w:p>
        </w:tc>
        <w:tc>
          <w:tcPr>
            <w:tcW w:w="800" w:type="pct"/>
            <w:tcBorders>
              <w:top w:val="single" w:sz="4" w:space="0" w:color="auto"/>
              <w:left w:val="single" w:sz="4" w:space="0" w:color="auto"/>
              <w:bottom w:val="single" w:sz="4" w:space="0" w:color="auto"/>
              <w:right w:val="single" w:sz="4" w:space="0" w:color="auto"/>
            </w:tcBorders>
            <w:vAlign w:val="center"/>
          </w:tcPr>
          <w:p w14:paraId="5428274D" w14:textId="77777777"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37889B8" w14:textId="77777777"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2481C07" w14:textId="1039DDFE" w:rsidR="00395D97" w:rsidRPr="00261BD6" w:rsidRDefault="00F15DE0" w:rsidP="00772CAF">
            <w:pPr>
              <w:jc w:val="center"/>
              <w:rPr>
                <w:rFonts w:ascii="Arial" w:hAnsi="Arial" w:cs="Arial"/>
                <w:sz w:val="20"/>
                <w:szCs w:val="20"/>
              </w:rPr>
            </w:pPr>
            <w:r>
              <w:rPr>
                <w:rFonts w:ascii="Arial" w:hAnsi="Arial"/>
                <w:sz w:val="20"/>
              </w:rPr>
              <w:t>X</w:t>
            </w:r>
          </w:p>
        </w:tc>
      </w:tr>
      <w:tr w:rsidR="00395D97" w:rsidRPr="00261BD6" w14:paraId="3EBC25B3"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4C4537E0" w14:textId="77777777" w:rsidR="00395D97" w:rsidRPr="00261BD6" w:rsidRDefault="00395D97" w:rsidP="00395D97">
            <w:pPr>
              <w:spacing w:after="0" w:line="240" w:lineRule="auto"/>
              <w:rPr>
                <w:rFonts w:ascii="Arial" w:hAnsi="Arial" w:cs="Arial"/>
                <w:sz w:val="20"/>
                <w:szCs w:val="20"/>
              </w:rPr>
            </w:pPr>
            <w:r>
              <w:rPr>
                <w:rFonts w:ascii="Arial" w:hAnsi="Arial"/>
                <w:sz w:val="20"/>
              </w:rPr>
              <w:t>Dokumentacioni i tenderit</w:t>
            </w:r>
          </w:p>
        </w:tc>
        <w:tc>
          <w:tcPr>
            <w:tcW w:w="800" w:type="pct"/>
            <w:tcBorders>
              <w:top w:val="single" w:sz="4" w:space="0" w:color="auto"/>
              <w:left w:val="single" w:sz="4" w:space="0" w:color="auto"/>
              <w:bottom w:val="single" w:sz="4" w:space="0" w:color="auto"/>
              <w:right w:val="single" w:sz="4" w:space="0" w:color="auto"/>
            </w:tcBorders>
            <w:vAlign w:val="center"/>
          </w:tcPr>
          <w:p w14:paraId="167D616C" w14:textId="77777777"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630F25ED" w14:textId="77777777"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572EF00E" w14:textId="1509F446" w:rsidR="00395D97" w:rsidRPr="00261BD6" w:rsidRDefault="00F15DE0" w:rsidP="00772CAF">
            <w:pPr>
              <w:jc w:val="center"/>
              <w:rPr>
                <w:rFonts w:ascii="Arial" w:hAnsi="Arial" w:cs="Arial"/>
                <w:sz w:val="20"/>
                <w:szCs w:val="20"/>
              </w:rPr>
            </w:pPr>
            <w:r>
              <w:rPr>
                <w:rFonts w:ascii="Arial" w:hAnsi="Arial"/>
                <w:sz w:val="20"/>
              </w:rPr>
              <w:t>X</w:t>
            </w:r>
          </w:p>
        </w:tc>
      </w:tr>
      <w:tr w:rsidR="00395D97" w:rsidRPr="00261BD6" w14:paraId="7C0C01F3"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2FF0AFC" w14:textId="77777777" w:rsidR="00395D97" w:rsidRPr="00261BD6" w:rsidRDefault="00395D97" w:rsidP="00395D97">
            <w:pPr>
              <w:spacing w:after="0" w:line="240" w:lineRule="auto"/>
              <w:rPr>
                <w:rFonts w:ascii="Arial" w:hAnsi="Arial" w:cs="Arial"/>
                <w:sz w:val="20"/>
                <w:szCs w:val="20"/>
              </w:rPr>
            </w:pPr>
            <w:r>
              <w:rPr>
                <w:rFonts w:ascii="Arial" w:hAnsi="Arial"/>
                <w:sz w:val="20"/>
              </w:rPr>
              <w:t>Lejet e ndërtimit dhe të tjera</w:t>
            </w:r>
          </w:p>
        </w:tc>
        <w:tc>
          <w:tcPr>
            <w:tcW w:w="800" w:type="pct"/>
            <w:tcBorders>
              <w:top w:val="single" w:sz="4" w:space="0" w:color="auto"/>
              <w:left w:val="single" w:sz="4" w:space="0" w:color="auto"/>
              <w:bottom w:val="single" w:sz="4" w:space="0" w:color="auto"/>
              <w:right w:val="single" w:sz="4" w:space="0" w:color="auto"/>
            </w:tcBorders>
            <w:vAlign w:val="center"/>
          </w:tcPr>
          <w:p w14:paraId="1D553FEA" w14:textId="77777777" w:rsidR="00395D97" w:rsidRPr="00261BD6" w:rsidRDefault="00395D97" w:rsidP="00395D97">
            <w:pPr>
              <w:ind w:left="360"/>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6A81A9BB" w14:textId="59061B8E"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B594DD8" w14:textId="203F827C" w:rsidR="00395D97" w:rsidRPr="00261BD6" w:rsidRDefault="00F15DE0" w:rsidP="00772CAF">
            <w:pPr>
              <w:jc w:val="center"/>
              <w:rPr>
                <w:rFonts w:ascii="Arial" w:hAnsi="Arial" w:cs="Arial"/>
                <w:sz w:val="20"/>
                <w:szCs w:val="20"/>
              </w:rPr>
            </w:pPr>
            <w:r>
              <w:rPr>
                <w:rFonts w:ascii="Arial" w:hAnsi="Arial"/>
                <w:sz w:val="20"/>
              </w:rPr>
              <w:t>X</w:t>
            </w:r>
          </w:p>
        </w:tc>
      </w:tr>
      <w:tr w:rsidR="00395D97" w:rsidRPr="00261BD6" w14:paraId="73F77CB7"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3B3C71A" w14:textId="77777777" w:rsidR="00395D97" w:rsidRPr="00261BD6" w:rsidRDefault="00395D97" w:rsidP="00395D97">
            <w:pPr>
              <w:spacing w:after="0" w:line="240" w:lineRule="auto"/>
              <w:rPr>
                <w:rFonts w:ascii="Arial" w:hAnsi="Arial" w:cs="Arial"/>
                <w:sz w:val="20"/>
                <w:szCs w:val="20"/>
              </w:rPr>
            </w:pPr>
            <w:r>
              <w:rPr>
                <w:rFonts w:ascii="Arial" w:hAnsi="Arial"/>
                <w:sz w:val="20"/>
              </w:rPr>
              <w:t>Kontrata e ndërtimit është nënshkruar</w:t>
            </w:r>
          </w:p>
        </w:tc>
        <w:tc>
          <w:tcPr>
            <w:tcW w:w="800" w:type="pct"/>
            <w:tcBorders>
              <w:top w:val="single" w:sz="4" w:space="0" w:color="auto"/>
              <w:left w:val="single" w:sz="4" w:space="0" w:color="auto"/>
              <w:bottom w:val="single" w:sz="4" w:space="0" w:color="auto"/>
              <w:right w:val="single" w:sz="4" w:space="0" w:color="auto"/>
            </w:tcBorders>
            <w:vAlign w:val="center"/>
          </w:tcPr>
          <w:p w14:paraId="52EA2C27" w14:textId="77777777"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CACA9CF" w14:textId="77777777"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6FB5BA5" w14:textId="7B088EBB" w:rsidR="00395D97" w:rsidRPr="00261BD6" w:rsidRDefault="00F15DE0" w:rsidP="00772CAF">
            <w:pPr>
              <w:jc w:val="center"/>
              <w:rPr>
                <w:rFonts w:ascii="Arial" w:hAnsi="Arial" w:cs="Arial"/>
                <w:sz w:val="20"/>
                <w:szCs w:val="20"/>
              </w:rPr>
            </w:pPr>
            <w:r>
              <w:rPr>
                <w:rFonts w:ascii="Arial" w:hAnsi="Arial"/>
                <w:sz w:val="20"/>
              </w:rPr>
              <w:t>X</w:t>
            </w:r>
          </w:p>
        </w:tc>
      </w:tr>
    </w:tbl>
    <w:p w14:paraId="2263002F" w14:textId="77777777" w:rsidR="00D34F13" w:rsidRPr="00261BD6" w:rsidRDefault="00D34F13" w:rsidP="001C2CAF">
      <w:pPr>
        <w:spacing w:after="120"/>
        <w:rPr>
          <w:rFonts w:ascii="Arial" w:hAnsi="Arial" w:cs="Arial"/>
          <w:b/>
          <w:sz w:val="20"/>
          <w:szCs w:val="20"/>
        </w:rPr>
      </w:pPr>
    </w:p>
    <w:p w14:paraId="4B0ACDFC" w14:textId="77777777" w:rsidR="001C2CAF" w:rsidRPr="00261BD6" w:rsidRDefault="001C2CAF" w:rsidP="00E00169">
      <w:pPr>
        <w:pStyle w:val="ListParagraph"/>
        <w:numPr>
          <w:ilvl w:val="0"/>
          <w:numId w:val="38"/>
        </w:numPr>
        <w:spacing w:after="120"/>
        <w:rPr>
          <w:rFonts w:cs="Arial"/>
          <w:b/>
          <w:szCs w:val="20"/>
        </w:rPr>
      </w:pPr>
      <w:r>
        <w:rPr>
          <w:b/>
        </w:rPr>
        <w:t>PËRCAKTIMI I BURIMIT TË FINANCIMIT</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09"/>
        <w:gridCol w:w="673"/>
        <w:gridCol w:w="4154"/>
        <w:gridCol w:w="560"/>
      </w:tblGrid>
      <w:tr w:rsidR="001C2CAF" w:rsidRPr="00261BD6" w14:paraId="3BA42A28" w14:textId="77777777" w:rsidTr="0098031C">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D1E40" w14:textId="77777777" w:rsidR="001C2CAF" w:rsidRPr="00261BD6" w:rsidRDefault="001C2CAF" w:rsidP="001C2CAF">
            <w:pPr>
              <w:spacing w:after="0" w:line="240" w:lineRule="auto"/>
              <w:rPr>
                <w:rFonts w:ascii="Arial" w:hAnsi="Arial" w:cs="Arial"/>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CE780E" w14:textId="77777777" w:rsidR="001C2CAF" w:rsidRPr="00261BD6" w:rsidRDefault="001C2CAF" w:rsidP="001C2CAF">
            <w:pPr>
              <w:spacing w:after="0" w:line="240" w:lineRule="auto"/>
              <w:jc w:val="center"/>
              <w:rPr>
                <w:rFonts w:ascii="Arial" w:hAnsi="Arial" w:cs="Arial"/>
                <w:sz w:val="20"/>
                <w:szCs w:val="20"/>
              </w:rPr>
            </w:pPr>
            <w:r>
              <w:rPr>
                <w:rFonts w:ascii="Arial" w:hAnsi="Arial"/>
                <w:sz w:val="20"/>
              </w:rPr>
              <w:t>Po</w:t>
            </w:r>
          </w:p>
        </w:tc>
        <w:tc>
          <w:tcPr>
            <w:tcW w:w="2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0A634" w14:textId="77777777" w:rsidR="001C2CAF" w:rsidRPr="00261BD6" w:rsidRDefault="001C2CAF" w:rsidP="001C2CAF">
            <w:pPr>
              <w:spacing w:after="0" w:line="240" w:lineRule="auto"/>
              <w:jc w:val="center"/>
              <w:rPr>
                <w:rFonts w:ascii="Arial" w:hAnsi="Arial" w:cs="Arial"/>
                <w:sz w:val="20"/>
                <w:szCs w:val="20"/>
              </w:rPr>
            </w:pPr>
            <w:r>
              <w:rPr>
                <w:rFonts w:ascii="Arial" w:hAnsi="Arial"/>
                <w:sz w:val="20"/>
              </w:rPr>
              <w:t>Arsyetimi</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4C8B2" w14:textId="77777777" w:rsidR="001C2CAF" w:rsidRPr="00261BD6" w:rsidRDefault="001C2CAF" w:rsidP="001C2CAF">
            <w:pPr>
              <w:spacing w:after="0" w:line="240" w:lineRule="auto"/>
              <w:jc w:val="center"/>
              <w:rPr>
                <w:rFonts w:ascii="Arial" w:hAnsi="Arial" w:cs="Arial"/>
                <w:sz w:val="20"/>
                <w:szCs w:val="20"/>
              </w:rPr>
            </w:pPr>
            <w:r>
              <w:rPr>
                <w:rFonts w:ascii="Arial" w:hAnsi="Arial"/>
                <w:sz w:val="20"/>
              </w:rPr>
              <w:t>Jo</w:t>
            </w:r>
          </w:p>
        </w:tc>
      </w:tr>
      <w:tr w:rsidR="0098031C" w:rsidRPr="00261BD6" w14:paraId="1C0495DC" w14:textId="77777777" w:rsidTr="003E6263">
        <w:trPr>
          <w:trHeight w:val="26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23F2240A" w14:textId="22F96CDA" w:rsidR="0098031C" w:rsidRPr="00261BD6" w:rsidRDefault="0098031C" w:rsidP="003C1A54">
            <w:pPr>
              <w:spacing w:after="0" w:line="240" w:lineRule="auto"/>
              <w:rPr>
                <w:rFonts w:ascii="Arial" w:hAnsi="Arial" w:cs="Arial"/>
                <w:sz w:val="20"/>
                <w:szCs w:val="20"/>
              </w:rPr>
            </w:pPr>
            <w:r>
              <w:rPr>
                <w:rFonts w:ascii="Arial" w:hAnsi="Arial"/>
                <w:sz w:val="20"/>
              </w:rPr>
              <w:t xml:space="preserve">A e përmirëson projekti </w:t>
            </w:r>
            <w:r w:rsidR="003C1A54">
              <w:rPr>
                <w:rFonts w:ascii="Arial" w:hAnsi="Arial"/>
                <w:sz w:val="20"/>
              </w:rPr>
              <w:t>ndërlidhshmërinë</w:t>
            </w:r>
            <w:r>
              <w:rPr>
                <w:rFonts w:ascii="Arial" w:hAnsi="Arial"/>
                <w:sz w:val="20"/>
              </w:rPr>
              <w:t>?</w:t>
            </w:r>
          </w:p>
        </w:tc>
        <w:tc>
          <w:tcPr>
            <w:tcW w:w="340" w:type="pct"/>
            <w:tcBorders>
              <w:top w:val="single" w:sz="4" w:space="0" w:color="auto"/>
              <w:left w:val="single" w:sz="4" w:space="0" w:color="auto"/>
              <w:bottom w:val="single" w:sz="4" w:space="0" w:color="auto"/>
              <w:right w:val="single" w:sz="4" w:space="0" w:color="auto"/>
            </w:tcBorders>
            <w:vAlign w:val="center"/>
          </w:tcPr>
          <w:p w14:paraId="1B5D4F81" w14:textId="7CEA0BE5" w:rsidR="0098031C" w:rsidRPr="00261BD6" w:rsidRDefault="00A877FD" w:rsidP="0040793F">
            <w:pPr>
              <w:rPr>
                <w:rFonts w:ascii="Arial" w:hAnsi="Arial" w:cs="Arial"/>
                <w:sz w:val="20"/>
                <w:szCs w:val="20"/>
              </w:rPr>
            </w:pPr>
            <w:r>
              <w:rPr>
                <w:rFonts w:ascii="Arial" w:hAnsi="Arial"/>
                <w:sz w:val="20"/>
              </w:rPr>
              <w:t>X</w:t>
            </w:r>
          </w:p>
        </w:tc>
        <w:tc>
          <w:tcPr>
            <w:tcW w:w="2099" w:type="pct"/>
            <w:tcBorders>
              <w:top w:val="single" w:sz="4" w:space="0" w:color="auto"/>
              <w:left w:val="single" w:sz="4" w:space="0" w:color="auto"/>
              <w:bottom w:val="single" w:sz="4" w:space="0" w:color="auto"/>
              <w:right w:val="single" w:sz="4" w:space="0" w:color="auto"/>
            </w:tcBorders>
            <w:vAlign w:val="center"/>
          </w:tcPr>
          <w:p w14:paraId="65BFC05B" w14:textId="77777777" w:rsidR="0098031C" w:rsidRPr="00261BD6" w:rsidRDefault="0098031C" w:rsidP="0040793F">
            <w:pPr>
              <w:rPr>
                <w:rFonts w:ascii="Arial" w:hAnsi="Arial" w:cs="Arial"/>
                <w:color w:val="548DD4"/>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0843619E" w14:textId="5F5C69B9" w:rsidR="0098031C" w:rsidRPr="00261BD6" w:rsidRDefault="0098031C" w:rsidP="0040793F">
            <w:pPr>
              <w:rPr>
                <w:rFonts w:ascii="Arial" w:hAnsi="Arial" w:cs="Arial"/>
                <w:sz w:val="20"/>
                <w:szCs w:val="20"/>
              </w:rPr>
            </w:pPr>
          </w:p>
        </w:tc>
      </w:tr>
      <w:tr w:rsidR="0098031C" w:rsidRPr="00261BD6" w14:paraId="79A17A2B" w14:textId="77777777" w:rsidTr="003E6263">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76F5D9E2" w14:textId="77777777" w:rsidR="0098031C" w:rsidRPr="00261BD6" w:rsidRDefault="0098031C" w:rsidP="001C2CAF">
            <w:pPr>
              <w:spacing w:after="0" w:line="240" w:lineRule="auto"/>
              <w:rPr>
                <w:rFonts w:ascii="Arial" w:hAnsi="Arial" w:cs="Arial"/>
                <w:sz w:val="20"/>
                <w:szCs w:val="20"/>
              </w:rPr>
            </w:pPr>
            <w:r>
              <w:rPr>
                <w:rFonts w:ascii="Arial" w:hAnsi="Arial"/>
                <w:sz w:val="20"/>
              </w:rPr>
              <w:t>A ka projekti ndikim ndërkufitar apo në vendet e tjera të rajonit?</w:t>
            </w:r>
          </w:p>
        </w:tc>
        <w:tc>
          <w:tcPr>
            <w:tcW w:w="340" w:type="pct"/>
            <w:tcBorders>
              <w:top w:val="single" w:sz="4" w:space="0" w:color="auto"/>
              <w:left w:val="single" w:sz="4" w:space="0" w:color="auto"/>
              <w:bottom w:val="single" w:sz="4" w:space="0" w:color="auto"/>
              <w:right w:val="single" w:sz="4" w:space="0" w:color="auto"/>
            </w:tcBorders>
            <w:vAlign w:val="center"/>
          </w:tcPr>
          <w:p w14:paraId="50B49F72" w14:textId="6F203A77" w:rsidR="0098031C" w:rsidRPr="00261BD6" w:rsidRDefault="00A877FD" w:rsidP="0040793F">
            <w:pPr>
              <w:rPr>
                <w:rFonts w:ascii="Arial" w:hAnsi="Arial" w:cs="Arial"/>
                <w:sz w:val="20"/>
                <w:szCs w:val="20"/>
              </w:rPr>
            </w:pPr>
            <w:r>
              <w:rPr>
                <w:rFonts w:ascii="Arial" w:hAnsi="Arial"/>
                <w:sz w:val="20"/>
              </w:rPr>
              <w:t>X</w:t>
            </w:r>
          </w:p>
        </w:tc>
        <w:tc>
          <w:tcPr>
            <w:tcW w:w="2099" w:type="pct"/>
            <w:tcBorders>
              <w:top w:val="single" w:sz="4" w:space="0" w:color="auto"/>
              <w:left w:val="single" w:sz="4" w:space="0" w:color="auto"/>
              <w:bottom w:val="single" w:sz="4" w:space="0" w:color="auto"/>
              <w:right w:val="single" w:sz="4" w:space="0" w:color="auto"/>
            </w:tcBorders>
            <w:vAlign w:val="center"/>
          </w:tcPr>
          <w:p w14:paraId="3C55CB6E" w14:textId="23AFE554" w:rsidR="00667A0D" w:rsidRPr="00261BD6" w:rsidRDefault="005C128F" w:rsidP="005C128F">
            <w:pPr>
              <w:rPr>
                <w:rFonts w:ascii="Arial" w:hAnsi="Arial" w:cs="Arial"/>
                <w:sz w:val="20"/>
                <w:szCs w:val="20"/>
              </w:rPr>
            </w:pPr>
            <w:r>
              <w:rPr>
                <w:rFonts w:ascii="Arial" w:hAnsi="Arial"/>
                <w:sz w:val="20"/>
              </w:rPr>
              <w:t>Ai ka një ndikim rajonal pasi rrit sigurinë e furnizimit përmes integrimit të tregut rajonal dhe mbështet qëllimet e konkurrencës duke optimizuar tregjet e shitjes me shumicë dhe rezervë për efikasitet të përmirësuar.</w:t>
            </w:r>
          </w:p>
        </w:tc>
        <w:tc>
          <w:tcPr>
            <w:tcW w:w="283" w:type="pct"/>
            <w:tcBorders>
              <w:top w:val="single" w:sz="4" w:space="0" w:color="auto"/>
              <w:left w:val="single" w:sz="4" w:space="0" w:color="auto"/>
              <w:bottom w:val="single" w:sz="4" w:space="0" w:color="auto"/>
              <w:right w:val="single" w:sz="4" w:space="0" w:color="auto"/>
            </w:tcBorders>
            <w:vAlign w:val="center"/>
          </w:tcPr>
          <w:p w14:paraId="426A0DD5" w14:textId="7750C2FC" w:rsidR="0098031C" w:rsidRPr="00261BD6" w:rsidRDefault="0098031C" w:rsidP="0040793F">
            <w:pPr>
              <w:rPr>
                <w:rFonts w:ascii="Arial" w:hAnsi="Arial" w:cs="Arial"/>
                <w:sz w:val="20"/>
                <w:szCs w:val="20"/>
              </w:rPr>
            </w:pPr>
          </w:p>
        </w:tc>
      </w:tr>
      <w:tr w:rsidR="0098031C" w:rsidRPr="00261BD6" w14:paraId="4D0CD1E6" w14:textId="77777777" w:rsidTr="003E6263">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42D8C300" w14:textId="77777777" w:rsidR="0098031C" w:rsidRPr="00261BD6" w:rsidRDefault="0098031C" w:rsidP="001C2CAF">
            <w:pPr>
              <w:spacing w:after="0" w:line="240" w:lineRule="auto"/>
              <w:rPr>
                <w:rFonts w:ascii="Arial" w:hAnsi="Arial" w:cs="Arial"/>
                <w:sz w:val="20"/>
                <w:szCs w:val="20"/>
              </w:rPr>
            </w:pPr>
            <w:r>
              <w:rPr>
                <w:rFonts w:ascii="Arial" w:hAnsi="Arial"/>
                <w:sz w:val="20"/>
              </w:rPr>
              <w:t>A mundet projekti në ndonjë mënyrë tjetër të caktohet si projekt rajonal?</w:t>
            </w:r>
          </w:p>
        </w:tc>
        <w:tc>
          <w:tcPr>
            <w:tcW w:w="340" w:type="pct"/>
            <w:tcBorders>
              <w:top w:val="single" w:sz="4" w:space="0" w:color="auto"/>
              <w:left w:val="single" w:sz="4" w:space="0" w:color="auto"/>
              <w:bottom w:val="single" w:sz="4" w:space="0" w:color="auto"/>
              <w:right w:val="single" w:sz="4" w:space="0" w:color="auto"/>
            </w:tcBorders>
            <w:vAlign w:val="center"/>
          </w:tcPr>
          <w:p w14:paraId="10BDA8C0" w14:textId="77777777" w:rsidR="0098031C" w:rsidRPr="00261BD6" w:rsidRDefault="0098031C" w:rsidP="0040793F">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vAlign w:val="center"/>
          </w:tcPr>
          <w:p w14:paraId="56FF87BE" w14:textId="77777777" w:rsidR="0098031C" w:rsidRPr="00261BD6" w:rsidRDefault="0098031C" w:rsidP="0040793F">
            <w:pP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2407747E" w14:textId="77777777" w:rsidR="0098031C" w:rsidRPr="00261BD6" w:rsidRDefault="0098031C" w:rsidP="0040793F">
            <w:pPr>
              <w:rPr>
                <w:rFonts w:ascii="Arial" w:hAnsi="Arial" w:cs="Arial"/>
                <w:sz w:val="20"/>
                <w:szCs w:val="20"/>
              </w:rPr>
            </w:pPr>
            <w:r>
              <w:rPr>
                <w:rFonts w:ascii="Arial" w:hAnsi="Arial"/>
                <w:sz w:val="20"/>
              </w:rPr>
              <w:t>X</w:t>
            </w:r>
          </w:p>
        </w:tc>
      </w:tr>
    </w:tbl>
    <w:p w14:paraId="1BA74542" w14:textId="77777777" w:rsidR="0008431F" w:rsidRPr="005C128F" w:rsidRDefault="0008431F" w:rsidP="001C2CAF">
      <w:pPr>
        <w:rPr>
          <w:rFonts w:ascii="Arial" w:hAnsi="Arial" w:cs="Arial"/>
          <w:b/>
          <w:sz w:val="20"/>
          <w:szCs w:val="20"/>
        </w:rPr>
      </w:pPr>
    </w:p>
    <w:p w14:paraId="7B18B2CA" w14:textId="4D34782B" w:rsidR="001C2CAF" w:rsidRPr="005C128F" w:rsidRDefault="001B3EE8" w:rsidP="00E00169">
      <w:pPr>
        <w:pStyle w:val="ListParagraph"/>
        <w:numPr>
          <w:ilvl w:val="0"/>
          <w:numId w:val="38"/>
        </w:numPr>
        <w:spacing w:after="120"/>
        <w:rPr>
          <w:rFonts w:cs="Arial"/>
          <w:b/>
          <w:szCs w:val="20"/>
        </w:rPr>
      </w:pPr>
      <w:r>
        <w:rPr>
          <w:b/>
        </w:rPr>
        <w:t>PLANIFIKIMI I SHPENZIMEVE</w:t>
      </w:r>
      <w:bookmarkStart w:id="1" w:name="_GoBack"/>
      <w:bookmarkEnd w:id="1"/>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938"/>
        <w:gridCol w:w="1105"/>
        <w:gridCol w:w="939"/>
        <w:gridCol w:w="1217"/>
        <w:gridCol w:w="1217"/>
        <w:gridCol w:w="1217"/>
        <w:gridCol w:w="1106"/>
        <w:gridCol w:w="940"/>
      </w:tblGrid>
      <w:tr w:rsidR="008403A8" w:rsidRPr="005C128F" w14:paraId="4EAB701C" w14:textId="37CF2C0D" w:rsidTr="00A86F5A">
        <w:trPr>
          <w:jc w:val="center"/>
        </w:trPr>
        <w:tc>
          <w:tcPr>
            <w:tcW w:w="642" w:type="pct"/>
            <w:shd w:val="clear" w:color="auto" w:fill="D9D9D9" w:themeFill="background1" w:themeFillShade="D9"/>
          </w:tcPr>
          <w:p w14:paraId="7D8FE9F6" w14:textId="77777777" w:rsidR="008403A8" w:rsidRPr="005C128F" w:rsidRDefault="008403A8" w:rsidP="001C2CAF">
            <w:pPr>
              <w:spacing w:after="0" w:line="260" w:lineRule="atLeast"/>
              <w:rPr>
                <w:rFonts w:ascii="Arial" w:hAnsi="Arial" w:cs="Arial"/>
                <w:sz w:val="20"/>
                <w:szCs w:val="20"/>
                <w:highlight w:val="lightGray"/>
              </w:rPr>
            </w:pPr>
          </w:p>
        </w:tc>
        <w:tc>
          <w:tcPr>
            <w:tcW w:w="471" w:type="pct"/>
            <w:shd w:val="clear" w:color="auto" w:fill="D9D9D9" w:themeFill="background1" w:themeFillShade="D9"/>
          </w:tcPr>
          <w:p w14:paraId="150F88DE" w14:textId="70552326" w:rsidR="008403A8" w:rsidRPr="005C128F" w:rsidRDefault="008403A8" w:rsidP="001C2CAF">
            <w:pPr>
              <w:spacing w:after="0" w:line="260" w:lineRule="atLeast"/>
              <w:rPr>
                <w:rFonts w:ascii="Arial" w:hAnsi="Arial" w:cs="Arial"/>
                <w:sz w:val="20"/>
                <w:szCs w:val="20"/>
              </w:rPr>
            </w:pPr>
            <w:r>
              <w:rPr>
                <w:rFonts w:ascii="Arial" w:hAnsi="Arial"/>
                <w:sz w:val="20"/>
              </w:rPr>
              <w:t>2023</w:t>
            </w:r>
          </w:p>
        </w:tc>
        <w:tc>
          <w:tcPr>
            <w:tcW w:w="555" w:type="pct"/>
            <w:shd w:val="clear" w:color="auto" w:fill="D9D9D9" w:themeFill="background1" w:themeFillShade="D9"/>
          </w:tcPr>
          <w:p w14:paraId="100261ED" w14:textId="0D324E56" w:rsidR="008403A8" w:rsidRPr="005C128F" w:rsidRDefault="008403A8" w:rsidP="001C2CAF">
            <w:pPr>
              <w:spacing w:after="0" w:line="260" w:lineRule="atLeast"/>
              <w:rPr>
                <w:rFonts w:ascii="Arial" w:hAnsi="Arial" w:cs="Arial"/>
                <w:sz w:val="20"/>
                <w:szCs w:val="20"/>
              </w:rPr>
            </w:pPr>
            <w:r>
              <w:rPr>
                <w:rFonts w:ascii="Arial" w:hAnsi="Arial"/>
                <w:sz w:val="20"/>
              </w:rPr>
              <w:t>2024</w:t>
            </w:r>
          </w:p>
        </w:tc>
        <w:tc>
          <w:tcPr>
            <w:tcW w:w="471" w:type="pct"/>
            <w:shd w:val="clear" w:color="auto" w:fill="D9D9D9" w:themeFill="background1" w:themeFillShade="D9"/>
          </w:tcPr>
          <w:p w14:paraId="46737A31" w14:textId="5DF3F183" w:rsidR="008403A8" w:rsidRPr="005C128F" w:rsidRDefault="008403A8" w:rsidP="001C2CAF">
            <w:pPr>
              <w:spacing w:after="0" w:line="260" w:lineRule="atLeast"/>
              <w:rPr>
                <w:rFonts w:ascii="Arial" w:hAnsi="Arial" w:cs="Arial"/>
                <w:sz w:val="20"/>
                <w:szCs w:val="20"/>
              </w:rPr>
            </w:pPr>
            <w:r>
              <w:rPr>
                <w:rFonts w:ascii="Arial" w:hAnsi="Arial"/>
                <w:sz w:val="20"/>
              </w:rPr>
              <w:t>2025</w:t>
            </w:r>
          </w:p>
        </w:tc>
        <w:tc>
          <w:tcPr>
            <w:tcW w:w="611" w:type="pct"/>
            <w:shd w:val="clear" w:color="auto" w:fill="D9D9D9" w:themeFill="background1" w:themeFillShade="D9"/>
          </w:tcPr>
          <w:p w14:paraId="0AD9A118" w14:textId="4E68D2BB" w:rsidR="008403A8" w:rsidRPr="005C128F" w:rsidRDefault="008403A8" w:rsidP="001C2CAF">
            <w:pPr>
              <w:spacing w:after="0" w:line="260" w:lineRule="atLeast"/>
              <w:rPr>
                <w:rFonts w:ascii="Arial" w:hAnsi="Arial" w:cs="Arial"/>
                <w:sz w:val="20"/>
                <w:szCs w:val="20"/>
              </w:rPr>
            </w:pPr>
            <w:r>
              <w:rPr>
                <w:rFonts w:ascii="Arial" w:hAnsi="Arial"/>
                <w:sz w:val="20"/>
              </w:rPr>
              <w:t>2026</w:t>
            </w:r>
          </w:p>
        </w:tc>
        <w:tc>
          <w:tcPr>
            <w:tcW w:w="611" w:type="pct"/>
            <w:shd w:val="clear" w:color="auto" w:fill="D9D9D9" w:themeFill="background1" w:themeFillShade="D9"/>
          </w:tcPr>
          <w:p w14:paraId="5A05D9AD" w14:textId="29C53601" w:rsidR="008403A8" w:rsidRPr="005C128F" w:rsidRDefault="008403A8" w:rsidP="001C2CAF">
            <w:pPr>
              <w:spacing w:after="0" w:line="260" w:lineRule="atLeast"/>
              <w:rPr>
                <w:rFonts w:ascii="Arial" w:hAnsi="Arial" w:cs="Arial"/>
                <w:sz w:val="20"/>
                <w:szCs w:val="20"/>
              </w:rPr>
            </w:pPr>
            <w:r>
              <w:rPr>
                <w:rFonts w:ascii="Arial" w:hAnsi="Arial"/>
                <w:sz w:val="20"/>
              </w:rPr>
              <w:t>2027</w:t>
            </w:r>
          </w:p>
        </w:tc>
        <w:tc>
          <w:tcPr>
            <w:tcW w:w="611" w:type="pct"/>
            <w:shd w:val="clear" w:color="auto" w:fill="D9D9D9" w:themeFill="background1" w:themeFillShade="D9"/>
          </w:tcPr>
          <w:p w14:paraId="2D7CB863" w14:textId="0658BE0E" w:rsidR="008403A8" w:rsidRPr="005C128F" w:rsidRDefault="008403A8" w:rsidP="001C2CAF">
            <w:pPr>
              <w:spacing w:after="0" w:line="260" w:lineRule="atLeast"/>
              <w:rPr>
                <w:rFonts w:ascii="Arial" w:hAnsi="Arial" w:cs="Arial"/>
                <w:sz w:val="20"/>
                <w:szCs w:val="20"/>
              </w:rPr>
            </w:pPr>
            <w:r>
              <w:rPr>
                <w:rFonts w:ascii="Arial" w:hAnsi="Arial"/>
                <w:sz w:val="20"/>
              </w:rPr>
              <w:t>2028</w:t>
            </w:r>
          </w:p>
        </w:tc>
        <w:tc>
          <w:tcPr>
            <w:tcW w:w="555" w:type="pct"/>
            <w:shd w:val="clear" w:color="auto" w:fill="D9D9D9" w:themeFill="background1" w:themeFillShade="D9"/>
          </w:tcPr>
          <w:p w14:paraId="24BA6F14" w14:textId="660DD557" w:rsidR="008403A8" w:rsidRPr="005C128F" w:rsidRDefault="008403A8" w:rsidP="001C2CAF">
            <w:pPr>
              <w:spacing w:after="0" w:line="260" w:lineRule="atLeast"/>
              <w:rPr>
                <w:rFonts w:ascii="Arial" w:hAnsi="Arial" w:cs="Arial"/>
                <w:sz w:val="20"/>
                <w:szCs w:val="20"/>
              </w:rPr>
            </w:pPr>
            <w:r>
              <w:rPr>
                <w:rFonts w:ascii="Arial" w:hAnsi="Arial"/>
                <w:sz w:val="20"/>
              </w:rPr>
              <w:t>2029</w:t>
            </w:r>
          </w:p>
        </w:tc>
        <w:tc>
          <w:tcPr>
            <w:tcW w:w="472" w:type="pct"/>
            <w:shd w:val="clear" w:color="auto" w:fill="D9D9D9" w:themeFill="background1" w:themeFillShade="D9"/>
          </w:tcPr>
          <w:p w14:paraId="21D9B53B" w14:textId="12456230" w:rsidR="008403A8" w:rsidRPr="005C128F" w:rsidRDefault="008403A8" w:rsidP="001C2CAF">
            <w:pPr>
              <w:spacing w:after="0" w:line="260" w:lineRule="atLeast"/>
              <w:rPr>
                <w:rFonts w:ascii="Arial" w:hAnsi="Arial" w:cs="Arial"/>
                <w:sz w:val="20"/>
                <w:szCs w:val="20"/>
              </w:rPr>
            </w:pPr>
            <w:r>
              <w:rPr>
                <w:rFonts w:ascii="Arial" w:hAnsi="Arial"/>
                <w:sz w:val="20"/>
              </w:rPr>
              <w:t>2030</w:t>
            </w:r>
          </w:p>
        </w:tc>
      </w:tr>
      <w:tr w:rsidR="008403A8" w:rsidRPr="005C128F" w14:paraId="51949B3D" w14:textId="380A6F5A" w:rsidTr="00A86F5A">
        <w:trPr>
          <w:trHeight w:hRule="exact" w:val="910"/>
          <w:jc w:val="center"/>
        </w:trPr>
        <w:tc>
          <w:tcPr>
            <w:tcW w:w="642" w:type="pct"/>
            <w:shd w:val="clear" w:color="auto" w:fill="D9D9D9" w:themeFill="background1" w:themeFillShade="D9"/>
          </w:tcPr>
          <w:p w14:paraId="21F8B798" w14:textId="77777777" w:rsidR="008403A8" w:rsidRPr="005C128F" w:rsidRDefault="008403A8" w:rsidP="00B263A7">
            <w:pPr>
              <w:spacing w:after="0" w:line="260" w:lineRule="atLeast"/>
              <w:rPr>
                <w:rFonts w:ascii="Arial" w:hAnsi="Arial" w:cs="Arial"/>
                <w:b/>
                <w:sz w:val="20"/>
                <w:szCs w:val="20"/>
              </w:rPr>
            </w:pPr>
            <w:r>
              <w:rPr>
                <w:rFonts w:ascii="Arial" w:hAnsi="Arial"/>
                <w:b/>
                <w:sz w:val="20"/>
              </w:rPr>
              <w:t>Kostot (në euro) të:</w:t>
            </w:r>
          </w:p>
        </w:tc>
        <w:tc>
          <w:tcPr>
            <w:tcW w:w="471" w:type="pct"/>
            <w:shd w:val="clear" w:color="auto" w:fill="BDD6EE" w:themeFill="accent1" w:themeFillTint="66"/>
            <w:vAlign w:val="center"/>
          </w:tcPr>
          <w:p w14:paraId="5DA7F864" w14:textId="09DE4AF7" w:rsidR="008403A8" w:rsidRPr="00A86F5A" w:rsidRDefault="008403A8" w:rsidP="00B263A7">
            <w:pPr>
              <w:spacing w:line="260" w:lineRule="atLeast"/>
              <w:rPr>
                <w:rFonts w:ascii="Arial" w:hAnsi="Arial" w:cs="Arial"/>
                <w:b/>
                <w:sz w:val="20"/>
                <w:szCs w:val="20"/>
              </w:rPr>
            </w:pPr>
            <w:r>
              <w:rPr>
                <w:rFonts w:ascii="Arial" w:hAnsi="Arial"/>
                <w:b/>
                <w:color w:val="000000"/>
                <w:sz w:val="20"/>
              </w:rPr>
              <w:t xml:space="preserve"> - </w:t>
            </w:r>
          </w:p>
        </w:tc>
        <w:tc>
          <w:tcPr>
            <w:tcW w:w="555" w:type="pct"/>
            <w:shd w:val="clear" w:color="auto" w:fill="BDD6EE" w:themeFill="accent1" w:themeFillTint="66"/>
            <w:vAlign w:val="center"/>
          </w:tcPr>
          <w:p w14:paraId="0FF0FAAF" w14:textId="5AC7E7FB" w:rsidR="008403A8" w:rsidRPr="00A86F5A" w:rsidRDefault="00F15DE0" w:rsidP="00B263A7">
            <w:pPr>
              <w:spacing w:line="260" w:lineRule="atLeast"/>
              <w:rPr>
                <w:rFonts w:ascii="Arial" w:hAnsi="Arial" w:cs="Arial"/>
                <w:b/>
                <w:sz w:val="20"/>
                <w:szCs w:val="20"/>
              </w:rPr>
            </w:pPr>
            <w:r>
              <w:rPr>
                <w:rFonts w:ascii="Arial" w:hAnsi="Arial"/>
                <w:b/>
                <w:color w:val="000000"/>
                <w:sz w:val="20"/>
              </w:rPr>
              <w:t xml:space="preserve">       500,000 </w:t>
            </w:r>
          </w:p>
        </w:tc>
        <w:tc>
          <w:tcPr>
            <w:tcW w:w="471" w:type="pct"/>
            <w:shd w:val="clear" w:color="auto" w:fill="BDD6EE" w:themeFill="accent1" w:themeFillTint="66"/>
            <w:vAlign w:val="center"/>
          </w:tcPr>
          <w:p w14:paraId="2ACDC3B2" w14:textId="52891FBE" w:rsidR="008403A8" w:rsidRPr="00A86F5A" w:rsidRDefault="008403A8" w:rsidP="00B263A7">
            <w:pPr>
              <w:spacing w:line="260" w:lineRule="atLeast"/>
              <w:rPr>
                <w:rFonts w:ascii="Arial" w:hAnsi="Arial" w:cs="Arial"/>
                <w:b/>
                <w:sz w:val="20"/>
                <w:szCs w:val="20"/>
              </w:rPr>
            </w:pPr>
            <w:r>
              <w:rPr>
                <w:rFonts w:ascii="Arial" w:hAnsi="Arial"/>
                <w:b/>
                <w:color w:val="000000"/>
                <w:sz w:val="20"/>
              </w:rPr>
              <w:t xml:space="preserve">  500,000 </w:t>
            </w:r>
          </w:p>
        </w:tc>
        <w:tc>
          <w:tcPr>
            <w:tcW w:w="611" w:type="pct"/>
            <w:shd w:val="clear" w:color="auto" w:fill="BDD6EE" w:themeFill="accent1" w:themeFillTint="66"/>
            <w:vAlign w:val="center"/>
          </w:tcPr>
          <w:p w14:paraId="582CCC4D" w14:textId="209A32BF" w:rsidR="008403A8" w:rsidRPr="00A86F5A" w:rsidRDefault="000B2E0C" w:rsidP="00B263A7">
            <w:pPr>
              <w:spacing w:after="0" w:line="260" w:lineRule="atLeast"/>
              <w:rPr>
                <w:rFonts w:ascii="Arial" w:hAnsi="Arial" w:cs="Arial"/>
                <w:b/>
                <w:sz w:val="20"/>
                <w:szCs w:val="20"/>
              </w:rPr>
            </w:pPr>
            <w:r>
              <w:rPr>
                <w:rFonts w:ascii="Arial" w:hAnsi="Arial"/>
                <w:b/>
                <w:color w:val="000000"/>
                <w:sz w:val="20"/>
              </w:rPr>
              <w:t xml:space="preserve">1,000,000 </w:t>
            </w:r>
          </w:p>
        </w:tc>
        <w:tc>
          <w:tcPr>
            <w:tcW w:w="611" w:type="pct"/>
            <w:shd w:val="clear" w:color="auto" w:fill="BDD6EE" w:themeFill="accent1" w:themeFillTint="66"/>
            <w:vAlign w:val="center"/>
          </w:tcPr>
          <w:p w14:paraId="49A68B6D" w14:textId="7D41E5B3" w:rsidR="008403A8" w:rsidRPr="00A86F5A" w:rsidRDefault="000B2E0C" w:rsidP="00B263A7">
            <w:pPr>
              <w:spacing w:after="0" w:line="260" w:lineRule="atLeast"/>
              <w:rPr>
                <w:rFonts w:ascii="Arial" w:hAnsi="Arial" w:cs="Arial"/>
                <w:b/>
                <w:sz w:val="20"/>
                <w:szCs w:val="20"/>
              </w:rPr>
            </w:pPr>
            <w:r>
              <w:rPr>
                <w:rFonts w:ascii="Arial" w:hAnsi="Arial"/>
                <w:b/>
                <w:color w:val="000000"/>
                <w:sz w:val="20"/>
              </w:rPr>
              <w:t xml:space="preserve">50,000,000 </w:t>
            </w:r>
          </w:p>
        </w:tc>
        <w:tc>
          <w:tcPr>
            <w:tcW w:w="611" w:type="pct"/>
            <w:shd w:val="clear" w:color="auto" w:fill="BDD6EE" w:themeFill="accent1" w:themeFillTint="66"/>
            <w:vAlign w:val="center"/>
          </w:tcPr>
          <w:p w14:paraId="153FAC31" w14:textId="3D118D25" w:rsidR="008403A8" w:rsidRPr="00A86F5A" w:rsidRDefault="008403A8" w:rsidP="00B263A7">
            <w:pPr>
              <w:spacing w:after="0" w:line="260" w:lineRule="atLeast"/>
              <w:rPr>
                <w:rFonts w:ascii="Arial" w:hAnsi="Arial" w:cs="Arial"/>
                <w:b/>
                <w:sz w:val="20"/>
                <w:szCs w:val="20"/>
              </w:rPr>
            </w:pPr>
            <w:r>
              <w:rPr>
                <w:rFonts w:ascii="Arial" w:hAnsi="Arial"/>
                <w:b/>
                <w:color w:val="000000"/>
                <w:sz w:val="20"/>
              </w:rPr>
              <w:t xml:space="preserve">45,000,000 </w:t>
            </w:r>
          </w:p>
        </w:tc>
        <w:tc>
          <w:tcPr>
            <w:tcW w:w="555" w:type="pct"/>
            <w:shd w:val="clear" w:color="auto" w:fill="BDD6EE" w:themeFill="accent1" w:themeFillTint="66"/>
            <w:vAlign w:val="center"/>
          </w:tcPr>
          <w:p w14:paraId="46BD943D" w14:textId="45C7ABC9" w:rsidR="008403A8" w:rsidRPr="00A86F5A" w:rsidRDefault="008403A8" w:rsidP="00B263A7">
            <w:pPr>
              <w:spacing w:after="0" w:line="260" w:lineRule="atLeast"/>
              <w:rPr>
                <w:rFonts w:ascii="Arial" w:hAnsi="Arial" w:cs="Arial"/>
                <w:b/>
                <w:sz w:val="20"/>
                <w:szCs w:val="20"/>
              </w:rPr>
            </w:pPr>
            <w:r>
              <w:rPr>
                <w:rFonts w:ascii="Arial" w:hAnsi="Arial"/>
                <w:b/>
                <w:color w:val="000000"/>
                <w:sz w:val="20"/>
              </w:rPr>
              <w:t xml:space="preserve">2,800,000 </w:t>
            </w:r>
          </w:p>
        </w:tc>
        <w:tc>
          <w:tcPr>
            <w:tcW w:w="472" w:type="pct"/>
            <w:shd w:val="clear" w:color="auto" w:fill="BDD6EE" w:themeFill="accent1" w:themeFillTint="66"/>
            <w:vAlign w:val="center"/>
          </w:tcPr>
          <w:p w14:paraId="035E9E26" w14:textId="241C7365" w:rsidR="008403A8" w:rsidRPr="00A86F5A" w:rsidRDefault="000B2E0C" w:rsidP="00B263A7">
            <w:pPr>
              <w:spacing w:after="0" w:line="260" w:lineRule="atLeast"/>
              <w:rPr>
                <w:rFonts w:ascii="Arial" w:hAnsi="Arial" w:cs="Arial"/>
                <w:b/>
                <w:color w:val="000000"/>
                <w:sz w:val="20"/>
                <w:szCs w:val="20"/>
              </w:rPr>
            </w:pPr>
            <w:r>
              <w:rPr>
                <w:rFonts w:ascii="Arial" w:hAnsi="Arial"/>
                <w:b/>
                <w:color w:val="000000"/>
                <w:sz w:val="20"/>
              </w:rPr>
              <w:t xml:space="preserve">200,000 </w:t>
            </w:r>
          </w:p>
        </w:tc>
      </w:tr>
      <w:tr w:rsidR="008403A8" w:rsidRPr="005C128F" w14:paraId="098FF061" w14:textId="5FE5D219" w:rsidTr="000B2E0C">
        <w:trPr>
          <w:trHeight w:val="683"/>
          <w:jc w:val="center"/>
        </w:trPr>
        <w:tc>
          <w:tcPr>
            <w:tcW w:w="642" w:type="pct"/>
            <w:shd w:val="clear" w:color="auto" w:fill="D9D9D9" w:themeFill="background1" w:themeFillShade="D9"/>
          </w:tcPr>
          <w:p w14:paraId="4D146055" w14:textId="77777777" w:rsidR="008403A8" w:rsidRPr="005C128F" w:rsidRDefault="008403A8" w:rsidP="00B263A7">
            <w:pPr>
              <w:spacing w:after="0" w:line="260" w:lineRule="atLeast"/>
              <w:rPr>
                <w:rFonts w:ascii="Arial" w:hAnsi="Arial" w:cs="Arial"/>
                <w:sz w:val="20"/>
                <w:szCs w:val="20"/>
              </w:rPr>
            </w:pPr>
            <w:r>
              <w:rPr>
                <w:rFonts w:ascii="Arial" w:hAnsi="Arial"/>
                <w:sz w:val="20"/>
              </w:rPr>
              <w:t>Përgatitja e projektit (TA)</w:t>
            </w:r>
          </w:p>
        </w:tc>
        <w:tc>
          <w:tcPr>
            <w:tcW w:w="471" w:type="pct"/>
            <w:shd w:val="clear" w:color="auto" w:fill="auto"/>
            <w:vAlign w:val="center"/>
          </w:tcPr>
          <w:p w14:paraId="21C0694F" w14:textId="6FDCF366" w:rsidR="008403A8" w:rsidRPr="005C128F" w:rsidRDefault="005615F5" w:rsidP="00B263A7">
            <w:pPr>
              <w:spacing w:line="260" w:lineRule="atLeast"/>
              <w:rPr>
                <w:rFonts w:ascii="Arial" w:hAnsi="Arial" w:cs="Arial"/>
                <w:sz w:val="20"/>
                <w:szCs w:val="20"/>
              </w:rPr>
            </w:pPr>
            <w:r>
              <w:rPr>
                <w:rFonts w:ascii="Arial" w:hAnsi="Arial"/>
                <w:color w:val="000000"/>
                <w:sz w:val="20"/>
              </w:rPr>
              <w:t xml:space="preserve">- </w:t>
            </w:r>
          </w:p>
        </w:tc>
        <w:tc>
          <w:tcPr>
            <w:tcW w:w="555" w:type="pct"/>
            <w:shd w:val="clear" w:color="auto" w:fill="auto"/>
            <w:vAlign w:val="center"/>
          </w:tcPr>
          <w:p w14:paraId="6D94B9AA" w14:textId="42263F1E" w:rsidR="008403A8" w:rsidRPr="000B2E0C" w:rsidRDefault="000B2E0C" w:rsidP="00F15DE0">
            <w:pPr>
              <w:spacing w:line="260" w:lineRule="atLeast"/>
              <w:rPr>
                <w:rFonts w:ascii="Arial" w:hAnsi="Arial" w:cs="Arial"/>
                <w:color w:val="000000"/>
                <w:sz w:val="20"/>
                <w:szCs w:val="20"/>
              </w:rPr>
            </w:pPr>
            <w:r>
              <w:rPr>
                <w:rFonts w:ascii="Arial" w:hAnsi="Arial"/>
                <w:color w:val="000000"/>
                <w:sz w:val="20"/>
              </w:rPr>
              <w:t xml:space="preserve">500,000 </w:t>
            </w:r>
          </w:p>
        </w:tc>
        <w:tc>
          <w:tcPr>
            <w:tcW w:w="471" w:type="pct"/>
            <w:shd w:val="clear" w:color="auto" w:fill="auto"/>
            <w:vAlign w:val="center"/>
          </w:tcPr>
          <w:p w14:paraId="7DA390E9" w14:textId="377A006B" w:rsidR="008403A8" w:rsidRPr="000B2E0C" w:rsidRDefault="008403A8" w:rsidP="00B263A7">
            <w:pPr>
              <w:spacing w:line="260" w:lineRule="atLeast"/>
              <w:rPr>
                <w:rFonts w:ascii="Arial" w:hAnsi="Arial" w:cs="Arial"/>
                <w:color w:val="000000"/>
                <w:sz w:val="20"/>
                <w:szCs w:val="20"/>
              </w:rPr>
            </w:pPr>
            <w:r>
              <w:rPr>
                <w:rFonts w:ascii="Arial" w:hAnsi="Arial"/>
                <w:color w:val="000000"/>
                <w:sz w:val="20"/>
              </w:rPr>
              <w:t xml:space="preserve">500,000 </w:t>
            </w:r>
          </w:p>
        </w:tc>
        <w:tc>
          <w:tcPr>
            <w:tcW w:w="611" w:type="pct"/>
            <w:shd w:val="clear" w:color="auto" w:fill="auto"/>
            <w:vAlign w:val="center"/>
          </w:tcPr>
          <w:p w14:paraId="6EC86BAE" w14:textId="518E2D6D" w:rsidR="008403A8" w:rsidRPr="000B2E0C" w:rsidRDefault="000B2E0C" w:rsidP="000B2E0C">
            <w:pPr>
              <w:spacing w:line="260" w:lineRule="atLeast"/>
              <w:rPr>
                <w:rFonts w:ascii="Arial" w:hAnsi="Arial" w:cs="Arial"/>
                <w:color w:val="000000"/>
                <w:sz w:val="20"/>
                <w:szCs w:val="20"/>
              </w:rPr>
            </w:pPr>
            <w:r>
              <w:rPr>
                <w:rFonts w:ascii="Arial" w:hAnsi="Arial"/>
                <w:color w:val="000000"/>
                <w:sz w:val="20"/>
              </w:rPr>
              <w:t>1,000,000</w:t>
            </w:r>
          </w:p>
        </w:tc>
        <w:tc>
          <w:tcPr>
            <w:tcW w:w="611" w:type="pct"/>
            <w:shd w:val="clear" w:color="auto" w:fill="auto"/>
            <w:vAlign w:val="bottom"/>
          </w:tcPr>
          <w:p w14:paraId="19D7E8C0" w14:textId="7380D993" w:rsidR="008403A8" w:rsidRPr="000B2E0C" w:rsidRDefault="008403A8" w:rsidP="00A86F5A">
            <w:pPr>
              <w:spacing w:after="0" w:line="260" w:lineRule="atLeast"/>
              <w:jc w:val="center"/>
              <w:rPr>
                <w:rFonts w:ascii="Arial" w:hAnsi="Arial" w:cs="Arial"/>
                <w:color w:val="000000"/>
                <w:sz w:val="20"/>
                <w:szCs w:val="20"/>
              </w:rPr>
            </w:pPr>
          </w:p>
        </w:tc>
        <w:tc>
          <w:tcPr>
            <w:tcW w:w="611" w:type="pct"/>
            <w:shd w:val="clear" w:color="auto" w:fill="auto"/>
            <w:vAlign w:val="center"/>
          </w:tcPr>
          <w:p w14:paraId="0B08CF04" w14:textId="12AF352B" w:rsidR="008403A8" w:rsidRPr="000B2E0C" w:rsidRDefault="008403A8" w:rsidP="00B263A7">
            <w:pPr>
              <w:spacing w:after="0" w:line="260" w:lineRule="atLeast"/>
              <w:rPr>
                <w:rFonts w:ascii="Arial" w:hAnsi="Arial" w:cs="Arial"/>
                <w:color w:val="000000"/>
                <w:sz w:val="20"/>
                <w:szCs w:val="20"/>
              </w:rPr>
            </w:pPr>
            <w:r>
              <w:rPr>
                <w:rFonts w:ascii="Arial" w:hAnsi="Arial"/>
                <w:color w:val="000000"/>
                <w:sz w:val="20"/>
              </w:rPr>
              <w:t> </w:t>
            </w:r>
          </w:p>
        </w:tc>
        <w:tc>
          <w:tcPr>
            <w:tcW w:w="555" w:type="pct"/>
            <w:shd w:val="clear" w:color="auto" w:fill="auto"/>
            <w:vAlign w:val="center"/>
          </w:tcPr>
          <w:p w14:paraId="6BFA87F2" w14:textId="5A820FC0" w:rsidR="008403A8" w:rsidRPr="000B2E0C" w:rsidRDefault="008403A8" w:rsidP="00B263A7">
            <w:pPr>
              <w:spacing w:after="0" w:line="260" w:lineRule="atLeast"/>
              <w:rPr>
                <w:rFonts w:ascii="Arial" w:hAnsi="Arial" w:cs="Arial"/>
                <w:color w:val="000000"/>
                <w:sz w:val="20"/>
                <w:szCs w:val="20"/>
              </w:rPr>
            </w:pPr>
            <w:r>
              <w:rPr>
                <w:rFonts w:ascii="Arial" w:hAnsi="Arial"/>
                <w:color w:val="000000"/>
                <w:sz w:val="20"/>
              </w:rPr>
              <w:t> </w:t>
            </w:r>
          </w:p>
        </w:tc>
        <w:tc>
          <w:tcPr>
            <w:tcW w:w="472" w:type="pct"/>
            <w:vAlign w:val="bottom"/>
          </w:tcPr>
          <w:p w14:paraId="0EB9EF10" w14:textId="77777777" w:rsidR="008403A8" w:rsidRDefault="008403A8" w:rsidP="00B263A7">
            <w:pPr>
              <w:spacing w:after="0" w:line="260" w:lineRule="atLeast"/>
              <w:rPr>
                <w:rFonts w:ascii="Arial" w:hAnsi="Arial" w:cs="Arial"/>
                <w:color w:val="000000"/>
                <w:sz w:val="20"/>
                <w:szCs w:val="20"/>
              </w:rPr>
            </w:pPr>
          </w:p>
        </w:tc>
      </w:tr>
      <w:tr w:rsidR="008403A8" w:rsidRPr="005C128F" w14:paraId="44B274BA" w14:textId="0E14F475" w:rsidTr="00A86F5A">
        <w:trPr>
          <w:jc w:val="center"/>
        </w:trPr>
        <w:tc>
          <w:tcPr>
            <w:tcW w:w="642" w:type="pct"/>
            <w:shd w:val="clear" w:color="auto" w:fill="D9D9D9" w:themeFill="background1" w:themeFillShade="D9"/>
          </w:tcPr>
          <w:p w14:paraId="72057388" w14:textId="77777777" w:rsidR="008403A8" w:rsidRPr="005C128F" w:rsidRDefault="008403A8" w:rsidP="00B263A7">
            <w:pPr>
              <w:spacing w:after="0" w:line="260" w:lineRule="atLeast"/>
              <w:rPr>
                <w:rFonts w:ascii="Arial" w:hAnsi="Arial" w:cs="Arial"/>
                <w:sz w:val="20"/>
                <w:szCs w:val="20"/>
              </w:rPr>
            </w:pPr>
            <w:r>
              <w:rPr>
                <w:rFonts w:ascii="Arial" w:hAnsi="Arial"/>
                <w:sz w:val="20"/>
              </w:rPr>
              <w:t xml:space="preserve">Investimi </w:t>
            </w:r>
          </w:p>
        </w:tc>
        <w:tc>
          <w:tcPr>
            <w:tcW w:w="471" w:type="pct"/>
            <w:shd w:val="clear" w:color="auto" w:fill="auto"/>
            <w:vAlign w:val="center"/>
          </w:tcPr>
          <w:p w14:paraId="562E0E62" w14:textId="7015199B" w:rsidR="008403A8" w:rsidRPr="005C128F" w:rsidRDefault="008403A8" w:rsidP="00B263A7">
            <w:pPr>
              <w:spacing w:line="260" w:lineRule="atLeast"/>
              <w:rPr>
                <w:rFonts w:ascii="Arial" w:hAnsi="Arial" w:cs="Arial"/>
                <w:sz w:val="20"/>
                <w:szCs w:val="20"/>
              </w:rPr>
            </w:pPr>
            <w:r>
              <w:rPr>
                <w:rFonts w:ascii="Arial" w:hAnsi="Arial"/>
                <w:color w:val="000000"/>
                <w:sz w:val="20"/>
              </w:rPr>
              <w:t> </w:t>
            </w:r>
          </w:p>
        </w:tc>
        <w:tc>
          <w:tcPr>
            <w:tcW w:w="555" w:type="pct"/>
            <w:shd w:val="clear" w:color="auto" w:fill="auto"/>
            <w:vAlign w:val="center"/>
          </w:tcPr>
          <w:p w14:paraId="3FEAA7AF" w14:textId="12D42760" w:rsidR="008403A8" w:rsidRPr="005C128F" w:rsidRDefault="008403A8" w:rsidP="00B263A7">
            <w:pPr>
              <w:spacing w:line="260" w:lineRule="atLeast"/>
              <w:rPr>
                <w:rFonts w:ascii="Arial" w:hAnsi="Arial" w:cs="Arial"/>
                <w:sz w:val="20"/>
                <w:szCs w:val="20"/>
              </w:rPr>
            </w:pPr>
            <w:r>
              <w:rPr>
                <w:rFonts w:ascii="Arial" w:hAnsi="Arial"/>
                <w:color w:val="000000"/>
                <w:sz w:val="20"/>
              </w:rPr>
              <w:t> </w:t>
            </w:r>
          </w:p>
        </w:tc>
        <w:tc>
          <w:tcPr>
            <w:tcW w:w="471" w:type="pct"/>
            <w:shd w:val="clear" w:color="auto" w:fill="auto"/>
            <w:vAlign w:val="center"/>
          </w:tcPr>
          <w:p w14:paraId="282FB580" w14:textId="7BC0E94B" w:rsidR="008403A8" w:rsidRPr="005C128F" w:rsidRDefault="008403A8" w:rsidP="00B263A7">
            <w:pPr>
              <w:spacing w:line="260" w:lineRule="atLeast"/>
              <w:rPr>
                <w:rFonts w:ascii="Arial" w:hAnsi="Arial" w:cs="Arial"/>
                <w:sz w:val="20"/>
                <w:szCs w:val="20"/>
              </w:rPr>
            </w:pPr>
            <w:r>
              <w:rPr>
                <w:rFonts w:ascii="Arial" w:hAnsi="Arial"/>
                <w:color w:val="000000"/>
                <w:sz w:val="20"/>
              </w:rPr>
              <w:t> </w:t>
            </w:r>
          </w:p>
        </w:tc>
        <w:tc>
          <w:tcPr>
            <w:tcW w:w="611" w:type="pct"/>
            <w:shd w:val="clear" w:color="auto" w:fill="auto"/>
            <w:vAlign w:val="center"/>
          </w:tcPr>
          <w:p w14:paraId="0340171E" w14:textId="7283B810" w:rsidR="008403A8" w:rsidRPr="005C128F" w:rsidRDefault="008403A8" w:rsidP="00B263A7">
            <w:pPr>
              <w:spacing w:after="0" w:line="260" w:lineRule="atLeast"/>
              <w:rPr>
                <w:rFonts w:ascii="Arial" w:hAnsi="Arial" w:cs="Arial"/>
                <w:sz w:val="20"/>
                <w:szCs w:val="20"/>
              </w:rPr>
            </w:pPr>
          </w:p>
        </w:tc>
        <w:tc>
          <w:tcPr>
            <w:tcW w:w="611" w:type="pct"/>
            <w:shd w:val="clear" w:color="auto" w:fill="auto"/>
            <w:vAlign w:val="center"/>
          </w:tcPr>
          <w:p w14:paraId="4CC37B8A" w14:textId="601E193B" w:rsidR="008403A8" w:rsidRPr="005C128F" w:rsidRDefault="000B2E0C" w:rsidP="00B263A7">
            <w:pPr>
              <w:spacing w:after="0" w:line="260" w:lineRule="atLeast"/>
              <w:rPr>
                <w:rFonts w:ascii="Arial" w:hAnsi="Arial" w:cs="Arial"/>
                <w:sz w:val="20"/>
                <w:szCs w:val="20"/>
              </w:rPr>
            </w:pPr>
            <w:r>
              <w:rPr>
                <w:rFonts w:ascii="Arial" w:hAnsi="Arial"/>
                <w:color w:val="000000"/>
                <w:sz w:val="20"/>
              </w:rPr>
              <w:t xml:space="preserve">50,000,000 </w:t>
            </w:r>
          </w:p>
        </w:tc>
        <w:tc>
          <w:tcPr>
            <w:tcW w:w="611" w:type="pct"/>
            <w:shd w:val="clear" w:color="auto" w:fill="auto"/>
            <w:vAlign w:val="center"/>
          </w:tcPr>
          <w:p w14:paraId="02674C55" w14:textId="06180645" w:rsidR="008403A8" w:rsidRPr="005C128F" w:rsidRDefault="008403A8" w:rsidP="00B263A7">
            <w:pPr>
              <w:spacing w:after="0" w:line="260" w:lineRule="atLeast"/>
              <w:rPr>
                <w:rFonts w:ascii="Arial" w:hAnsi="Arial" w:cs="Arial"/>
                <w:sz w:val="20"/>
                <w:szCs w:val="20"/>
              </w:rPr>
            </w:pPr>
            <w:r>
              <w:rPr>
                <w:rFonts w:ascii="Arial" w:hAnsi="Arial"/>
                <w:color w:val="000000"/>
                <w:sz w:val="20"/>
              </w:rPr>
              <w:t xml:space="preserve">45,000,000 </w:t>
            </w:r>
          </w:p>
        </w:tc>
        <w:tc>
          <w:tcPr>
            <w:tcW w:w="555" w:type="pct"/>
            <w:shd w:val="clear" w:color="auto" w:fill="auto"/>
            <w:vAlign w:val="center"/>
          </w:tcPr>
          <w:p w14:paraId="4FE81246" w14:textId="5FD660AE" w:rsidR="008403A8" w:rsidRPr="005C128F" w:rsidRDefault="008403A8" w:rsidP="00B263A7">
            <w:pPr>
              <w:spacing w:after="0" w:line="260" w:lineRule="atLeast"/>
              <w:rPr>
                <w:rFonts w:ascii="Arial" w:hAnsi="Arial" w:cs="Arial"/>
                <w:sz w:val="20"/>
                <w:szCs w:val="20"/>
              </w:rPr>
            </w:pPr>
            <w:r>
              <w:rPr>
                <w:rFonts w:ascii="Arial" w:hAnsi="Arial"/>
                <w:color w:val="000000"/>
                <w:sz w:val="20"/>
              </w:rPr>
              <w:t xml:space="preserve">2,800,000 </w:t>
            </w:r>
          </w:p>
        </w:tc>
        <w:tc>
          <w:tcPr>
            <w:tcW w:w="472" w:type="pct"/>
            <w:vAlign w:val="bottom"/>
          </w:tcPr>
          <w:p w14:paraId="54F2F675" w14:textId="5028A109" w:rsidR="008403A8" w:rsidRDefault="000B2E0C" w:rsidP="00F15DE0">
            <w:pPr>
              <w:spacing w:after="0" w:line="360" w:lineRule="auto"/>
              <w:rPr>
                <w:rFonts w:ascii="Arial" w:hAnsi="Arial" w:cs="Arial"/>
                <w:color w:val="000000"/>
                <w:sz w:val="20"/>
                <w:szCs w:val="20"/>
              </w:rPr>
            </w:pPr>
            <w:r>
              <w:rPr>
                <w:rFonts w:ascii="Arial" w:hAnsi="Arial"/>
                <w:color w:val="000000"/>
                <w:sz w:val="20"/>
              </w:rPr>
              <w:t>200,000</w:t>
            </w:r>
          </w:p>
        </w:tc>
      </w:tr>
    </w:tbl>
    <w:p w14:paraId="0D34CCDB" w14:textId="1255D0DB" w:rsidR="006F1611" w:rsidRPr="005C128F" w:rsidRDefault="00B263A7" w:rsidP="00B263A7">
      <w:pPr>
        <w:tabs>
          <w:tab w:val="left" w:pos="2256"/>
        </w:tabs>
        <w:spacing w:after="0" w:line="240" w:lineRule="auto"/>
        <w:rPr>
          <w:rFonts w:ascii="Arial" w:hAnsi="Arial" w:cs="Arial"/>
          <w:sz w:val="20"/>
          <w:szCs w:val="20"/>
        </w:rPr>
      </w:pPr>
      <w:r>
        <w:rPr>
          <w:rFonts w:ascii="Arial" w:hAnsi="Arial"/>
          <w:sz w:val="20"/>
        </w:rPr>
        <w:tab/>
      </w:r>
    </w:p>
    <w:p w14:paraId="3DA39366" w14:textId="77777777" w:rsidR="00667E55" w:rsidRPr="005C128F" w:rsidRDefault="00667E55">
      <w:pPr>
        <w:spacing w:after="0" w:line="240" w:lineRule="auto"/>
        <w:rPr>
          <w:rFonts w:ascii="Arial" w:hAnsi="Arial" w:cs="Arial"/>
          <w:sz w:val="20"/>
          <w:szCs w:val="20"/>
        </w:rPr>
      </w:pPr>
    </w:p>
    <w:p w14:paraId="475A7F7B" w14:textId="77777777" w:rsidR="0083451C" w:rsidRPr="005C128F" w:rsidRDefault="0083451C">
      <w:pPr>
        <w:spacing w:after="0" w:line="240" w:lineRule="auto"/>
        <w:rPr>
          <w:rFonts w:ascii="Arial" w:hAnsi="Arial" w:cs="Arial"/>
          <w:sz w:val="20"/>
          <w:szCs w:val="20"/>
        </w:rPr>
      </w:pPr>
    </w:p>
    <w:p w14:paraId="1138835A" w14:textId="77777777" w:rsidR="00266546" w:rsidRPr="005C128F" w:rsidRDefault="00266546" w:rsidP="009B70F5">
      <w:pPr>
        <w:rPr>
          <w:rFonts w:ascii="Arial" w:hAnsi="Arial" w:cs="Arial"/>
          <w:sz w:val="20"/>
          <w:szCs w:val="20"/>
        </w:rPr>
      </w:pPr>
    </w:p>
    <w:sectPr w:rsidR="00266546" w:rsidRPr="005C128F" w:rsidSect="00FC644F">
      <w:headerReference w:type="even" r:id="rId11"/>
      <w:headerReference w:type="default" r:id="rId12"/>
      <w:footerReference w:type="even" r:id="rId13"/>
      <w:footerReference w:type="default" r:id="rId14"/>
      <w:headerReference w:type="first" r:id="rId15"/>
      <w:footerReference w:type="first" r:id="rId16"/>
      <w:pgSz w:w="11913" w:h="16834" w:code="9"/>
      <w:pgMar w:top="720" w:right="720" w:bottom="720" w:left="720" w:header="397" w:footer="0" w:gutter="567"/>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72470" w16cid:durableId="2A5DD2D6"/>
  <w16cid:commentId w16cid:paraId="306DCC82" w16cid:durableId="2A5DD2D7"/>
  <w16cid:commentId w16cid:paraId="75ED4197" w16cid:durableId="2A5DD2D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563D4" w14:textId="77777777" w:rsidR="0071640F" w:rsidRDefault="0071640F" w:rsidP="00CE33CC">
      <w:pPr>
        <w:spacing w:after="0" w:line="240" w:lineRule="auto"/>
      </w:pPr>
      <w:r>
        <w:separator/>
      </w:r>
    </w:p>
  </w:endnote>
  <w:endnote w:type="continuationSeparator" w:id="0">
    <w:p w14:paraId="6B44B9F0" w14:textId="77777777" w:rsidR="0071640F" w:rsidRDefault="0071640F"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ACF1B" w14:textId="77777777" w:rsidR="007E733F" w:rsidRDefault="007E73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1EA33886" w14:textId="43FCCA68" w:rsidR="00A0586A" w:rsidRDefault="00A0586A" w:rsidP="00A0586A">
        <w:pPr>
          <w:pStyle w:val="Footer"/>
          <w:jc w:val="right"/>
        </w:pPr>
      </w:p>
      <w:p w14:paraId="76BC3FEC" w14:textId="08D5B26D" w:rsidR="002D5C24" w:rsidRDefault="0071640F">
        <w:pPr>
          <w:pStyle w:val="Footer"/>
          <w:jc w:val="right"/>
        </w:pPr>
      </w:p>
    </w:sdtContent>
  </w:sdt>
  <w:p w14:paraId="2EED395F" w14:textId="77777777" w:rsidR="002D5C24" w:rsidRDefault="002D5C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644A8AD8" w14:textId="49C8E613" w:rsidR="002D5C24" w:rsidRPr="0083451C" w:rsidRDefault="002D5C24" w:rsidP="00FC644F">
        <w:pPr>
          <w:pStyle w:val="Footer"/>
          <w:jc w:val="right"/>
          <w:rPr>
            <w:rFonts w:ascii="Arial" w:hAnsi="Arial" w:cs="Arial"/>
            <w:noProof/>
            <w:color w:val="003870"/>
            <w:sz w:val="17"/>
            <w:szCs w:val="17"/>
          </w:rPr>
        </w:pPr>
        <w:r>
          <w:rPr>
            <w:rFonts w:ascii="Arial" w:hAnsi="Arial"/>
            <w:color w:val="003870"/>
            <w:sz w:val="17"/>
          </w:rPr>
          <w:br/>
        </w:r>
        <w:r w:rsidRPr="0083451C">
          <w:rPr>
            <w:rFonts w:ascii="Arial" w:hAnsi="Arial" w:cs="Arial"/>
            <w:color w:val="003870"/>
            <w:sz w:val="17"/>
          </w:rPr>
          <w:fldChar w:fldCharType="begin"/>
        </w:r>
        <w:r w:rsidRPr="0083451C">
          <w:rPr>
            <w:rFonts w:ascii="Arial" w:hAnsi="Arial" w:cs="Arial"/>
            <w:color w:val="003870"/>
            <w:sz w:val="17"/>
          </w:rPr>
          <w:instrText xml:space="preserve"> PAGE   \* MERGEFORMAT </w:instrText>
        </w:r>
        <w:r w:rsidRPr="0083451C">
          <w:rPr>
            <w:rFonts w:ascii="Arial" w:hAnsi="Arial" w:cs="Arial"/>
            <w:color w:val="003870"/>
            <w:sz w:val="17"/>
          </w:rPr>
          <w:fldChar w:fldCharType="separate"/>
        </w:r>
        <w:r w:rsidR="003C1A54">
          <w:rPr>
            <w:rFonts w:ascii="Arial" w:hAnsi="Arial" w:cs="Arial"/>
            <w:noProof/>
            <w:color w:val="003870"/>
            <w:sz w:val="17"/>
          </w:rPr>
          <w:t>1</w:t>
        </w:r>
        <w:r w:rsidRPr="0083451C">
          <w:rPr>
            <w:rFonts w:ascii="Arial" w:hAnsi="Arial" w:cs="Arial"/>
            <w:color w:val="003870"/>
            <w:sz w:val="17"/>
          </w:rPr>
          <w:fldChar w:fldCharType="end"/>
        </w:r>
      </w:p>
      <w:p w14:paraId="1ABD7C54" w14:textId="77777777" w:rsidR="002D5C24" w:rsidRDefault="002D5C24" w:rsidP="00FC644F">
        <w:pPr>
          <w:pStyle w:val="Footer"/>
          <w:jc w:val="right"/>
          <w:rPr>
            <w:noProof/>
          </w:rPr>
        </w:pPr>
        <w:r>
          <w:rPr>
            <w:rFonts w:ascii="Arial" w:hAnsi="Arial"/>
            <w:color w:val="003870"/>
            <w:sz w:val="17"/>
          </w:rPr>
          <w:t>EuropeAid/134120/C/SER/MULTI</w:t>
        </w:r>
      </w:p>
    </w:sdtContent>
  </w:sdt>
  <w:p w14:paraId="72575FA8" w14:textId="77777777" w:rsidR="002D5C24" w:rsidRPr="00CE33CC" w:rsidRDefault="002D5C24"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ACD82" w14:textId="77777777" w:rsidR="0071640F" w:rsidRDefault="0071640F" w:rsidP="00CE33CC">
      <w:pPr>
        <w:spacing w:after="0" w:line="240" w:lineRule="auto"/>
      </w:pPr>
      <w:r>
        <w:separator/>
      </w:r>
    </w:p>
  </w:footnote>
  <w:footnote w:type="continuationSeparator" w:id="0">
    <w:p w14:paraId="3AE6E1F2" w14:textId="77777777" w:rsidR="0071640F" w:rsidRDefault="0071640F"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F7A3E" w14:textId="77777777" w:rsidR="007E733F" w:rsidRDefault="007E733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1116D" w14:textId="2D8D11C4" w:rsidR="002D5C24" w:rsidRDefault="002D5C24" w:rsidP="00D12EA8">
    <w:pPr>
      <w:pStyle w:val="Header"/>
      <w:jc w:val="center"/>
      <w:rPr>
        <w:noProof/>
        <w:lang w:eastAsia="en-GB"/>
      </w:rPr>
    </w:pPr>
  </w:p>
  <w:p w14:paraId="4AD62F68" w14:textId="77777777" w:rsidR="002D5C24" w:rsidRDefault="002D5C24" w:rsidP="00F87596">
    <w:pPr>
      <w:pStyle w:val="Header"/>
      <w:rPr>
        <w:noProof/>
        <w:lang w:eastAsia="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B218" w14:textId="77777777" w:rsidR="002D5C24" w:rsidRDefault="002D5C24"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E6E"/>
    <w:multiLevelType w:val="hybridMultilevel"/>
    <w:tmpl w:val="A1D02F08"/>
    <w:lvl w:ilvl="0" w:tplc="CDDC1A04">
      <w:start w:val="1"/>
      <w:numFmt w:val="decimal"/>
      <w:lvlText w:val="%1."/>
      <w:lvlJc w:val="left"/>
      <w:pPr>
        <w:ind w:left="2160" w:hanging="360"/>
      </w:pPr>
      <w:rPr>
        <w:rFonts w:ascii="Times New Roman" w:eastAsia="Calibri" w:hAnsi="Times New Roman" w:cs="Times New Roman"/>
        <w:b/>
        <w:i w:val="0"/>
        <w:color w:val="0070C0"/>
        <w:sz w:val="22"/>
        <w:u w:color="4472C4" w:themeColor="accent5"/>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987296"/>
    <w:multiLevelType w:val="hybridMultilevel"/>
    <w:tmpl w:val="4B8CA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22605"/>
    <w:multiLevelType w:val="hybridMultilevel"/>
    <w:tmpl w:val="9BEE8C90"/>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7B96C9D"/>
    <w:multiLevelType w:val="hybridMultilevel"/>
    <w:tmpl w:val="3BCA3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A4BA0"/>
    <w:multiLevelType w:val="hybridMultilevel"/>
    <w:tmpl w:val="2F124E5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1E6E"/>
    <w:multiLevelType w:val="hybridMultilevel"/>
    <w:tmpl w:val="65922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C2B42"/>
    <w:multiLevelType w:val="hybridMultilevel"/>
    <w:tmpl w:val="854055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9701F"/>
    <w:multiLevelType w:val="hybridMultilevel"/>
    <w:tmpl w:val="3070A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53029"/>
    <w:multiLevelType w:val="hybridMultilevel"/>
    <w:tmpl w:val="B976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B333D"/>
    <w:multiLevelType w:val="hybridMultilevel"/>
    <w:tmpl w:val="CCF09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11D9F"/>
    <w:multiLevelType w:val="hybridMultilevel"/>
    <w:tmpl w:val="83B67036"/>
    <w:lvl w:ilvl="0" w:tplc="579A23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54E6B25"/>
    <w:multiLevelType w:val="hybridMultilevel"/>
    <w:tmpl w:val="61068A4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61C34C5"/>
    <w:multiLevelType w:val="hybridMultilevel"/>
    <w:tmpl w:val="88E07170"/>
    <w:lvl w:ilvl="0" w:tplc="F1421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A6BE9"/>
    <w:multiLevelType w:val="hybridMultilevel"/>
    <w:tmpl w:val="39560444"/>
    <w:lvl w:ilvl="0" w:tplc="CDDC1A04">
      <w:start w:val="1"/>
      <w:numFmt w:val="decimal"/>
      <w:lvlText w:val="%1."/>
      <w:lvlJc w:val="left"/>
      <w:pPr>
        <w:ind w:left="1440" w:hanging="360"/>
      </w:pPr>
      <w:rPr>
        <w:rFonts w:ascii="Times New Roman" w:eastAsia="Calibri" w:hAnsi="Times New Roman" w:cs="Times New Roman"/>
        <w:b/>
        <w:i w:val="0"/>
        <w:color w:val="0070C0"/>
        <w:sz w:val="22"/>
        <w:u w:color="4472C4" w:themeColor="accent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394E68"/>
    <w:multiLevelType w:val="hybridMultilevel"/>
    <w:tmpl w:val="40AEC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DE0709"/>
    <w:multiLevelType w:val="hybridMultilevel"/>
    <w:tmpl w:val="48DC9B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07B3A"/>
    <w:multiLevelType w:val="hybridMultilevel"/>
    <w:tmpl w:val="4F58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4588C"/>
    <w:multiLevelType w:val="hybridMultilevel"/>
    <w:tmpl w:val="553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10BC0"/>
    <w:multiLevelType w:val="hybridMultilevel"/>
    <w:tmpl w:val="FFAC0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8211B"/>
    <w:multiLevelType w:val="hybridMultilevel"/>
    <w:tmpl w:val="4D82C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C110F"/>
    <w:multiLevelType w:val="hybridMultilevel"/>
    <w:tmpl w:val="F9CA418A"/>
    <w:lvl w:ilvl="0" w:tplc="34420E38">
      <w:start w:val="1"/>
      <w:numFmt w:val="decimal"/>
      <w:lvlText w:val="%1."/>
      <w:lvlJc w:val="left"/>
      <w:pPr>
        <w:ind w:left="410" w:hanging="360"/>
      </w:pPr>
      <w:rPr>
        <w:rFonts w:ascii="Calibri" w:hAnsi="Calibri" w:cs="Times New Roman" w:hint="default"/>
        <w:i w:val="0"/>
        <w:sz w:val="22"/>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2" w15:restartNumberingAfterBreak="0">
    <w:nsid w:val="36DE124E"/>
    <w:multiLevelType w:val="hybridMultilevel"/>
    <w:tmpl w:val="978EC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610DA4"/>
    <w:multiLevelType w:val="hybridMultilevel"/>
    <w:tmpl w:val="CC300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C1184"/>
    <w:multiLevelType w:val="hybridMultilevel"/>
    <w:tmpl w:val="4D60DF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502491"/>
    <w:multiLevelType w:val="hybridMultilevel"/>
    <w:tmpl w:val="9462F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24B56"/>
    <w:multiLevelType w:val="hybridMultilevel"/>
    <w:tmpl w:val="D3A884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BF1405"/>
    <w:multiLevelType w:val="hybridMultilevel"/>
    <w:tmpl w:val="3A66A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E0DFA"/>
    <w:multiLevelType w:val="hybridMultilevel"/>
    <w:tmpl w:val="B622BE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5867D8"/>
    <w:multiLevelType w:val="hybridMultilevel"/>
    <w:tmpl w:val="1AF0E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963BB"/>
    <w:multiLevelType w:val="hybridMultilevel"/>
    <w:tmpl w:val="B3DEF3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82D59"/>
    <w:multiLevelType w:val="hybridMultilevel"/>
    <w:tmpl w:val="9E3253D2"/>
    <w:lvl w:ilvl="0" w:tplc="255A5FC0">
      <w:start w:val="1"/>
      <w:numFmt w:val="decimal"/>
      <w:lvlText w:val="%1."/>
      <w:lvlJc w:val="left"/>
      <w:pPr>
        <w:ind w:left="360" w:hanging="360"/>
      </w:pPr>
      <w:rPr>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3F70BD"/>
    <w:multiLevelType w:val="hybridMultilevel"/>
    <w:tmpl w:val="897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A5386"/>
    <w:multiLevelType w:val="hybridMultilevel"/>
    <w:tmpl w:val="011A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E643FC"/>
    <w:multiLevelType w:val="hybridMultilevel"/>
    <w:tmpl w:val="D1DC9DA8"/>
    <w:lvl w:ilvl="0" w:tplc="736464AC">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BD5526E"/>
    <w:multiLevelType w:val="hybridMultilevel"/>
    <w:tmpl w:val="945E487A"/>
    <w:lvl w:ilvl="0" w:tplc="736464A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22A41CA"/>
    <w:multiLevelType w:val="hybridMultilevel"/>
    <w:tmpl w:val="4B28ADFE"/>
    <w:lvl w:ilvl="0" w:tplc="0409000F">
      <w:start w:val="1"/>
      <w:numFmt w:val="decimal"/>
      <w:lvlText w:val="%1."/>
      <w:lvlJc w:val="left"/>
      <w:pPr>
        <w:ind w:left="720" w:hanging="360"/>
      </w:pPr>
      <w:rPr>
        <w:b/>
        <w:i w:val="0"/>
        <w:color w:val="0070C0"/>
        <w:sz w:val="22"/>
        <w:u w:color="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F4799"/>
    <w:multiLevelType w:val="hybridMultilevel"/>
    <w:tmpl w:val="FE86FB00"/>
    <w:lvl w:ilvl="0" w:tplc="CDDC1A04">
      <w:start w:val="1"/>
      <w:numFmt w:val="decimal"/>
      <w:lvlText w:val="%1."/>
      <w:lvlJc w:val="left"/>
      <w:pPr>
        <w:ind w:left="720" w:hanging="360"/>
      </w:pPr>
      <w:rPr>
        <w:rFonts w:ascii="Times New Roman" w:eastAsia="Calibri" w:hAnsi="Times New Roman" w:cs="Times New Roman"/>
        <w:b/>
        <w:i w:val="0"/>
        <w:color w:val="0070C0"/>
        <w:sz w:val="22"/>
        <w:u w:color="4472C4" w:themeColor="accent5"/>
      </w:rPr>
    </w:lvl>
    <w:lvl w:ilvl="1" w:tplc="041A0003">
      <w:start w:val="1"/>
      <w:numFmt w:val="lowerLetter"/>
      <w:lvlText w:val="%2."/>
      <w:lvlJc w:val="left"/>
      <w:pPr>
        <w:ind w:left="660" w:hanging="360"/>
      </w:pPr>
    </w:lvl>
    <w:lvl w:ilvl="2" w:tplc="041A0005">
      <w:start w:val="1"/>
      <w:numFmt w:val="lowerRoman"/>
      <w:lvlText w:val="%3."/>
      <w:lvlJc w:val="right"/>
      <w:pPr>
        <w:ind w:left="1380" w:hanging="180"/>
      </w:pPr>
    </w:lvl>
    <w:lvl w:ilvl="3" w:tplc="041A0001" w:tentative="1">
      <w:start w:val="1"/>
      <w:numFmt w:val="decimal"/>
      <w:lvlText w:val="%4."/>
      <w:lvlJc w:val="left"/>
      <w:pPr>
        <w:ind w:left="2100" w:hanging="360"/>
      </w:pPr>
    </w:lvl>
    <w:lvl w:ilvl="4" w:tplc="041A0003" w:tentative="1">
      <w:start w:val="1"/>
      <w:numFmt w:val="lowerLetter"/>
      <w:lvlText w:val="%5."/>
      <w:lvlJc w:val="left"/>
      <w:pPr>
        <w:ind w:left="2820" w:hanging="360"/>
      </w:pPr>
    </w:lvl>
    <w:lvl w:ilvl="5" w:tplc="041A0005" w:tentative="1">
      <w:start w:val="1"/>
      <w:numFmt w:val="lowerRoman"/>
      <w:lvlText w:val="%6."/>
      <w:lvlJc w:val="right"/>
      <w:pPr>
        <w:ind w:left="3540" w:hanging="180"/>
      </w:pPr>
    </w:lvl>
    <w:lvl w:ilvl="6" w:tplc="041A0001" w:tentative="1">
      <w:start w:val="1"/>
      <w:numFmt w:val="decimal"/>
      <w:lvlText w:val="%7."/>
      <w:lvlJc w:val="left"/>
      <w:pPr>
        <w:ind w:left="4260" w:hanging="360"/>
      </w:pPr>
    </w:lvl>
    <w:lvl w:ilvl="7" w:tplc="041A0003" w:tentative="1">
      <w:start w:val="1"/>
      <w:numFmt w:val="lowerLetter"/>
      <w:lvlText w:val="%8."/>
      <w:lvlJc w:val="left"/>
      <w:pPr>
        <w:ind w:left="4980" w:hanging="360"/>
      </w:pPr>
    </w:lvl>
    <w:lvl w:ilvl="8" w:tplc="041A0005" w:tentative="1">
      <w:start w:val="1"/>
      <w:numFmt w:val="lowerRoman"/>
      <w:lvlText w:val="%9."/>
      <w:lvlJc w:val="right"/>
      <w:pPr>
        <w:ind w:left="5700" w:hanging="180"/>
      </w:pPr>
    </w:lvl>
  </w:abstractNum>
  <w:abstractNum w:abstractNumId="39" w15:restartNumberingAfterBreak="0">
    <w:nsid w:val="64281CEE"/>
    <w:multiLevelType w:val="hybridMultilevel"/>
    <w:tmpl w:val="23166006"/>
    <w:lvl w:ilvl="0" w:tplc="CDDC1A04">
      <w:start w:val="1"/>
      <w:numFmt w:val="decimal"/>
      <w:lvlText w:val="%1."/>
      <w:lvlJc w:val="left"/>
      <w:pPr>
        <w:ind w:left="720" w:hanging="360"/>
      </w:pPr>
      <w:rPr>
        <w:rFonts w:ascii="Times New Roman" w:eastAsia="Calibri" w:hAnsi="Times New Roman" w:cs="Times New Roman"/>
        <w:b/>
        <w:i w:val="0"/>
        <w:color w:val="0070C0"/>
        <w:sz w:val="22"/>
        <w:u w:color="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28257B"/>
    <w:multiLevelType w:val="hybridMultilevel"/>
    <w:tmpl w:val="4B50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2B1A3D"/>
    <w:multiLevelType w:val="hybridMultilevel"/>
    <w:tmpl w:val="7F986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4D620D"/>
    <w:multiLevelType w:val="hybridMultilevel"/>
    <w:tmpl w:val="B5062F8E"/>
    <w:lvl w:ilvl="0" w:tplc="7F543110">
      <w:start w:val="1"/>
      <w:numFmt w:val="bullet"/>
      <w:lvlText w:val=""/>
      <w:lvlJc w:val="left"/>
      <w:pPr>
        <w:ind w:left="616" w:hanging="360"/>
      </w:pPr>
      <w:rPr>
        <w:rFonts w:ascii="Symbol" w:hAnsi="Symbol" w:hint="default"/>
      </w:rPr>
    </w:lvl>
    <w:lvl w:ilvl="1" w:tplc="041A0019" w:tentative="1">
      <w:start w:val="1"/>
      <w:numFmt w:val="bullet"/>
      <w:lvlText w:val="o"/>
      <w:lvlJc w:val="left"/>
      <w:pPr>
        <w:ind w:left="1336" w:hanging="360"/>
      </w:pPr>
      <w:rPr>
        <w:rFonts w:ascii="Courier New" w:hAnsi="Courier New" w:cs="Courier New" w:hint="default"/>
      </w:rPr>
    </w:lvl>
    <w:lvl w:ilvl="2" w:tplc="041A001B" w:tentative="1">
      <w:start w:val="1"/>
      <w:numFmt w:val="bullet"/>
      <w:lvlText w:val=""/>
      <w:lvlJc w:val="left"/>
      <w:pPr>
        <w:ind w:left="2056" w:hanging="360"/>
      </w:pPr>
      <w:rPr>
        <w:rFonts w:ascii="Wingdings" w:hAnsi="Wingdings" w:hint="default"/>
      </w:rPr>
    </w:lvl>
    <w:lvl w:ilvl="3" w:tplc="041A000F" w:tentative="1">
      <w:start w:val="1"/>
      <w:numFmt w:val="bullet"/>
      <w:lvlText w:val=""/>
      <w:lvlJc w:val="left"/>
      <w:pPr>
        <w:ind w:left="2776" w:hanging="360"/>
      </w:pPr>
      <w:rPr>
        <w:rFonts w:ascii="Symbol" w:hAnsi="Symbol" w:hint="default"/>
      </w:rPr>
    </w:lvl>
    <w:lvl w:ilvl="4" w:tplc="041A0019" w:tentative="1">
      <w:start w:val="1"/>
      <w:numFmt w:val="bullet"/>
      <w:lvlText w:val="o"/>
      <w:lvlJc w:val="left"/>
      <w:pPr>
        <w:ind w:left="3496" w:hanging="360"/>
      </w:pPr>
      <w:rPr>
        <w:rFonts w:ascii="Courier New" w:hAnsi="Courier New" w:cs="Courier New" w:hint="default"/>
      </w:rPr>
    </w:lvl>
    <w:lvl w:ilvl="5" w:tplc="041A001B" w:tentative="1">
      <w:start w:val="1"/>
      <w:numFmt w:val="bullet"/>
      <w:lvlText w:val=""/>
      <w:lvlJc w:val="left"/>
      <w:pPr>
        <w:ind w:left="4216" w:hanging="360"/>
      </w:pPr>
      <w:rPr>
        <w:rFonts w:ascii="Wingdings" w:hAnsi="Wingdings" w:hint="default"/>
      </w:rPr>
    </w:lvl>
    <w:lvl w:ilvl="6" w:tplc="041A000F" w:tentative="1">
      <w:start w:val="1"/>
      <w:numFmt w:val="bullet"/>
      <w:lvlText w:val=""/>
      <w:lvlJc w:val="left"/>
      <w:pPr>
        <w:ind w:left="4936" w:hanging="360"/>
      </w:pPr>
      <w:rPr>
        <w:rFonts w:ascii="Symbol" w:hAnsi="Symbol" w:hint="default"/>
      </w:rPr>
    </w:lvl>
    <w:lvl w:ilvl="7" w:tplc="041A0019" w:tentative="1">
      <w:start w:val="1"/>
      <w:numFmt w:val="bullet"/>
      <w:lvlText w:val="o"/>
      <w:lvlJc w:val="left"/>
      <w:pPr>
        <w:ind w:left="5656" w:hanging="360"/>
      </w:pPr>
      <w:rPr>
        <w:rFonts w:ascii="Courier New" w:hAnsi="Courier New" w:cs="Courier New" w:hint="default"/>
      </w:rPr>
    </w:lvl>
    <w:lvl w:ilvl="8" w:tplc="041A001B" w:tentative="1">
      <w:start w:val="1"/>
      <w:numFmt w:val="bullet"/>
      <w:lvlText w:val=""/>
      <w:lvlJc w:val="left"/>
      <w:pPr>
        <w:ind w:left="6376" w:hanging="360"/>
      </w:pPr>
      <w:rPr>
        <w:rFonts w:ascii="Wingdings" w:hAnsi="Wingdings" w:hint="default"/>
      </w:rPr>
    </w:lvl>
  </w:abstractNum>
  <w:abstractNum w:abstractNumId="43" w15:restartNumberingAfterBreak="0">
    <w:nsid w:val="6A592337"/>
    <w:multiLevelType w:val="hybridMultilevel"/>
    <w:tmpl w:val="59F6983C"/>
    <w:lvl w:ilvl="0" w:tplc="0409000D">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041A0"/>
    <w:multiLevelType w:val="hybridMultilevel"/>
    <w:tmpl w:val="B94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15902"/>
    <w:multiLevelType w:val="hybridMultilevel"/>
    <w:tmpl w:val="C128CDEA"/>
    <w:lvl w:ilvl="0" w:tplc="CDDC1A04">
      <w:start w:val="1"/>
      <w:numFmt w:val="decimal"/>
      <w:lvlText w:val="%1."/>
      <w:lvlJc w:val="left"/>
      <w:pPr>
        <w:ind w:left="720" w:hanging="360"/>
      </w:pPr>
      <w:rPr>
        <w:rFonts w:ascii="Times New Roman" w:eastAsia="Calibri" w:hAnsi="Times New Roman" w:cs="Times New Roman"/>
        <w:b/>
        <w:i w:val="0"/>
        <w:color w:val="0070C0"/>
        <w:sz w:val="22"/>
        <w:u w:color="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795EF1"/>
    <w:multiLevelType w:val="hybridMultilevel"/>
    <w:tmpl w:val="3D64B842"/>
    <w:lvl w:ilvl="0" w:tplc="9A0C6DEC">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7026380B"/>
    <w:multiLevelType w:val="hybridMultilevel"/>
    <w:tmpl w:val="5B1E2680"/>
    <w:lvl w:ilvl="0" w:tplc="C2688F2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5B2098"/>
    <w:multiLevelType w:val="multilevel"/>
    <w:tmpl w:val="5156AAC6"/>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9" w15:restartNumberingAfterBreak="0">
    <w:nsid w:val="70FA00C6"/>
    <w:multiLevelType w:val="hybridMultilevel"/>
    <w:tmpl w:val="5852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9242B0"/>
    <w:multiLevelType w:val="hybridMultilevel"/>
    <w:tmpl w:val="FE8E2B90"/>
    <w:lvl w:ilvl="0" w:tplc="A1D84D3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67424E2"/>
    <w:multiLevelType w:val="hybridMultilevel"/>
    <w:tmpl w:val="A30CA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6A30E9D"/>
    <w:multiLevelType w:val="hybridMultilevel"/>
    <w:tmpl w:val="29EE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DA501B"/>
    <w:multiLevelType w:val="hybridMultilevel"/>
    <w:tmpl w:val="DC60F04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466481"/>
    <w:multiLevelType w:val="hybridMultilevel"/>
    <w:tmpl w:val="07EC5C42"/>
    <w:lvl w:ilvl="0" w:tplc="CDDC1A04">
      <w:start w:val="1"/>
      <w:numFmt w:val="decimal"/>
      <w:lvlText w:val="%1."/>
      <w:lvlJc w:val="left"/>
      <w:pPr>
        <w:ind w:left="1440" w:hanging="360"/>
      </w:pPr>
      <w:rPr>
        <w:rFonts w:ascii="Times New Roman" w:eastAsia="Calibri" w:hAnsi="Times New Roman" w:cs="Times New Roman"/>
        <w:b/>
        <w:i w:val="0"/>
        <w:color w:val="0070C0"/>
        <w:sz w:val="22"/>
        <w:u w:color="4472C4" w:themeColor="accent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A7F2969"/>
    <w:multiLevelType w:val="hybridMultilevel"/>
    <w:tmpl w:val="CE2E5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2032A2"/>
    <w:multiLevelType w:val="hybridMultilevel"/>
    <w:tmpl w:val="027CCE30"/>
    <w:lvl w:ilvl="0" w:tplc="04090001">
      <w:start w:val="1"/>
      <w:numFmt w:val="bullet"/>
      <w:lvlText w:val=""/>
      <w:lvlJc w:val="left"/>
      <w:pPr>
        <w:ind w:left="340" w:hanging="34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7" w15:restartNumberingAfterBreak="0">
    <w:nsid w:val="7F787610"/>
    <w:multiLevelType w:val="hybridMultilevel"/>
    <w:tmpl w:val="12A23F3A"/>
    <w:lvl w:ilvl="0" w:tplc="B1405D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C57EFF"/>
    <w:multiLevelType w:val="hybridMultilevel"/>
    <w:tmpl w:val="A36CD7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6"/>
  </w:num>
  <w:num w:numId="3">
    <w:abstractNumId w:val="24"/>
  </w:num>
  <w:num w:numId="4">
    <w:abstractNumId w:val="8"/>
  </w:num>
  <w:num w:numId="5">
    <w:abstractNumId w:val="10"/>
  </w:num>
  <w:num w:numId="6">
    <w:abstractNumId w:val="36"/>
  </w:num>
  <w:num w:numId="7">
    <w:abstractNumId w:val="28"/>
  </w:num>
  <w:num w:numId="8">
    <w:abstractNumId w:val="42"/>
  </w:num>
  <w:num w:numId="9">
    <w:abstractNumId w:val="5"/>
  </w:num>
  <w:num w:numId="10">
    <w:abstractNumId w:val="27"/>
  </w:num>
  <w:num w:numId="11">
    <w:abstractNumId w:val="20"/>
  </w:num>
  <w:num w:numId="12">
    <w:abstractNumId w:val="6"/>
  </w:num>
  <w:num w:numId="13">
    <w:abstractNumId w:val="7"/>
  </w:num>
  <w:num w:numId="14">
    <w:abstractNumId w:val="3"/>
  </w:num>
  <w:num w:numId="15">
    <w:abstractNumId w:val="16"/>
  </w:num>
  <w:num w:numId="16">
    <w:abstractNumId w:val="53"/>
  </w:num>
  <w:num w:numId="17">
    <w:abstractNumId w:val="9"/>
  </w:num>
  <w:num w:numId="18">
    <w:abstractNumId w:val="35"/>
  </w:num>
  <w:num w:numId="19">
    <w:abstractNumId w:val="57"/>
  </w:num>
  <w:num w:numId="20">
    <w:abstractNumId w:val="1"/>
  </w:num>
  <w:num w:numId="21">
    <w:abstractNumId w:val="51"/>
  </w:num>
  <w:num w:numId="22">
    <w:abstractNumId w:val="44"/>
  </w:num>
  <w:num w:numId="23">
    <w:abstractNumId w:val="43"/>
  </w:num>
  <w:num w:numId="24">
    <w:abstractNumId w:val="38"/>
  </w:num>
  <w:num w:numId="25">
    <w:abstractNumId w:val="52"/>
  </w:num>
  <w:num w:numId="26">
    <w:abstractNumId w:val="14"/>
  </w:num>
  <w:num w:numId="27">
    <w:abstractNumId w:val="0"/>
  </w:num>
  <w:num w:numId="28">
    <w:abstractNumId w:val="45"/>
  </w:num>
  <w:num w:numId="29">
    <w:abstractNumId w:val="54"/>
  </w:num>
  <w:num w:numId="30">
    <w:abstractNumId w:val="13"/>
  </w:num>
  <w:num w:numId="31">
    <w:abstractNumId w:val="39"/>
  </w:num>
  <w:num w:numId="32">
    <w:abstractNumId w:val="37"/>
  </w:num>
  <w:num w:numId="33">
    <w:abstractNumId w:val="41"/>
  </w:num>
  <w:num w:numId="34">
    <w:abstractNumId w:val="55"/>
  </w:num>
  <w:num w:numId="35">
    <w:abstractNumId w:val="26"/>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3"/>
  </w:num>
  <w:num w:numId="39">
    <w:abstractNumId w:val="58"/>
  </w:num>
  <w:num w:numId="40">
    <w:abstractNumId w:val="49"/>
  </w:num>
  <w:num w:numId="41">
    <w:abstractNumId w:val="30"/>
  </w:num>
  <w:num w:numId="42">
    <w:abstractNumId w:val="40"/>
  </w:num>
  <w:num w:numId="43">
    <w:abstractNumId w:val="22"/>
  </w:num>
  <w:num w:numId="44">
    <w:abstractNumId w:val="33"/>
  </w:num>
  <w:num w:numId="45">
    <w:abstractNumId w:val="19"/>
  </w:num>
  <w:num w:numId="46">
    <w:abstractNumId w:val="34"/>
  </w:num>
  <w:num w:numId="47">
    <w:abstractNumId w:val="47"/>
  </w:num>
  <w:num w:numId="48">
    <w:abstractNumId w:val="21"/>
  </w:num>
  <w:num w:numId="49">
    <w:abstractNumId w:val="50"/>
  </w:num>
  <w:num w:numId="50">
    <w:abstractNumId w:val="48"/>
  </w:num>
  <w:num w:numId="51">
    <w:abstractNumId w:val="46"/>
  </w:num>
  <w:num w:numId="52">
    <w:abstractNumId w:val="4"/>
  </w:num>
  <w:num w:numId="53">
    <w:abstractNumId w:val="18"/>
  </w:num>
  <w:num w:numId="54">
    <w:abstractNumId w:val="25"/>
  </w:num>
  <w:num w:numId="55">
    <w:abstractNumId w:val="32"/>
  </w:num>
  <w:num w:numId="56">
    <w:abstractNumId w:val="12"/>
  </w:num>
  <w:num w:numId="57">
    <w:abstractNumId w:val="31"/>
  </w:num>
  <w:num w:numId="58">
    <w:abstractNumId w:val="15"/>
  </w:num>
  <w:num w:numId="59">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0F81"/>
    <w:rsid w:val="00002E32"/>
    <w:rsid w:val="0000347E"/>
    <w:rsid w:val="00010CAE"/>
    <w:rsid w:val="0001463F"/>
    <w:rsid w:val="000154E5"/>
    <w:rsid w:val="00017360"/>
    <w:rsid w:val="00021A0C"/>
    <w:rsid w:val="00023667"/>
    <w:rsid w:val="000241D7"/>
    <w:rsid w:val="00024F00"/>
    <w:rsid w:val="00025A53"/>
    <w:rsid w:val="000268B7"/>
    <w:rsid w:val="00037EA5"/>
    <w:rsid w:val="00043C51"/>
    <w:rsid w:val="00047402"/>
    <w:rsid w:val="000525F5"/>
    <w:rsid w:val="00054EFB"/>
    <w:rsid w:val="000554C6"/>
    <w:rsid w:val="00056435"/>
    <w:rsid w:val="00057255"/>
    <w:rsid w:val="00067A8D"/>
    <w:rsid w:val="0007428D"/>
    <w:rsid w:val="000757F4"/>
    <w:rsid w:val="00077EBE"/>
    <w:rsid w:val="000840DF"/>
    <w:rsid w:val="0008431F"/>
    <w:rsid w:val="00084F75"/>
    <w:rsid w:val="00087D85"/>
    <w:rsid w:val="0009096F"/>
    <w:rsid w:val="000A33EE"/>
    <w:rsid w:val="000A4E3E"/>
    <w:rsid w:val="000B021F"/>
    <w:rsid w:val="000B2E0C"/>
    <w:rsid w:val="000B3132"/>
    <w:rsid w:val="000B355A"/>
    <w:rsid w:val="000B3EB9"/>
    <w:rsid w:val="000B7CF2"/>
    <w:rsid w:val="000C4BE8"/>
    <w:rsid w:val="000E0343"/>
    <w:rsid w:val="000E16B9"/>
    <w:rsid w:val="000F0E2C"/>
    <w:rsid w:val="000F2B24"/>
    <w:rsid w:val="00107E43"/>
    <w:rsid w:val="00111A30"/>
    <w:rsid w:val="00114200"/>
    <w:rsid w:val="00116086"/>
    <w:rsid w:val="00116A17"/>
    <w:rsid w:val="00125219"/>
    <w:rsid w:val="0012661D"/>
    <w:rsid w:val="00126802"/>
    <w:rsid w:val="00130EDF"/>
    <w:rsid w:val="001310AE"/>
    <w:rsid w:val="0013290F"/>
    <w:rsid w:val="0013291A"/>
    <w:rsid w:val="0013503B"/>
    <w:rsid w:val="00141AD3"/>
    <w:rsid w:val="0014366D"/>
    <w:rsid w:val="001511BB"/>
    <w:rsid w:val="00151782"/>
    <w:rsid w:val="00157803"/>
    <w:rsid w:val="0016350B"/>
    <w:rsid w:val="00163B8B"/>
    <w:rsid w:val="00164336"/>
    <w:rsid w:val="00164564"/>
    <w:rsid w:val="0016736A"/>
    <w:rsid w:val="0016771B"/>
    <w:rsid w:val="00170C0C"/>
    <w:rsid w:val="00180A7B"/>
    <w:rsid w:val="0018576E"/>
    <w:rsid w:val="00186CD4"/>
    <w:rsid w:val="00187D26"/>
    <w:rsid w:val="001913E5"/>
    <w:rsid w:val="00191845"/>
    <w:rsid w:val="00193A98"/>
    <w:rsid w:val="0019538C"/>
    <w:rsid w:val="00197CB7"/>
    <w:rsid w:val="001A0ADF"/>
    <w:rsid w:val="001A129D"/>
    <w:rsid w:val="001A1984"/>
    <w:rsid w:val="001A351D"/>
    <w:rsid w:val="001A415D"/>
    <w:rsid w:val="001A57C3"/>
    <w:rsid w:val="001B0C54"/>
    <w:rsid w:val="001B3EE8"/>
    <w:rsid w:val="001B4F46"/>
    <w:rsid w:val="001B57B4"/>
    <w:rsid w:val="001B5A80"/>
    <w:rsid w:val="001C0D07"/>
    <w:rsid w:val="001C2588"/>
    <w:rsid w:val="001C2CAF"/>
    <w:rsid w:val="001D12F3"/>
    <w:rsid w:val="001E0EF0"/>
    <w:rsid w:val="001E20C2"/>
    <w:rsid w:val="001E21A8"/>
    <w:rsid w:val="001F0518"/>
    <w:rsid w:val="001F18C8"/>
    <w:rsid w:val="001F405F"/>
    <w:rsid w:val="001F5793"/>
    <w:rsid w:val="001F5F06"/>
    <w:rsid w:val="001F66ED"/>
    <w:rsid w:val="002067DC"/>
    <w:rsid w:val="00207CCC"/>
    <w:rsid w:val="00211E82"/>
    <w:rsid w:val="002146EA"/>
    <w:rsid w:val="00216A63"/>
    <w:rsid w:val="00222459"/>
    <w:rsid w:val="00222797"/>
    <w:rsid w:val="0022341A"/>
    <w:rsid w:val="00230229"/>
    <w:rsid w:val="00232D59"/>
    <w:rsid w:val="00235AC3"/>
    <w:rsid w:val="002371B6"/>
    <w:rsid w:val="00243444"/>
    <w:rsid w:val="0024706A"/>
    <w:rsid w:val="00250260"/>
    <w:rsid w:val="0025290D"/>
    <w:rsid w:val="00252A19"/>
    <w:rsid w:val="00254927"/>
    <w:rsid w:val="0026113A"/>
    <w:rsid w:val="0026151A"/>
    <w:rsid w:val="00261BD6"/>
    <w:rsid w:val="00263031"/>
    <w:rsid w:val="00266546"/>
    <w:rsid w:val="0026664D"/>
    <w:rsid w:val="00267781"/>
    <w:rsid w:val="00272059"/>
    <w:rsid w:val="00273438"/>
    <w:rsid w:val="0027641E"/>
    <w:rsid w:val="00277732"/>
    <w:rsid w:val="00280AAF"/>
    <w:rsid w:val="0028186C"/>
    <w:rsid w:val="00286652"/>
    <w:rsid w:val="00291856"/>
    <w:rsid w:val="00291C45"/>
    <w:rsid w:val="00293C2F"/>
    <w:rsid w:val="00293E82"/>
    <w:rsid w:val="002A0BB5"/>
    <w:rsid w:val="002B15FF"/>
    <w:rsid w:val="002C26C9"/>
    <w:rsid w:val="002C2B8C"/>
    <w:rsid w:val="002C7F73"/>
    <w:rsid w:val="002D1097"/>
    <w:rsid w:val="002D1D85"/>
    <w:rsid w:val="002D5C24"/>
    <w:rsid w:val="002E173C"/>
    <w:rsid w:val="002E2F72"/>
    <w:rsid w:val="002E4E26"/>
    <w:rsid w:val="002E5D81"/>
    <w:rsid w:val="002F0428"/>
    <w:rsid w:val="002F0B16"/>
    <w:rsid w:val="002F395B"/>
    <w:rsid w:val="00300520"/>
    <w:rsid w:val="00303F6B"/>
    <w:rsid w:val="00306504"/>
    <w:rsid w:val="00311F09"/>
    <w:rsid w:val="0031679D"/>
    <w:rsid w:val="00316835"/>
    <w:rsid w:val="003234A2"/>
    <w:rsid w:val="00326E4B"/>
    <w:rsid w:val="0033057D"/>
    <w:rsid w:val="00330C5A"/>
    <w:rsid w:val="003332E9"/>
    <w:rsid w:val="00345CCE"/>
    <w:rsid w:val="00345FAC"/>
    <w:rsid w:val="00353E91"/>
    <w:rsid w:val="003540DB"/>
    <w:rsid w:val="0035419A"/>
    <w:rsid w:val="00356185"/>
    <w:rsid w:val="00356C65"/>
    <w:rsid w:val="00360B23"/>
    <w:rsid w:val="00372FF4"/>
    <w:rsid w:val="0038791F"/>
    <w:rsid w:val="0039003C"/>
    <w:rsid w:val="0039186E"/>
    <w:rsid w:val="00392BE9"/>
    <w:rsid w:val="00393D13"/>
    <w:rsid w:val="00395D97"/>
    <w:rsid w:val="00397383"/>
    <w:rsid w:val="003A3FE8"/>
    <w:rsid w:val="003B2BCA"/>
    <w:rsid w:val="003C1A54"/>
    <w:rsid w:val="003C2114"/>
    <w:rsid w:val="003D1629"/>
    <w:rsid w:val="003D5AFA"/>
    <w:rsid w:val="003D5E6E"/>
    <w:rsid w:val="003D70B4"/>
    <w:rsid w:val="003E6099"/>
    <w:rsid w:val="003E6263"/>
    <w:rsid w:val="003E6562"/>
    <w:rsid w:val="003F1CC2"/>
    <w:rsid w:val="003F4D3B"/>
    <w:rsid w:val="003F627D"/>
    <w:rsid w:val="003F72F1"/>
    <w:rsid w:val="00406AAE"/>
    <w:rsid w:val="0040793F"/>
    <w:rsid w:val="00410749"/>
    <w:rsid w:val="00413907"/>
    <w:rsid w:val="004139A0"/>
    <w:rsid w:val="0041470C"/>
    <w:rsid w:val="00415FC4"/>
    <w:rsid w:val="00424755"/>
    <w:rsid w:val="00427491"/>
    <w:rsid w:val="004301A1"/>
    <w:rsid w:val="004339F7"/>
    <w:rsid w:val="00434F47"/>
    <w:rsid w:val="0043684E"/>
    <w:rsid w:val="00436CA2"/>
    <w:rsid w:val="004471C1"/>
    <w:rsid w:val="004505C0"/>
    <w:rsid w:val="0045533A"/>
    <w:rsid w:val="004557FA"/>
    <w:rsid w:val="00461529"/>
    <w:rsid w:val="00481012"/>
    <w:rsid w:val="00482813"/>
    <w:rsid w:val="00483558"/>
    <w:rsid w:val="00484BEC"/>
    <w:rsid w:val="00487F6D"/>
    <w:rsid w:val="00490018"/>
    <w:rsid w:val="00490996"/>
    <w:rsid w:val="004969CD"/>
    <w:rsid w:val="004974EC"/>
    <w:rsid w:val="004A12C7"/>
    <w:rsid w:val="004A1370"/>
    <w:rsid w:val="004A1874"/>
    <w:rsid w:val="004A1DA1"/>
    <w:rsid w:val="004A1E1D"/>
    <w:rsid w:val="004B21C7"/>
    <w:rsid w:val="004B41FD"/>
    <w:rsid w:val="004B6150"/>
    <w:rsid w:val="004C1CF1"/>
    <w:rsid w:val="004D0E50"/>
    <w:rsid w:val="004D3020"/>
    <w:rsid w:val="004E165D"/>
    <w:rsid w:val="004E3E03"/>
    <w:rsid w:val="004E5583"/>
    <w:rsid w:val="004E5F18"/>
    <w:rsid w:val="004E6009"/>
    <w:rsid w:val="004E7004"/>
    <w:rsid w:val="004F26EF"/>
    <w:rsid w:val="004F4C88"/>
    <w:rsid w:val="004F59E9"/>
    <w:rsid w:val="004F6A9B"/>
    <w:rsid w:val="00501A11"/>
    <w:rsid w:val="00506ED4"/>
    <w:rsid w:val="00514842"/>
    <w:rsid w:val="005148BB"/>
    <w:rsid w:val="00523EF3"/>
    <w:rsid w:val="0053460F"/>
    <w:rsid w:val="005421C3"/>
    <w:rsid w:val="00542768"/>
    <w:rsid w:val="00544076"/>
    <w:rsid w:val="00545589"/>
    <w:rsid w:val="005463D0"/>
    <w:rsid w:val="00547D2B"/>
    <w:rsid w:val="00550B1D"/>
    <w:rsid w:val="005531AD"/>
    <w:rsid w:val="00553478"/>
    <w:rsid w:val="00560DAE"/>
    <w:rsid w:val="005615F5"/>
    <w:rsid w:val="00561A3A"/>
    <w:rsid w:val="0056312E"/>
    <w:rsid w:val="0056368C"/>
    <w:rsid w:val="00567373"/>
    <w:rsid w:val="005715D3"/>
    <w:rsid w:val="0057334C"/>
    <w:rsid w:val="005733DC"/>
    <w:rsid w:val="00580132"/>
    <w:rsid w:val="005840F8"/>
    <w:rsid w:val="005874BE"/>
    <w:rsid w:val="00590CA8"/>
    <w:rsid w:val="005A3F39"/>
    <w:rsid w:val="005A4708"/>
    <w:rsid w:val="005B145C"/>
    <w:rsid w:val="005B31A5"/>
    <w:rsid w:val="005B631A"/>
    <w:rsid w:val="005C0AB6"/>
    <w:rsid w:val="005C0EF5"/>
    <w:rsid w:val="005C128F"/>
    <w:rsid w:val="005C1B45"/>
    <w:rsid w:val="005C3D19"/>
    <w:rsid w:val="005C68EB"/>
    <w:rsid w:val="005D0AC0"/>
    <w:rsid w:val="005D33A8"/>
    <w:rsid w:val="005E0CD1"/>
    <w:rsid w:val="005E6B58"/>
    <w:rsid w:val="005F4E70"/>
    <w:rsid w:val="0060007E"/>
    <w:rsid w:val="006004B6"/>
    <w:rsid w:val="00602E39"/>
    <w:rsid w:val="006149B7"/>
    <w:rsid w:val="00615CC5"/>
    <w:rsid w:val="00622B56"/>
    <w:rsid w:val="0062444C"/>
    <w:rsid w:val="0062587C"/>
    <w:rsid w:val="00630299"/>
    <w:rsid w:val="00631B88"/>
    <w:rsid w:val="00631FB5"/>
    <w:rsid w:val="006323C5"/>
    <w:rsid w:val="00636813"/>
    <w:rsid w:val="00636BCD"/>
    <w:rsid w:val="006419D2"/>
    <w:rsid w:val="0064335F"/>
    <w:rsid w:val="00643B1A"/>
    <w:rsid w:val="00645537"/>
    <w:rsid w:val="0065147C"/>
    <w:rsid w:val="006632DD"/>
    <w:rsid w:val="006639A5"/>
    <w:rsid w:val="00665322"/>
    <w:rsid w:val="00665E8C"/>
    <w:rsid w:val="00666974"/>
    <w:rsid w:val="00667A0D"/>
    <w:rsid w:val="00667E55"/>
    <w:rsid w:val="00681CE2"/>
    <w:rsid w:val="00684504"/>
    <w:rsid w:val="00684B74"/>
    <w:rsid w:val="00685736"/>
    <w:rsid w:val="00685929"/>
    <w:rsid w:val="00685F3D"/>
    <w:rsid w:val="0068716B"/>
    <w:rsid w:val="00690DC2"/>
    <w:rsid w:val="006917BB"/>
    <w:rsid w:val="006A426D"/>
    <w:rsid w:val="006B3498"/>
    <w:rsid w:val="006C3A4E"/>
    <w:rsid w:val="006C5A23"/>
    <w:rsid w:val="006C7A7B"/>
    <w:rsid w:val="006D2384"/>
    <w:rsid w:val="006D457A"/>
    <w:rsid w:val="006D5800"/>
    <w:rsid w:val="006E23C6"/>
    <w:rsid w:val="006E3F40"/>
    <w:rsid w:val="006E41D0"/>
    <w:rsid w:val="006E585A"/>
    <w:rsid w:val="006E791C"/>
    <w:rsid w:val="006E7E50"/>
    <w:rsid w:val="006F097A"/>
    <w:rsid w:val="006F0AAF"/>
    <w:rsid w:val="006F1611"/>
    <w:rsid w:val="006F1650"/>
    <w:rsid w:val="006F6F65"/>
    <w:rsid w:val="006F78A1"/>
    <w:rsid w:val="0070491D"/>
    <w:rsid w:val="007054F7"/>
    <w:rsid w:val="0070751A"/>
    <w:rsid w:val="00710421"/>
    <w:rsid w:val="007112D4"/>
    <w:rsid w:val="00712D73"/>
    <w:rsid w:val="0071640F"/>
    <w:rsid w:val="0072202B"/>
    <w:rsid w:val="00725183"/>
    <w:rsid w:val="007270DB"/>
    <w:rsid w:val="00727538"/>
    <w:rsid w:val="00732239"/>
    <w:rsid w:val="00732A21"/>
    <w:rsid w:val="0073320A"/>
    <w:rsid w:val="00735156"/>
    <w:rsid w:val="0074067A"/>
    <w:rsid w:val="00740C99"/>
    <w:rsid w:val="00741D2E"/>
    <w:rsid w:val="00743564"/>
    <w:rsid w:val="007615F1"/>
    <w:rsid w:val="00765169"/>
    <w:rsid w:val="00765982"/>
    <w:rsid w:val="00766085"/>
    <w:rsid w:val="007660A4"/>
    <w:rsid w:val="00772CAF"/>
    <w:rsid w:val="00775C29"/>
    <w:rsid w:val="007809E7"/>
    <w:rsid w:val="00782EEB"/>
    <w:rsid w:val="00785953"/>
    <w:rsid w:val="007935A4"/>
    <w:rsid w:val="00794ABD"/>
    <w:rsid w:val="007A1388"/>
    <w:rsid w:val="007A5446"/>
    <w:rsid w:val="007A5473"/>
    <w:rsid w:val="007A679C"/>
    <w:rsid w:val="007B0787"/>
    <w:rsid w:val="007B17A5"/>
    <w:rsid w:val="007B4B2B"/>
    <w:rsid w:val="007B6E02"/>
    <w:rsid w:val="007C0048"/>
    <w:rsid w:val="007C19A0"/>
    <w:rsid w:val="007C73EF"/>
    <w:rsid w:val="007E733F"/>
    <w:rsid w:val="007F149B"/>
    <w:rsid w:val="00807CC9"/>
    <w:rsid w:val="0081115E"/>
    <w:rsid w:val="00815D7A"/>
    <w:rsid w:val="008172AD"/>
    <w:rsid w:val="008211E7"/>
    <w:rsid w:val="00821902"/>
    <w:rsid w:val="00821A2B"/>
    <w:rsid w:val="008245B3"/>
    <w:rsid w:val="008327E4"/>
    <w:rsid w:val="00832D07"/>
    <w:rsid w:val="0083451C"/>
    <w:rsid w:val="00837D67"/>
    <w:rsid w:val="008403A8"/>
    <w:rsid w:val="00845CE1"/>
    <w:rsid w:val="0084659D"/>
    <w:rsid w:val="008515E4"/>
    <w:rsid w:val="00853460"/>
    <w:rsid w:val="00854D13"/>
    <w:rsid w:val="00856731"/>
    <w:rsid w:val="008571DA"/>
    <w:rsid w:val="00864E62"/>
    <w:rsid w:val="00866F06"/>
    <w:rsid w:val="00877D12"/>
    <w:rsid w:val="00885BB5"/>
    <w:rsid w:val="00886B8D"/>
    <w:rsid w:val="0089229E"/>
    <w:rsid w:val="00893BEC"/>
    <w:rsid w:val="008B0D5E"/>
    <w:rsid w:val="008B2E0D"/>
    <w:rsid w:val="008B3E26"/>
    <w:rsid w:val="008B578F"/>
    <w:rsid w:val="008C158C"/>
    <w:rsid w:val="008C179F"/>
    <w:rsid w:val="008C3CB3"/>
    <w:rsid w:val="008C759D"/>
    <w:rsid w:val="008C79BD"/>
    <w:rsid w:val="008C7C9A"/>
    <w:rsid w:val="008D1395"/>
    <w:rsid w:val="008D79E7"/>
    <w:rsid w:val="008E0DC2"/>
    <w:rsid w:val="008E6879"/>
    <w:rsid w:val="008F59D1"/>
    <w:rsid w:val="009002D8"/>
    <w:rsid w:val="00905D61"/>
    <w:rsid w:val="00907362"/>
    <w:rsid w:val="0091306D"/>
    <w:rsid w:val="00913B6C"/>
    <w:rsid w:val="00915215"/>
    <w:rsid w:val="00917553"/>
    <w:rsid w:val="009178F1"/>
    <w:rsid w:val="0092220D"/>
    <w:rsid w:val="00922308"/>
    <w:rsid w:val="00923D73"/>
    <w:rsid w:val="00927AF9"/>
    <w:rsid w:val="00931C29"/>
    <w:rsid w:val="00931F30"/>
    <w:rsid w:val="00947085"/>
    <w:rsid w:val="0094724E"/>
    <w:rsid w:val="0095455F"/>
    <w:rsid w:val="0095509C"/>
    <w:rsid w:val="009640F3"/>
    <w:rsid w:val="0096500A"/>
    <w:rsid w:val="009668A7"/>
    <w:rsid w:val="00971186"/>
    <w:rsid w:val="0098031C"/>
    <w:rsid w:val="00983517"/>
    <w:rsid w:val="00983A62"/>
    <w:rsid w:val="00992979"/>
    <w:rsid w:val="00995582"/>
    <w:rsid w:val="009A0C14"/>
    <w:rsid w:val="009B3077"/>
    <w:rsid w:val="009B4C4D"/>
    <w:rsid w:val="009B5E75"/>
    <w:rsid w:val="009B70F5"/>
    <w:rsid w:val="009C1D28"/>
    <w:rsid w:val="009C1E4B"/>
    <w:rsid w:val="009C541E"/>
    <w:rsid w:val="009D0B77"/>
    <w:rsid w:val="009D10AF"/>
    <w:rsid w:val="009D5978"/>
    <w:rsid w:val="009D730D"/>
    <w:rsid w:val="009E247D"/>
    <w:rsid w:val="009F3A97"/>
    <w:rsid w:val="009F402B"/>
    <w:rsid w:val="009F4894"/>
    <w:rsid w:val="009F6084"/>
    <w:rsid w:val="009F616E"/>
    <w:rsid w:val="00A01111"/>
    <w:rsid w:val="00A0410E"/>
    <w:rsid w:val="00A042FC"/>
    <w:rsid w:val="00A0586A"/>
    <w:rsid w:val="00A05A06"/>
    <w:rsid w:val="00A103BC"/>
    <w:rsid w:val="00A10647"/>
    <w:rsid w:val="00A1688A"/>
    <w:rsid w:val="00A20C40"/>
    <w:rsid w:val="00A3232D"/>
    <w:rsid w:val="00A34CE2"/>
    <w:rsid w:val="00A42650"/>
    <w:rsid w:val="00A50015"/>
    <w:rsid w:val="00A520A5"/>
    <w:rsid w:val="00A52468"/>
    <w:rsid w:val="00A5491C"/>
    <w:rsid w:val="00A56B32"/>
    <w:rsid w:val="00A6061A"/>
    <w:rsid w:val="00A62A5E"/>
    <w:rsid w:val="00A63634"/>
    <w:rsid w:val="00A64E07"/>
    <w:rsid w:val="00A722D1"/>
    <w:rsid w:val="00A74B74"/>
    <w:rsid w:val="00A8031B"/>
    <w:rsid w:val="00A80ABA"/>
    <w:rsid w:val="00A8114B"/>
    <w:rsid w:val="00A85AA3"/>
    <w:rsid w:val="00A86B40"/>
    <w:rsid w:val="00A86F5A"/>
    <w:rsid w:val="00A877FD"/>
    <w:rsid w:val="00A9059B"/>
    <w:rsid w:val="00A914F0"/>
    <w:rsid w:val="00A940EE"/>
    <w:rsid w:val="00A95CF8"/>
    <w:rsid w:val="00AA21DF"/>
    <w:rsid w:val="00AB6231"/>
    <w:rsid w:val="00AC5C77"/>
    <w:rsid w:val="00AD4FC3"/>
    <w:rsid w:val="00AE0D8D"/>
    <w:rsid w:val="00AE1E85"/>
    <w:rsid w:val="00AF4E24"/>
    <w:rsid w:val="00AF5D4F"/>
    <w:rsid w:val="00AF6353"/>
    <w:rsid w:val="00B005F0"/>
    <w:rsid w:val="00B06BED"/>
    <w:rsid w:val="00B11D7D"/>
    <w:rsid w:val="00B131AA"/>
    <w:rsid w:val="00B2618B"/>
    <w:rsid w:val="00B263A7"/>
    <w:rsid w:val="00B30862"/>
    <w:rsid w:val="00B32D17"/>
    <w:rsid w:val="00B331B9"/>
    <w:rsid w:val="00B37F7D"/>
    <w:rsid w:val="00B41A37"/>
    <w:rsid w:val="00B4562C"/>
    <w:rsid w:val="00B54E4B"/>
    <w:rsid w:val="00B55BCF"/>
    <w:rsid w:val="00B6760C"/>
    <w:rsid w:val="00B70402"/>
    <w:rsid w:val="00B756ED"/>
    <w:rsid w:val="00B82654"/>
    <w:rsid w:val="00B82EF8"/>
    <w:rsid w:val="00B879F2"/>
    <w:rsid w:val="00B87AB1"/>
    <w:rsid w:val="00B9360E"/>
    <w:rsid w:val="00B96385"/>
    <w:rsid w:val="00BA1582"/>
    <w:rsid w:val="00BA1CB5"/>
    <w:rsid w:val="00BA50FA"/>
    <w:rsid w:val="00BA5857"/>
    <w:rsid w:val="00BB0247"/>
    <w:rsid w:val="00BB3188"/>
    <w:rsid w:val="00BC0D25"/>
    <w:rsid w:val="00BC5257"/>
    <w:rsid w:val="00BD2A57"/>
    <w:rsid w:val="00BD4506"/>
    <w:rsid w:val="00BD6023"/>
    <w:rsid w:val="00BD7C2A"/>
    <w:rsid w:val="00BE00A7"/>
    <w:rsid w:val="00BE11CE"/>
    <w:rsid w:val="00BE2A05"/>
    <w:rsid w:val="00C00F94"/>
    <w:rsid w:val="00C026FC"/>
    <w:rsid w:val="00C02754"/>
    <w:rsid w:val="00C0334B"/>
    <w:rsid w:val="00C0359B"/>
    <w:rsid w:val="00C07824"/>
    <w:rsid w:val="00C15922"/>
    <w:rsid w:val="00C22827"/>
    <w:rsid w:val="00C264B7"/>
    <w:rsid w:val="00C27E1A"/>
    <w:rsid w:val="00C34A1E"/>
    <w:rsid w:val="00C35D30"/>
    <w:rsid w:val="00C3716D"/>
    <w:rsid w:val="00C37FCD"/>
    <w:rsid w:val="00C45B41"/>
    <w:rsid w:val="00C46A1C"/>
    <w:rsid w:val="00C47CC2"/>
    <w:rsid w:val="00C5070C"/>
    <w:rsid w:val="00C50AE8"/>
    <w:rsid w:val="00C51EFA"/>
    <w:rsid w:val="00C55E80"/>
    <w:rsid w:val="00C64DD6"/>
    <w:rsid w:val="00C67527"/>
    <w:rsid w:val="00C82BFD"/>
    <w:rsid w:val="00C86D3B"/>
    <w:rsid w:val="00C907E3"/>
    <w:rsid w:val="00C929A1"/>
    <w:rsid w:val="00C97A5C"/>
    <w:rsid w:val="00CA27EF"/>
    <w:rsid w:val="00CA2C9E"/>
    <w:rsid w:val="00CA77CF"/>
    <w:rsid w:val="00CB096A"/>
    <w:rsid w:val="00CB41E0"/>
    <w:rsid w:val="00CC0407"/>
    <w:rsid w:val="00CC10D2"/>
    <w:rsid w:val="00CC33CA"/>
    <w:rsid w:val="00CC48C1"/>
    <w:rsid w:val="00CC506C"/>
    <w:rsid w:val="00CD17FB"/>
    <w:rsid w:val="00CD3BA4"/>
    <w:rsid w:val="00CD5476"/>
    <w:rsid w:val="00CD7DA1"/>
    <w:rsid w:val="00CE1C2D"/>
    <w:rsid w:val="00CE33CC"/>
    <w:rsid w:val="00CE6131"/>
    <w:rsid w:val="00CE64A2"/>
    <w:rsid w:val="00CF0275"/>
    <w:rsid w:val="00CF1732"/>
    <w:rsid w:val="00CF3347"/>
    <w:rsid w:val="00D00B16"/>
    <w:rsid w:val="00D05573"/>
    <w:rsid w:val="00D05D92"/>
    <w:rsid w:val="00D061A9"/>
    <w:rsid w:val="00D07F9F"/>
    <w:rsid w:val="00D12EA8"/>
    <w:rsid w:val="00D15A31"/>
    <w:rsid w:val="00D17A7B"/>
    <w:rsid w:val="00D34F13"/>
    <w:rsid w:val="00D352DA"/>
    <w:rsid w:val="00D402B2"/>
    <w:rsid w:val="00D412D1"/>
    <w:rsid w:val="00D422DC"/>
    <w:rsid w:val="00D500FD"/>
    <w:rsid w:val="00D52243"/>
    <w:rsid w:val="00D529DC"/>
    <w:rsid w:val="00D61F1E"/>
    <w:rsid w:val="00D622CC"/>
    <w:rsid w:val="00D62B56"/>
    <w:rsid w:val="00D63C73"/>
    <w:rsid w:val="00D7599B"/>
    <w:rsid w:val="00D77656"/>
    <w:rsid w:val="00D81321"/>
    <w:rsid w:val="00D84332"/>
    <w:rsid w:val="00D84E77"/>
    <w:rsid w:val="00D84F15"/>
    <w:rsid w:val="00D9020B"/>
    <w:rsid w:val="00D97CD7"/>
    <w:rsid w:val="00DA0925"/>
    <w:rsid w:val="00DA0C23"/>
    <w:rsid w:val="00DA5F0A"/>
    <w:rsid w:val="00DB0624"/>
    <w:rsid w:val="00DB2A3D"/>
    <w:rsid w:val="00DB37B9"/>
    <w:rsid w:val="00DB4132"/>
    <w:rsid w:val="00DB5E86"/>
    <w:rsid w:val="00DB6C20"/>
    <w:rsid w:val="00DB6E42"/>
    <w:rsid w:val="00DC2D35"/>
    <w:rsid w:val="00DC4D22"/>
    <w:rsid w:val="00DD3C66"/>
    <w:rsid w:val="00DD4857"/>
    <w:rsid w:val="00DD4E2C"/>
    <w:rsid w:val="00DD548F"/>
    <w:rsid w:val="00DD7856"/>
    <w:rsid w:val="00DE0B47"/>
    <w:rsid w:val="00DE330A"/>
    <w:rsid w:val="00DE48BE"/>
    <w:rsid w:val="00DE4E79"/>
    <w:rsid w:val="00DE6A9A"/>
    <w:rsid w:val="00DF178C"/>
    <w:rsid w:val="00DF1C54"/>
    <w:rsid w:val="00DF4610"/>
    <w:rsid w:val="00E00169"/>
    <w:rsid w:val="00E0157F"/>
    <w:rsid w:val="00E019DE"/>
    <w:rsid w:val="00E0470F"/>
    <w:rsid w:val="00E05F2D"/>
    <w:rsid w:val="00E1002E"/>
    <w:rsid w:val="00E10C8F"/>
    <w:rsid w:val="00E12C9B"/>
    <w:rsid w:val="00E1318A"/>
    <w:rsid w:val="00E21646"/>
    <w:rsid w:val="00E243E2"/>
    <w:rsid w:val="00E2610C"/>
    <w:rsid w:val="00E272A8"/>
    <w:rsid w:val="00E35384"/>
    <w:rsid w:val="00E37ED9"/>
    <w:rsid w:val="00E417C4"/>
    <w:rsid w:val="00E446AD"/>
    <w:rsid w:val="00E54449"/>
    <w:rsid w:val="00E548AE"/>
    <w:rsid w:val="00E56607"/>
    <w:rsid w:val="00E572CC"/>
    <w:rsid w:val="00E65BB5"/>
    <w:rsid w:val="00E6787E"/>
    <w:rsid w:val="00E705C6"/>
    <w:rsid w:val="00E747B6"/>
    <w:rsid w:val="00E755DC"/>
    <w:rsid w:val="00E75D3A"/>
    <w:rsid w:val="00E84192"/>
    <w:rsid w:val="00E8759B"/>
    <w:rsid w:val="00E95BE0"/>
    <w:rsid w:val="00E96673"/>
    <w:rsid w:val="00EA0570"/>
    <w:rsid w:val="00EA2105"/>
    <w:rsid w:val="00EA5988"/>
    <w:rsid w:val="00EB222A"/>
    <w:rsid w:val="00EB36B9"/>
    <w:rsid w:val="00EB640D"/>
    <w:rsid w:val="00EB6CFC"/>
    <w:rsid w:val="00ED39E8"/>
    <w:rsid w:val="00ED4AEF"/>
    <w:rsid w:val="00ED6111"/>
    <w:rsid w:val="00ED6B89"/>
    <w:rsid w:val="00EE09C9"/>
    <w:rsid w:val="00EE332D"/>
    <w:rsid w:val="00EE6582"/>
    <w:rsid w:val="00EF1572"/>
    <w:rsid w:val="00EF48D7"/>
    <w:rsid w:val="00F018C9"/>
    <w:rsid w:val="00F02D24"/>
    <w:rsid w:val="00F152D7"/>
    <w:rsid w:val="00F15557"/>
    <w:rsid w:val="00F15DE0"/>
    <w:rsid w:val="00F16655"/>
    <w:rsid w:val="00F17A7B"/>
    <w:rsid w:val="00F200AF"/>
    <w:rsid w:val="00F234AC"/>
    <w:rsid w:val="00F25CE5"/>
    <w:rsid w:val="00F33197"/>
    <w:rsid w:val="00F3360F"/>
    <w:rsid w:val="00F436BC"/>
    <w:rsid w:val="00F44B44"/>
    <w:rsid w:val="00F4648C"/>
    <w:rsid w:val="00F50680"/>
    <w:rsid w:val="00F521EC"/>
    <w:rsid w:val="00F5328C"/>
    <w:rsid w:val="00F5617B"/>
    <w:rsid w:val="00F636C1"/>
    <w:rsid w:val="00F6479A"/>
    <w:rsid w:val="00F654B5"/>
    <w:rsid w:val="00F666E9"/>
    <w:rsid w:val="00F6745B"/>
    <w:rsid w:val="00F67FC6"/>
    <w:rsid w:val="00F70084"/>
    <w:rsid w:val="00F76D69"/>
    <w:rsid w:val="00F80735"/>
    <w:rsid w:val="00F82391"/>
    <w:rsid w:val="00F85547"/>
    <w:rsid w:val="00F86786"/>
    <w:rsid w:val="00F87596"/>
    <w:rsid w:val="00F926FC"/>
    <w:rsid w:val="00FA3BD4"/>
    <w:rsid w:val="00FB1729"/>
    <w:rsid w:val="00FB469E"/>
    <w:rsid w:val="00FB5EC0"/>
    <w:rsid w:val="00FB69C3"/>
    <w:rsid w:val="00FC0987"/>
    <w:rsid w:val="00FC5BA6"/>
    <w:rsid w:val="00FC5F86"/>
    <w:rsid w:val="00FC644F"/>
    <w:rsid w:val="00FC7143"/>
    <w:rsid w:val="00FD4579"/>
    <w:rsid w:val="00FD7063"/>
    <w:rsid w:val="00FE1737"/>
    <w:rsid w:val="00FE50E5"/>
    <w:rsid w:val="00FF0C55"/>
    <w:rsid w:val="00FF2640"/>
    <w:rsid w:val="00FF79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6910C"/>
  <w15:docId w15:val="{DC9D1569-8B3B-41EB-900E-1D9F24C3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ALTS FOOTNOTE,Footnote,ft1"/>
    <w:basedOn w:val="Normal"/>
    <w:link w:val="FootnoteTextChar"/>
    <w:uiPriority w:val="99"/>
    <w:unhideWhenUsed/>
    <w:qFormat/>
    <w:rsid w:val="00197CB7"/>
    <w:pPr>
      <w:spacing w:after="0" w:line="240" w:lineRule="auto"/>
    </w:pPr>
    <w:rPr>
      <w:rFonts w:ascii="Arial" w:eastAsia="Calibri" w:hAnsi="Arial"/>
      <w:sz w:val="20"/>
      <w:szCs w:val="20"/>
    </w:rPr>
  </w:style>
  <w:style w:type="character" w:customStyle="1" w:styleId="FootnoteTextChar">
    <w:name w:val="Footnote Text Char"/>
    <w:aliases w:val="Footnote Text Char Char Char Char1,Footnote Text Char Char Char2,Fußnote Char1,single space Char,FOOTNOTES Char,fn Char,ft Char,ADB Char,pod carou Char,Footnote Text Char2 Char Char,Footnote Text Char1 Char Char Char,Footnote Char"/>
    <w:link w:val="FootnoteText"/>
    <w:rsid w:val="00197CB7"/>
    <w:rPr>
      <w:rFonts w:ascii="Arial" w:eastAsia="Calibri" w:hAnsi="Arial"/>
      <w:lang w:val="sq-AL" w:eastAsia="en-US"/>
    </w:rPr>
  </w:style>
  <w:style w:type="character" w:styleId="FootnoteReference">
    <w:name w:val="footnote reference"/>
    <w:aliases w:val="ftref,BVI fnr, BVI fnr,Footnote Reference Number,16 Point,Superscript 6 Point,footnote ref,referencia nota al pie,Nota de pie,Ref,de nota al pie,Footnote symbol,Appel note de bas de p,Appel note de bas de p + (Asian) Batang,Black,fr,o"/>
    <w:link w:val="CharChar1CharCharCharChar1CharCharCharCharCharCharCharChar"/>
    <w:uiPriority w:val="99"/>
    <w:unhideWhenUsed/>
    <w:qFormat/>
    <w:rsid w:val="00197CB7"/>
    <w:rPr>
      <w:vertAlign w:val="superscript"/>
    </w:rPr>
  </w:style>
  <w:style w:type="paragraph" w:styleId="ListParagraph">
    <w:name w:val="List Paragraph"/>
    <w:aliases w:val="Table/Figure Heading,Listeafsnit,List Paragraph1,Bullets,List Paragraph (numbered (a)),Akapit z listą BS,Ha,Resume Title,List Paragraph 1,Citation List,1st level - Bullet List Paragraph,Lettre d'introduction,Paragrafo elenco,Heading 2_sj"/>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aliases w:val="Table/Figure Heading Char,Listeafsnit Char,List Paragraph1 Char,Bullets Char,List Paragraph (numbered (a)) Char,Akapit z listą BS Char,Ha Char,Resume Title Char,List Paragraph 1 Char,Citation List Char,Lettre d'introduction Char"/>
    <w:link w:val="ListParagraph"/>
    <w:uiPriority w:val="34"/>
    <w:qFormat/>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Hyperlink">
    <w:name w:val="Hyperlink"/>
    <w:rsid w:val="0098031C"/>
    <w:rPr>
      <w:color w:val="0000FF"/>
      <w:u w:val="single"/>
    </w:rPr>
  </w:style>
  <w:style w:type="character" w:customStyle="1" w:styleId="apple-converted-space">
    <w:name w:val="apple-converted-space"/>
    <w:basedOn w:val="DefaultParagraphFont"/>
    <w:rsid w:val="0098031C"/>
  </w:style>
  <w:style w:type="character" w:customStyle="1" w:styleId="ListParagraphChar2">
    <w:name w:val="List Paragraph Char2"/>
    <w:uiPriority w:val="34"/>
    <w:rsid w:val="0098031C"/>
    <w:rPr>
      <w:rFonts w:ascii="Calibri" w:eastAsia="Calibri" w:hAnsi="Calibri"/>
      <w:sz w:val="22"/>
      <w:szCs w:val="22"/>
    </w:rPr>
  </w:style>
  <w:style w:type="paragraph" w:customStyle="1" w:styleId="Default">
    <w:name w:val="Default"/>
    <w:rsid w:val="0098031C"/>
    <w:pPr>
      <w:autoSpaceDE w:val="0"/>
      <w:autoSpaceDN w:val="0"/>
      <w:adjustRightInd w:val="0"/>
    </w:pPr>
    <w:rPr>
      <w:rFonts w:ascii="EUAlbertina" w:hAnsi="EUAlbertina" w:cs="EUAlbertina"/>
      <w:color w:val="000000"/>
      <w:sz w:val="24"/>
      <w:szCs w:val="24"/>
      <w:lang w:eastAsia="en-US"/>
    </w:rPr>
  </w:style>
  <w:style w:type="character" w:customStyle="1" w:styleId="hps">
    <w:name w:val="hps"/>
    <w:basedOn w:val="DefaultParagraphFont"/>
    <w:rsid w:val="0098031C"/>
  </w:style>
  <w:style w:type="character" w:customStyle="1" w:styleId="alt-edited1">
    <w:name w:val="alt-edited1"/>
    <w:rsid w:val="00636813"/>
    <w:rPr>
      <w:color w:val="4D90F0"/>
    </w:rPr>
  </w:style>
  <w:style w:type="table" w:styleId="TableGrid">
    <w:name w:val="Table Grid"/>
    <w:basedOn w:val="TableNormal"/>
    <w:uiPriority w:val="39"/>
    <w:rsid w:val="00A64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 Char Char,Footnote Text Char Char Char1,Fußnote Char,single space Char1,FOOTNOTES Char1,fn Char1,ft Char1,ADB Char1,pod carou Char1,Footnote Text Char2 Char Char1,Footnote Text Char1 Char Char Char1,ft1 Char"/>
    <w:rsid w:val="00E65BB5"/>
    <w:rPr>
      <w:rFonts w:ascii="Times New Roman" w:eastAsia="Times New Roman" w:hAnsi="Times New Roman" w:cs="Times New Roman"/>
      <w:sz w:val="20"/>
      <w:szCs w:val="20"/>
      <w:lang w:eastAsia="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E65BB5"/>
    <w:pPr>
      <w:spacing w:after="160" w:line="240" w:lineRule="exact"/>
      <w:ind w:firstLine="360"/>
      <w:jc w:val="both"/>
    </w:pPr>
    <w:rPr>
      <w:sz w:val="20"/>
      <w:szCs w:val="20"/>
      <w:vertAlign w:val="superscript"/>
      <w:lang w:eastAsia="en-GB"/>
    </w:rPr>
  </w:style>
  <w:style w:type="character" w:styleId="CommentReference">
    <w:name w:val="annotation reference"/>
    <w:basedOn w:val="DefaultParagraphFont"/>
    <w:uiPriority w:val="99"/>
    <w:semiHidden/>
    <w:unhideWhenUsed/>
    <w:rsid w:val="0022341A"/>
    <w:rPr>
      <w:sz w:val="16"/>
      <w:szCs w:val="16"/>
    </w:rPr>
  </w:style>
  <w:style w:type="paragraph" w:styleId="CommentText">
    <w:name w:val="annotation text"/>
    <w:basedOn w:val="Normal"/>
    <w:link w:val="CommentTextChar"/>
    <w:uiPriority w:val="99"/>
    <w:unhideWhenUsed/>
    <w:rsid w:val="0022341A"/>
    <w:pPr>
      <w:spacing w:line="240" w:lineRule="auto"/>
    </w:pPr>
    <w:rPr>
      <w:sz w:val="20"/>
      <w:szCs w:val="20"/>
    </w:rPr>
  </w:style>
  <w:style w:type="character" w:customStyle="1" w:styleId="CommentTextChar">
    <w:name w:val="Comment Text Char"/>
    <w:basedOn w:val="DefaultParagraphFont"/>
    <w:link w:val="CommentText"/>
    <w:uiPriority w:val="99"/>
    <w:rsid w:val="0022341A"/>
    <w:rPr>
      <w:lang w:eastAsia="en-US"/>
    </w:rPr>
  </w:style>
  <w:style w:type="paragraph" w:styleId="CommentSubject">
    <w:name w:val="annotation subject"/>
    <w:basedOn w:val="CommentText"/>
    <w:next w:val="CommentText"/>
    <w:link w:val="CommentSubjectChar"/>
    <w:uiPriority w:val="99"/>
    <w:semiHidden/>
    <w:unhideWhenUsed/>
    <w:rsid w:val="0022341A"/>
    <w:rPr>
      <w:b/>
      <w:bCs/>
    </w:rPr>
  </w:style>
  <w:style w:type="character" w:customStyle="1" w:styleId="CommentSubjectChar">
    <w:name w:val="Comment Subject Char"/>
    <w:basedOn w:val="CommentTextChar"/>
    <w:link w:val="CommentSubject"/>
    <w:uiPriority w:val="99"/>
    <w:semiHidden/>
    <w:rsid w:val="0022341A"/>
    <w:rPr>
      <w:b/>
      <w:bCs/>
      <w:lang w:eastAsia="en-US"/>
    </w:rPr>
  </w:style>
  <w:style w:type="paragraph" w:styleId="Revision">
    <w:name w:val="Revision"/>
    <w:hidden/>
    <w:uiPriority w:val="99"/>
    <w:semiHidden/>
    <w:rsid w:val="00C5070C"/>
    <w:rPr>
      <w:sz w:val="22"/>
      <w:szCs w:val="22"/>
      <w:lang w:eastAsia="en-US"/>
    </w:rPr>
  </w:style>
  <w:style w:type="character" w:customStyle="1" w:styleId="y2iqfc">
    <w:name w:val="y2iqfc"/>
    <w:basedOn w:val="DefaultParagraphFont"/>
    <w:rsid w:val="00B96385"/>
  </w:style>
  <w:style w:type="character" w:customStyle="1" w:styleId="bold">
    <w:name w:val="bold"/>
    <w:basedOn w:val="DefaultParagraphFont"/>
    <w:rsid w:val="00CF0275"/>
  </w:style>
  <w:style w:type="character" w:styleId="FollowedHyperlink">
    <w:name w:val="FollowedHyperlink"/>
    <w:basedOn w:val="DefaultParagraphFont"/>
    <w:uiPriority w:val="99"/>
    <w:semiHidden/>
    <w:unhideWhenUsed/>
    <w:rsid w:val="000554C6"/>
    <w:rPr>
      <w:color w:val="954F72" w:themeColor="followedHyperlink"/>
      <w:u w:val="single"/>
    </w:rPr>
  </w:style>
  <w:style w:type="paragraph" w:styleId="NormalWeb">
    <w:name w:val="Normal (Web)"/>
    <w:basedOn w:val="Normal"/>
    <w:uiPriority w:val="99"/>
    <w:unhideWhenUsed/>
    <w:rsid w:val="009F608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94826">
      <w:bodyDiv w:val="1"/>
      <w:marLeft w:val="0"/>
      <w:marRight w:val="0"/>
      <w:marTop w:val="0"/>
      <w:marBottom w:val="0"/>
      <w:divBdr>
        <w:top w:val="none" w:sz="0" w:space="0" w:color="auto"/>
        <w:left w:val="none" w:sz="0" w:space="0" w:color="auto"/>
        <w:bottom w:val="none" w:sz="0" w:space="0" w:color="auto"/>
        <w:right w:val="none" w:sz="0" w:space="0" w:color="auto"/>
      </w:divBdr>
    </w:div>
    <w:div w:id="353457880">
      <w:bodyDiv w:val="1"/>
      <w:marLeft w:val="0"/>
      <w:marRight w:val="0"/>
      <w:marTop w:val="0"/>
      <w:marBottom w:val="0"/>
      <w:divBdr>
        <w:top w:val="none" w:sz="0" w:space="0" w:color="auto"/>
        <w:left w:val="none" w:sz="0" w:space="0" w:color="auto"/>
        <w:bottom w:val="none" w:sz="0" w:space="0" w:color="auto"/>
        <w:right w:val="none" w:sz="0" w:space="0" w:color="auto"/>
      </w:divBdr>
    </w:div>
    <w:div w:id="529491123">
      <w:bodyDiv w:val="1"/>
      <w:marLeft w:val="0"/>
      <w:marRight w:val="0"/>
      <w:marTop w:val="0"/>
      <w:marBottom w:val="0"/>
      <w:divBdr>
        <w:top w:val="none" w:sz="0" w:space="0" w:color="auto"/>
        <w:left w:val="none" w:sz="0" w:space="0" w:color="auto"/>
        <w:bottom w:val="none" w:sz="0" w:space="0" w:color="auto"/>
        <w:right w:val="none" w:sz="0" w:space="0" w:color="auto"/>
      </w:divBdr>
    </w:div>
    <w:div w:id="1142117104">
      <w:bodyDiv w:val="1"/>
      <w:marLeft w:val="0"/>
      <w:marRight w:val="0"/>
      <w:marTop w:val="0"/>
      <w:marBottom w:val="0"/>
      <w:divBdr>
        <w:top w:val="none" w:sz="0" w:space="0" w:color="auto"/>
        <w:left w:val="none" w:sz="0" w:space="0" w:color="auto"/>
        <w:bottom w:val="none" w:sz="0" w:space="0" w:color="auto"/>
        <w:right w:val="none" w:sz="0" w:space="0" w:color="auto"/>
      </w:divBdr>
    </w:div>
    <w:div w:id="1271279113">
      <w:bodyDiv w:val="1"/>
      <w:marLeft w:val="0"/>
      <w:marRight w:val="0"/>
      <w:marTop w:val="0"/>
      <w:marBottom w:val="0"/>
      <w:divBdr>
        <w:top w:val="none" w:sz="0" w:space="0" w:color="auto"/>
        <w:left w:val="none" w:sz="0" w:space="0" w:color="auto"/>
        <w:bottom w:val="none" w:sz="0" w:space="0" w:color="auto"/>
        <w:right w:val="none" w:sz="0" w:space="0" w:color="auto"/>
      </w:divBdr>
    </w:div>
    <w:div w:id="1980918402">
      <w:bodyDiv w:val="1"/>
      <w:marLeft w:val="0"/>
      <w:marRight w:val="0"/>
      <w:marTop w:val="0"/>
      <w:marBottom w:val="0"/>
      <w:divBdr>
        <w:top w:val="none" w:sz="0" w:space="0" w:color="auto"/>
        <w:left w:val="none" w:sz="0" w:space="0" w:color="auto"/>
        <w:bottom w:val="none" w:sz="0" w:space="0" w:color="auto"/>
        <w:right w:val="none" w:sz="0" w:space="0" w:color="auto"/>
      </w:divBdr>
    </w:div>
    <w:div w:id="2102214711">
      <w:bodyDiv w:val="1"/>
      <w:marLeft w:val="0"/>
      <w:marRight w:val="0"/>
      <w:marTop w:val="0"/>
      <w:marBottom w:val="0"/>
      <w:divBdr>
        <w:top w:val="none" w:sz="0" w:space="0" w:color="auto"/>
        <w:left w:val="none" w:sz="0" w:space="0" w:color="auto"/>
        <w:bottom w:val="none" w:sz="0" w:space="0" w:color="auto"/>
        <w:right w:val="none" w:sz="0" w:space="0" w:color="auto"/>
      </w:divBdr>
    </w:div>
    <w:div w:id="212195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hqipe.n.gashi@rks-gov.ne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iftar.nika@rks-gov.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10AB-5F8C-4052-B398-4DF77901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2456</Words>
  <Characters>14005</Characters>
  <Application>Microsoft Office Word</Application>
  <DocSecurity>0</DocSecurity>
  <Lines>116</Lines>
  <Paragraphs>32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Workshop Summary Report</vt:lpstr>
      <vt:lpstr>Workshop Summary Report</vt:lpstr>
      <vt:lpstr>Workshop Summary Report</vt:lpstr>
    </vt:vector>
  </TitlesOfParts>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subject/>
  <dc:creator>Postolache, Elena</dc:creator>
  <cp:keywords/>
  <dc:description/>
  <cp:lastModifiedBy>Tringe Sokoli</cp:lastModifiedBy>
  <cp:revision>12</cp:revision>
  <cp:lastPrinted>2015-01-05T12:29:00Z</cp:lastPrinted>
  <dcterms:created xsi:type="dcterms:W3CDTF">2024-08-07T09:12:00Z</dcterms:created>
  <dcterms:modified xsi:type="dcterms:W3CDTF">2024-10-16T12:51:00Z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8157a61885eb51ffeae65ff0fca60e88ba44029f64b8718ba4df4131169775f0</vt:lpwstr>
  </property>
</Properties>
</file>