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4329C" w14:textId="77777777" w:rsidR="0063000E" w:rsidRPr="00697017" w:rsidRDefault="0063000E" w:rsidP="009D4FA9">
      <w:pPr>
        <w:pStyle w:val="Title"/>
        <w:pBdr>
          <w:bottom w:val="single" w:sz="8" w:space="0" w:color="5B9BD5"/>
        </w:pBdr>
        <w:spacing w:before="120" w:after="0" w:line="276" w:lineRule="auto"/>
        <w:jc w:val="center"/>
        <w:rPr>
          <w:sz w:val="36"/>
          <w:szCs w:val="36"/>
          <w:rFonts w:ascii="Arial" w:hAnsi="Arial" w:cs="Arial"/>
        </w:rPr>
      </w:pPr>
      <w:r>
        <w:rPr>
          <w:sz w:val="36"/>
          <w:rFonts w:ascii="Arial" w:hAnsi="Arial"/>
        </w:rPr>
        <w:t xml:space="preserve">Formular za identifikaciju projekta (FIP):</w:t>
      </w:r>
      <w:r>
        <w:rPr>
          <w:sz w:val="36"/>
          <w:rFonts w:ascii="Arial" w:hAnsi="Arial"/>
        </w:rPr>
        <w:t xml:space="preserve"> </w:t>
      </w:r>
      <w:r>
        <w:rPr>
          <w:sz w:val="36"/>
          <w:rFonts w:ascii="Arial" w:hAnsi="Arial"/>
        </w:rPr>
        <w:t xml:space="preserve">Transportni sektor</w:t>
      </w:r>
    </w:p>
    <w:p w14:paraId="1F067A52" w14:textId="77777777" w:rsidR="00EC5996" w:rsidRPr="000B7DF4" w:rsidRDefault="00EC5996" w:rsidP="00EC5996">
      <w:pPr>
        <w:jc w:val="center"/>
        <w:rPr>
          <w:rFonts w:ascii="Arial" w:hAnsi="Arial" w:cs="Arial"/>
        </w:rPr>
      </w:pPr>
    </w:p>
    <w:p w14:paraId="568F4D17" w14:textId="77777777" w:rsidR="00EC5996" w:rsidRPr="006424C4" w:rsidRDefault="00EC5996" w:rsidP="00EC5996">
      <w:pPr>
        <w:jc w:val="center"/>
        <w:rPr>
          <w:b/>
          <w:sz w:val="28"/>
          <w:szCs w:val="28"/>
          <w:rFonts w:ascii="Arial" w:hAnsi="Arial" w:cs="Arial"/>
        </w:rPr>
      </w:pPr>
      <w:bookmarkStart w:id="0" w:name="_Toc125536122"/>
      <w:r>
        <w:rPr>
          <w:b/>
          <w:sz w:val="28"/>
          <w:rFonts w:ascii="Arial" w:hAnsi="Arial"/>
        </w:rPr>
        <w:t xml:space="preserve">Prvi deo</w:t>
      </w:r>
      <w:bookmarkEnd w:id="0"/>
    </w:p>
    <w:p w14:paraId="528D5920" w14:textId="77777777" w:rsidR="00EC5996" w:rsidRPr="00B40D43" w:rsidRDefault="00EC5996" w:rsidP="00EC5996">
      <w:pPr>
        <w:rPr>
          <w:rFonts w:ascii="Arial" w:hAnsi="Arial" w:cs="Arial"/>
          <w:lang w:eastAsia="hr-HR"/>
        </w:rPr>
      </w:pPr>
    </w:p>
    <w:p w14:paraId="13A0FE70" w14:textId="77777777" w:rsidR="00EC5996" w:rsidRPr="00903181" w:rsidRDefault="00EC5996" w:rsidP="00903181">
      <w:pPr>
        <w:pStyle w:val="ListParagraph"/>
        <w:numPr>
          <w:ilvl w:val="0"/>
          <w:numId w:val="2"/>
        </w:numPr>
        <w:spacing w:line="276" w:lineRule="auto"/>
        <w:ind w:hanging="250"/>
        <w:rPr>
          <w:b/>
          <w:szCs w:val="20"/>
          <w:rFonts w:cs="Arial"/>
        </w:rPr>
      </w:pPr>
      <w:r>
        <w:rPr>
          <w:b/>
        </w:rPr>
        <w:t xml:space="preserve">OPŠTE INFORMACIJE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14"/>
        <w:gridCol w:w="6036"/>
      </w:tblGrid>
      <w:tr w:rsidR="00EC5996" w:rsidRPr="008E3B9B" w14:paraId="2EE0B2AC" w14:textId="77777777" w:rsidTr="00B649C0">
        <w:trPr>
          <w:trHeight w:val="346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DD20D" w14:textId="77777777" w:rsidR="00EC5996" w:rsidRPr="008E3B9B" w:rsidRDefault="00EC5996" w:rsidP="00B649C0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projekta: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FB84" w14:textId="77777777" w:rsidR="00EC5996" w:rsidRPr="0063000E" w:rsidRDefault="00903181" w:rsidP="0051207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autoputa, trasa 7 (Vrh Dulje - Štimlje- Lipljan), 31 km</w:t>
            </w:r>
          </w:p>
        </w:tc>
      </w:tr>
      <w:tr w:rsidR="00EC5996" w:rsidRPr="008E3B9B" w14:paraId="512AF621" w14:textId="77777777" w:rsidTr="00B649C0">
        <w:trPr>
          <w:trHeight w:val="330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34167" w14:textId="77777777" w:rsidR="00EC5996" w:rsidRPr="008E3B9B" w:rsidRDefault="00EC5996" w:rsidP="00B649C0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Sektor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1337" w14:textId="77777777" w:rsidR="00EC5996" w:rsidRPr="00C54155" w:rsidRDefault="00EC5996" w:rsidP="00B649C0">
            <w:pPr>
              <w:spacing w:before="60" w:after="60" w:line="260" w:lineRule="atLeast"/>
              <w:jc w:val="both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EC5996" w:rsidRPr="008E3B9B" w14:paraId="6399EE41" w14:textId="77777777" w:rsidTr="00B649C0">
        <w:trPr>
          <w:trHeight w:val="330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11EF6" w14:textId="77777777" w:rsidR="00EC5996" w:rsidRPr="008E3B9B" w:rsidRDefault="00EC5996" w:rsidP="00B649C0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Podsektor* (vidi spisak na poslednjoj strani)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E71" w14:textId="77777777" w:rsidR="00EC5996" w:rsidRPr="00C54155" w:rsidRDefault="00EC5996" w:rsidP="00B649C0">
            <w:pPr>
              <w:spacing w:before="60" w:after="60" w:line="260" w:lineRule="atLeast"/>
              <w:jc w:val="both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Putevi</w:t>
            </w:r>
          </w:p>
        </w:tc>
      </w:tr>
      <w:tr w:rsidR="00EC5996" w:rsidRPr="008E3B9B" w14:paraId="010FC90B" w14:textId="77777777" w:rsidTr="00B649C0">
        <w:trPr>
          <w:trHeight w:val="330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61F36" w14:textId="77777777" w:rsidR="00EC5996" w:rsidRPr="008E3B9B" w:rsidRDefault="00EC5996" w:rsidP="00B649C0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Vodeći korisnik projekta/predlagač: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E2A" w14:textId="77777777" w:rsidR="00EC5996" w:rsidRPr="00C54155" w:rsidRDefault="00EC5996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 (MŽSPPI)</w:t>
            </w:r>
          </w:p>
        </w:tc>
      </w:tr>
      <w:tr w:rsidR="00EC5996" w:rsidRPr="008E3B9B" w14:paraId="0273C7A4" w14:textId="77777777" w:rsidTr="00B649C0">
        <w:trPr>
          <w:trHeight w:val="330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A4964" w14:textId="77777777" w:rsidR="00EC5996" w:rsidRPr="008E3B9B" w:rsidRDefault="00EC5996" w:rsidP="00B649C0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Institucija autor predloga projekta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73F9" w14:textId="77777777" w:rsidR="00EC5996" w:rsidRPr="00C54155" w:rsidRDefault="00903181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MŽSPPI</w:t>
            </w:r>
          </w:p>
        </w:tc>
      </w:tr>
      <w:tr w:rsidR="00EC5996" w:rsidRPr="008E3B9B" w14:paraId="4F170DC4" w14:textId="77777777" w:rsidTr="00B649C0">
        <w:trPr>
          <w:trHeight w:val="330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E8A31" w14:textId="77777777" w:rsidR="00EC5996" w:rsidRPr="008E3B9B" w:rsidRDefault="00EC5996" w:rsidP="00B649C0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Lokacija/mapa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3955" w14:textId="27980B5A" w:rsidR="00E06591" w:rsidRDefault="00EC5996" w:rsidP="00B649C0">
            <w:pPr>
              <w:spacing w:before="60" w:after="60" w:line="260" w:lineRule="atLeast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rFonts w:ascii="Arial" w:hAnsi="Arial"/>
              </w:rPr>
              <w:drawing>
                <wp:inline distT="0" distB="0" distL="0" distR="0" wp14:anchorId="72914C7F" wp14:editId="27A97BC8">
                  <wp:extent cx="3571154" cy="420052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9326" t="24800" r="25482" b="13626"/>
                          <a:stretch/>
                        </pic:blipFill>
                        <pic:spPr bwMode="auto">
                          <a:xfrm>
                            <a:off x="0" y="0"/>
                            <a:ext cx="3615400" cy="4252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BE6770" w14:textId="77777777" w:rsidR="00E06591" w:rsidRPr="00E06591" w:rsidRDefault="00E06591" w:rsidP="00E065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E2C5F" w14:textId="77777777" w:rsidR="00E06591" w:rsidRPr="00E06591" w:rsidRDefault="00E06591" w:rsidP="00E065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05EFC" w14:textId="77777777" w:rsidR="00E06591" w:rsidRPr="00E06591" w:rsidRDefault="00E06591" w:rsidP="00E065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BD8A6" w14:textId="77777777" w:rsidR="00E06591" w:rsidRPr="00E06591" w:rsidRDefault="00E06591" w:rsidP="00E065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31725" w14:textId="77777777" w:rsidR="00E06591" w:rsidRPr="00E06591" w:rsidRDefault="00E06591" w:rsidP="00E065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84C79" w14:textId="0D3328DB" w:rsidR="00EC5996" w:rsidRPr="00E06591" w:rsidRDefault="00EC5996" w:rsidP="00E065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A2C6D" w14:textId="5C8CE463" w:rsidR="00EC5996" w:rsidRPr="00E06591" w:rsidRDefault="00EC5996" w:rsidP="00B649C0">
            <w:pPr>
              <w:spacing w:before="60" w:after="60" w:line="260" w:lineRule="atLeast"/>
              <w:rPr>
                <w:noProof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B83EA" wp14:editId="465076AF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2514600</wp:posOffset>
                      </wp:positionV>
                      <wp:extent cx="323850" cy="1212850"/>
                      <wp:effectExtent l="0" t="292100" r="0" b="2984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01715">
                                <a:off x="0" y="0"/>
                                <a:ext cx="323850" cy="1212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50196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oval w14:anchorId="418AA908" id="Oval 30" o:spid="_x0000_s1026" style="position:absolute;margin-left:158.65pt;margin-top:198pt;width:25.5pt;height:95.5pt;rotation:306022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" fillcolor="#5b9bd5" strokecolor="#1f3763 [1604]" strokeweight="1pt">
                      <v:fill opacity="32896f"/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  <w:rFonts w:ascii="Arial" w:hAnsi="Arial"/>
              </w:rPr>
              <w:drawing>
                <wp:inline distT="0" distB="0" distL="0" distR="0" wp14:anchorId="17E5E6C7" wp14:editId="1AA84E27">
                  <wp:extent cx="3000375" cy="3770711"/>
                  <wp:effectExtent l="0" t="0" r="0" b="127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990" cy="3795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996" w:rsidRPr="008E3B9B" w14:paraId="5B8E6134" w14:textId="77777777" w:rsidTr="00931830">
        <w:trPr>
          <w:trHeight w:val="2501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7EC93" w14:textId="77777777" w:rsidR="00EC5996" w:rsidRPr="008E3B9B" w:rsidRDefault="00EC5996" w:rsidP="00B649C0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Ukupna procenjana investicija:</w:t>
            </w:r>
          </w:p>
          <w:p w14:paraId="0DBB8B1D" w14:textId="77777777" w:rsidR="00EC5996" w:rsidRPr="008E3B9B" w:rsidRDefault="00EC5996" w:rsidP="00EC5996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Pripremne aktivnosti (planska dokumentacija, tehnička dokumentacija, kupovima zemljišta, itd.)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  <w:p w14:paraId="6ED4847D" w14:textId="77777777" w:rsidR="00EC5996" w:rsidRPr="008E3B9B" w:rsidRDefault="00EC5996" w:rsidP="00EC5996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Građevinski radovi</w:t>
            </w:r>
          </w:p>
          <w:p w14:paraId="69EBAF03" w14:textId="77777777" w:rsidR="00EC5996" w:rsidRPr="008E3B9B" w:rsidRDefault="00EC5996" w:rsidP="00EC5996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Nadzor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CD2" w14:textId="1362970B" w:rsidR="00EC5996" w:rsidRPr="0063000E" w:rsidRDefault="00512070" w:rsidP="00B649C0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bookmarkStart w:id="2" w:name="_Hlk125459938"/>
            <w:r>
              <w:rPr>
                <w:sz w:val="20"/>
                <w:rFonts w:ascii="Arial" w:hAnsi="Arial"/>
              </w:rPr>
              <w:t xml:space="preserve">Ukupna investicija: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425.000.000,00 EUR</w:t>
            </w:r>
          </w:p>
          <w:p w14:paraId="257AE8E4" w14:textId="77777777" w:rsidR="00EC5996" w:rsidRPr="0063000E" w:rsidRDefault="00EC5996" w:rsidP="00B649C0">
            <w:pPr>
              <w:spacing w:before="60" w:after="60" w:line="260" w:lineRule="atLeast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Od čega:</w:t>
            </w:r>
          </w:p>
          <w:p w14:paraId="774539EF" w14:textId="59B5DE17" w:rsidR="00EC5996" w:rsidRPr="0063000E" w:rsidRDefault="00EC5996" w:rsidP="00EC5996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bCs/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Pripremne aktivnosti: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18.000.000,00 EUR</w:t>
            </w:r>
          </w:p>
          <w:p w14:paraId="35CC6E20" w14:textId="0D34E715" w:rsidR="00EC5996" w:rsidRPr="0063000E" w:rsidRDefault="00EC5996" w:rsidP="00EC5996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bCs/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Građevinski radovi: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400.000.000,00 EUR</w:t>
            </w:r>
          </w:p>
          <w:p w14:paraId="7EA99577" w14:textId="71560ACA" w:rsidR="00EC5996" w:rsidRPr="0063000E" w:rsidRDefault="00EC5996" w:rsidP="00EC5996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b/>
                <w:bCs/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Nadzor radova: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7.000.000,00 EUR</w:t>
            </w:r>
          </w:p>
          <w:bookmarkEnd w:id="2"/>
          <w:p w14:paraId="4AD80040" w14:textId="77777777" w:rsidR="00EC5996" w:rsidRPr="0063000E" w:rsidRDefault="00EC5996" w:rsidP="00B649C0">
            <w:pPr>
              <w:spacing w:before="60" w:after="6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4AE6" w:rsidRPr="008E3B9B" w14:paraId="084C97A3" w14:textId="77777777" w:rsidTr="00DB23F3">
        <w:trPr>
          <w:trHeight w:val="346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3EC73" w14:textId="77777777" w:rsidR="00ED4AE6" w:rsidRPr="008E3B9B" w:rsidRDefault="00ED4AE6" w:rsidP="00ED4AE6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Odgovorno ili ovlašćeno lice za kontakt: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FE10" w14:textId="1E70304E" w:rsidR="00ED4AE6" w:rsidRPr="00ED4AE6" w:rsidRDefault="00ED4AE6" w:rsidP="00ED4AE6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Redže Osmanaj</w:t>
            </w:r>
          </w:p>
        </w:tc>
      </w:tr>
      <w:tr w:rsidR="00ED4AE6" w:rsidRPr="008E3B9B" w14:paraId="1B0F958B" w14:textId="77777777" w:rsidTr="00DB23F3">
        <w:trPr>
          <w:trHeight w:val="346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20A60" w14:textId="77777777" w:rsidR="00ED4AE6" w:rsidRPr="008E3B9B" w:rsidRDefault="00ED4AE6" w:rsidP="00ED4AE6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- radno mesto: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EA91" w14:textId="1EB21C89" w:rsidR="00ED4AE6" w:rsidRPr="00ED4AE6" w:rsidRDefault="00ED4AE6" w:rsidP="00ED4AE6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Redže Osmanaj - v.d. direktora Odeljenja za infrastrukturu</w:t>
            </w:r>
          </w:p>
        </w:tc>
      </w:tr>
      <w:tr w:rsidR="00ED4AE6" w:rsidRPr="008E3B9B" w14:paraId="19F25CAB" w14:textId="77777777" w:rsidTr="00DB23F3">
        <w:trPr>
          <w:trHeight w:val="346"/>
          <w:jc w:val="center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8B94E" w14:textId="77777777" w:rsidR="00ED4AE6" w:rsidRPr="008E3B9B" w:rsidRDefault="00ED4AE6" w:rsidP="00ED4AE6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E-mail adresa - telefon: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98B" w14:textId="663408D8" w:rsidR="00ED4AE6" w:rsidRPr="00ED4AE6" w:rsidRDefault="00ED4AE6" w:rsidP="00ED4AE6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Rexhe.Osmanaj@rks-gov.net, 044 220 517</w:t>
            </w:r>
          </w:p>
        </w:tc>
      </w:tr>
    </w:tbl>
    <w:p w14:paraId="01D9D76E" w14:textId="77777777" w:rsidR="00EC5996" w:rsidRDefault="00EC5996" w:rsidP="00EC5996">
      <w:pPr>
        <w:pStyle w:val="ListParagraph"/>
        <w:spacing w:line="276" w:lineRule="auto"/>
        <w:ind w:left="340"/>
        <w:jc w:val="both"/>
        <w:rPr>
          <w:rFonts w:cs="Arial"/>
          <w:b/>
          <w:szCs w:val="20"/>
        </w:rPr>
      </w:pPr>
    </w:p>
    <w:p w14:paraId="1D2A3921" w14:textId="77777777" w:rsidR="00EC5996" w:rsidRDefault="00EC5996" w:rsidP="00EC5996">
      <w:pPr>
        <w:pStyle w:val="ListParagraph"/>
        <w:numPr>
          <w:ilvl w:val="0"/>
          <w:numId w:val="2"/>
        </w:numPr>
        <w:spacing w:line="276" w:lineRule="auto"/>
        <w:ind w:hanging="160"/>
        <w:jc w:val="both"/>
        <w:rPr>
          <w:b/>
          <w:szCs w:val="20"/>
          <w:rFonts w:cs="Arial"/>
        </w:rPr>
      </w:pPr>
      <w:r>
        <w:rPr>
          <w:b/>
        </w:rPr>
        <w:t xml:space="preserve">OPIS PROJEKTA</w:t>
      </w:r>
    </w:p>
    <w:p w14:paraId="77DE7A3C" w14:textId="77777777" w:rsidR="00EC5996" w:rsidRPr="001D58F9" w:rsidRDefault="00EC5996" w:rsidP="00EC5996">
      <w:pPr>
        <w:pStyle w:val="ListParagraph"/>
        <w:spacing w:line="276" w:lineRule="auto"/>
        <w:ind w:left="340"/>
        <w:jc w:val="both"/>
        <w:rPr>
          <w:rFonts w:cs="Arial"/>
          <w:b/>
          <w:sz w:val="16"/>
          <w:szCs w:val="16"/>
        </w:rPr>
      </w:pPr>
    </w:p>
    <w:tbl>
      <w:tblPr>
        <w:tblW w:w="4947" w:type="pct"/>
        <w:tblInd w:w="108" w:type="dxa"/>
        <w:tblLook w:val="01E0" w:firstRow="1" w:lastRow="1" w:firstColumn="1" w:lastColumn="1" w:noHBand="0" w:noVBand="0"/>
      </w:tblPr>
      <w:tblGrid>
        <w:gridCol w:w="3721"/>
        <w:gridCol w:w="5530"/>
      </w:tblGrid>
      <w:tr w:rsidR="00EC5996" w:rsidRPr="008E3B9B" w14:paraId="25C54364" w14:textId="77777777" w:rsidTr="00B649C0">
        <w:trPr>
          <w:trHeight w:val="346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43913" w14:textId="77777777" w:rsidR="00EC5996" w:rsidRPr="008E3B9B" w:rsidRDefault="00EC5996" w:rsidP="00B649C0">
            <w:pPr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Svrha infrastrukturnog projekta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953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nalazi na produžetku Panevropskog koridora X / krak X c/.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Ima očiglednu stratešku dimenziju sa regionalnog aspekta, što je razlog da se potvrdi kao deo trase 7 u sveobuhvatnoj osnovnoj transportnoj mreži koju definiše SEETO.</w:t>
            </w:r>
          </w:p>
          <w:p w14:paraId="3D1FAA34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Opšti cilj projekta je podrška razvoju saobraćajne infrastrukture kao i reformskim procesima u sektoru saobraćaja na Kosovu i regionu u skladu sa relevantnim direktivama i uredbama EU.</w:t>
            </w:r>
          </w:p>
          <w:p w14:paraId="02D15773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Specifični cilj projekta je nastavak autoputa – Put 7 koji počinje od granice Albanije/Kosova i završava se na raskrsnici, izlaz Priština sever.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Sprovođenjem ove deonice, put 7 će biti završen, a deonica od južnog izlaza Prištine do severnog izlaza Prištine biće u potpunosti funkcionalna.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Osnovna regionalna transportna mreža jugoistočne Evrope uspostavljena je projektom REBIS (Studija regionalne infrastrukture Balkana) koji finansira EU i usvojen 2003. godine od strane vlada regiona.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Kroz Kosovo prolaze dve rute ove mreže, i to: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34147FFD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• Put 6 koja povezuje Koridor VIII u Severnoj Makedoniji (Skoplje) preko Prištine sa putem 4 u istočnom delu Crne Gore;</w:t>
            </w:r>
          </w:p>
          <w:p w14:paraId="117EE302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• Put 7 koji povezuje Koridor X u Srbiji (Niš) preko Prištine do jadranske/jonske obale u Albaniji.</w:t>
            </w:r>
          </w:p>
          <w:p w14:paraId="4BD782E4" w14:textId="77777777" w:rsidR="00EC5996" w:rsidRPr="008E3B9B" w:rsidRDefault="00EC5996" w:rsidP="00B649C0">
            <w:pPr>
              <w:spacing w:before="60" w:after="60" w:line="260" w:lineRule="atLeast"/>
              <w:jc w:val="both"/>
              <w:rPr>
                <w:i/>
                <w:color w:val="2E74B5" w:themeColor="accent5" w:themeShade="BF"/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autoputa između Ćafa Dulje - Štimlje - Lipljan (segment puta 7) smatra se regionalnim projektom koji povezuje Kosovo i susedne zemlje; doprinosi regionalnoj koheziji i pomoći će u razvoju besprekornih veza za putnike i teret na zapadnom Balkanu.</w:t>
            </w:r>
            <w:r>
              <w:rPr>
                <w:sz w:val="20"/>
                <w:rFonts w:ascii="Arial" w:hAnsi="Arial"/>
              </w:rPr>
              <w:t xml:space="preserve">  </w:t>
            </w:r>
            <w:r>
              <w:rPr>
                <w:sz w:val="20"/>
                <w:rFonts w:ascii="Arial" w:hAnsi="Arial"/>
              </w:rPr>
              <w:t xml:space="preserve">Ovo je glavna direktna putna veza između Albanije, Srbije i Kosova, koja bi obezbedila nesmetan protok ljudi i robe.</w:t>
            </w:r>
          </w:p>
        </w:tc>
      </w:tr>
      <w:tr w:rsidR="00EC5996" w:rsidRPr="008E3B9B" w14:paraId="01D13100" w14:textId="77777777" w:rsidTr="00B649C0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70FA6" w14:textId="77777777" w:rsidR="00EC5996" w:rsidRPr="008E3B9B" w:rsidRDefault="00EC5996" w:rsidP="00B649C0">
            <w:pPr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Rezultati infrastrukturnog projekta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F3F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Realizacija projekta će direktno uticati na poboljšanje putne veze sa Albanijom, Severnom Makedonijom i Srbijom i doprineće integraciji Kosova u transportni sistem regiona i cele Evrope.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u regionu jugoistočne Evrope ovaj projekat doprinosi značajnom povećanju obima tranzitnog saobraćaja između SEETO mreže i ostatka Evrope.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projekat će takođe rezultirati sledećim:</w:t>
            </w:r>
          </w:p>
          <w:p w14:paraId="26B5C9B7" w14:textId="77777777" w:rsidR="00EC5996" w:rsidRPr="0063000E" w:rsidRDefault="0063000E" w:rsidP="00512070">
            <w:pPr>
              <w:numPr>
                <w:ilvl w:val="0"/>
                <w:numId w:val="5"/>
              </w:num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vremena putovanja;</w:t>
            </w:r>
          </w:p>
          <w:p w14:paraId="2708458D" w14:textId="77777777" w:rsidR="00EC5996" w:rsidRPr="0063000E" w:rsidRDefault="0063000E" w:rsidP="00512070">
            <w:pPr>
              <w:numPr>
                <w:ilvl w:val="0"/>
                <w:numId w:val="5"/>
              </w:num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troškova održavanja putne infrastrukture;</w:t>
            </w:r>
          </w:p>
          <w:p w14:paraId="0361046C" w14:textId="77777777" w:rsidR="00EC5996" w:rsidRPr="0063000E" w:rsidRDefault="00EC5996" w:rsidP="00512070">
            <w:pPr>
              <w:numPr>
                <w:ilvl w:val="0"/>
                <w:numId w:val="5"/>
              </w:num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isplativost u pogledu zaštite životne sredine, udesa i gužvi na graničnom prelazu Merdare i urbanom području u blizini postojeće saobraćajnice u odnosu na konkurentske puteve;</w:t>
            </w:r>
          </w:p>
          <w:p w14:paraId="3BF360AD" w14:textId="77777777" w:rsidR="00EC5996" w:rsidRPr="0063000E" w:rsidRDefault="0063000E" w:rsidP="00512070">
            <w:pPr>
              <w:numPr>
                <w:ilvl w:val="0"/>
                <w:numId w:val="5"/>
              </w:num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podsticanje razvoja zapadnog Balkana kroz bolje veze;</w:t>
            </w:r>
          </w:p>
          <w:p w14:paraId="02D0A498" w14:textId="77777777" w:rsidR="00EC5996" w:rsidRPr="0063000E" w:rsidRDefault="00EC5996" w:rsidP="00512070">
            <w:pPr>
              <w:numPr>
                <w:ilvl w:val="0"/>
                <w:numId w:val="5"/>
              </w:numPr>
              <w:spacing w:before="60" w:after="60" w:line="260" w:lineRule="atLeast"/>
              <w:contextualSpacing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ekonomski rast i društveni razvoj;</w:t>
            </w:r>
          </w:p>
          <w:p w14:paraId="1947033C" w14:textId="77777777" w:rsidR="00EC5996" w:rsidRPr="0063000E" w:rsidRDefault="00903181" w:rsidP="00512070">
            <w:pPr>
              <w:numPr>
                <w:ilvl w:val="0"/>
                <w:numId w:val="5"/>
              </w:numPr>
              <w:spacing w:before="60" w:after="60" w:line="260" w:lineRule="atLeast"/>
              <w:contextualSpacing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olakšavanje trgovinskih i ekonomskih veza sa susednim zemljama i državama članicama EU;</w:t>
            </w:r>
          </w:p>
          <w:p w14:paraId="5453C820" w14:textId="77777777" w:rsidR="00EC5996" w:rsidRPr="0063000E" w:rsidRDefault="0063000E" w:rsidP="00512070">
            <w:pPr>
              <w:numPr>
                <w:ilvl w:val="0"/>
                <w:numId w:val="5"/>
              </w:numPr>
              <w:spacing w:before="60" w:after="60" w:line="260" w:lineRule="atLeast"/>
              <w:contextualSpacing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uslova puteva i putovanja u skladu sa prioritetima EU i SEETO,</w:t>
            </w:r>
          </w:p>
          <w:p w14:paraId="2D314E5D" w14:textId="77777777" w:rsidR="00EC5996" w:rsidRPr="0063000E" w:rsidRDefault="0063000E" w:rsidP="00512070">
            <w:pPr>
              <w:numPr>
                <w:ilvl w:val="0"/>
                <w:numId w:val="5"/>
              </w:numPr>
              <w:spacing w:before="60" w:after="60" w:line="260" w:lineRule="atLeast"/>
              <w:contextualSpacing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obezbeđivanje sigurnih i pouzdanih putovanja i poboljšan kapacitet puteva.</w:t>
            </w:r>
          </w:p>
          <w:p w14:paraId="57981E59" w14:textId="77777777" w:rsidR="00EC5996" w:rsidRPr="0063000E" w:rsidRDefault="00EC5996" w:rsidP="00B649C0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Rezultat ažuriranja studije izvodljivosti biće utvrđivanje prostorne, ekološke, socijalne, finansijske i ekonomske opravdanosti investicije, stvaranje osnova za donošenje odluke o opravdanosti investicije i pokretanje postupka za izdavanje građevinske saglasnosti.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 će definisati svrhu, položaj, trasu, poprečni presek, kapacitet, tehničke, tehnološke i funkcionalne karakteristike puta 7.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EC5996" w:rsidRPr="008E3B9B" w14:paraId="63A6D829" w14:textId="77777777" w:rsidTr="00B649C0">
        <w:trPr>
          <w:trHeight w:val="683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1795B" w14:textId="773A5010" w:rsidR="00EC5996" w:rsidRPr="008E3B9B" w:rsidRDefault="00EC5996" w:rsidP="007A1C1C">
            <w:pPr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Opšti opis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8648" w14:textId="77777777" w:rsidR="00EC5996" w:rsidRPr="0063000E" w:rsidRDefault="00512070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Segment Ćafa Dulje - Štimlje - Lipljan (31 km) je poslednja deonica puta 7, a po završetku tekućeg puta 6, Kosovo će imati brzu i bezbednu vezu sa Koridorom X i Koridorom VIII.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će povećati ulazni i izlazni saobraćaj na Kosovu što će dovesti do većih prihoda kroz opuštanje transporta za trgovinska tržišta i olakšavanje turizma za samo Kosovo, ili kao tranzitni put za Jadransko/Jonsko more u Albaniji.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Put 7 se takođe može koristiti kao alternativna trasa za Koridor X i VII, jer omogućava brzu vezu Srbije sa Jadransko/Jonskom obalom, održavajući iste bezbedne uslove na putu.</w:t>
            </w:r>
          </w:p>
          <w:p w14:paraId="2B914A0E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Deo puta 7 je izgrađen od Vrbnice (granica sa Albanijom) do Prištine i put je otvoren za transport od 2013.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Ove trase predstavljaju glavne veze sa susednim glavnim gradovima i sa regionalnom transportnom mrežom u jugoistočnoj Evropi.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 isto vreme, one povezuju neke od glavnih gradova i privrednih centara na Kosovu.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Ministarstvo industrije, preduzetništva i trgovine (MIPT) je 2006. godine naručilo izradu sveobuhvatne studije izvodljivosti i procene životne sredine za dve trase.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Studiju je sproveo konzorcijum na čelu sa COWI A/S (Danska).</w:t>
            </w:r>
          </w:p>
          <w:p w14:paraId="7FD2C303" w14:textId="77777777" w:rsidR="00EC5996" w:rsidRPr="0063000E" w:rsidRDefault="00EC5996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puta koji povezuje Ćafa Dulje – Štimlje – Lipljan predstavlja logičan nastavak građevinskih radova na putu 7.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539058AD" w14:textId="77777777" w:rsidR="00EC5996" w:rsidRPr="008E3B9B" w:rsidRDefault="00EC5996" w:rsidP="0063000E">
            <w:pPr>
              <w:spacing w:before="60" w:after="60" w:line="260" w:lineRule="atLeast"/>
              <w:contextualSpacing/>
              <w:jc w:val="both"/>
              <w:rPr>
                <w:bCs/>
                <w:i/>
                <w:color w:val="2E74B5" w:themeColor="accent5" w:themeShade="BF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Trenutna i hitna potreba da bi se krenulo sa izgradnjom novog puta je ažuriranje Studije izvodljivosti uporedo sa ažuriranjem Idejnog projekta za put 7 na Kosovu, od Ćafe Dulje - Štimlje - Lipljan (dužina od 31 km ) u cilju povezivanja sa postojećim autoputem Priština – albanska granica (Vrbnica).</w:t>
            </w:r>
          </w:p>
        </w:tc>
      </w:tr>
    </w:tbl>
    <w:p w14:paraId="12BF8BA4" w14:textId="77777777" w:rsidR="00EC5996" w:rsidRPr="00B577D4" w:rsidRDefault="00EC5996" w:rsidP="00EC5996">
      <w:pPr>
        <w:jc w:val="both"/>
        <w:rPr>
          <w:rFonts w:cs="Arial"/>
          <w:b/>
        </w:rPr>
      </w:pPr>
    </w:p>
    <w:p w14:paraId="595CD7E3" w14:textId="77777777" w:rsidR="00EC5996" w:rsidRDefault="00EC5996" w:rsidP="00EC5996">
      <w:pPr>
        <w:pStyle w:val="ListParagraph"/>
        <w:numPr>
          <w:ilvl w:val="0"/>
          <w:numId w:val="2"/>
        </w:numPr>
        <w:ind w:hanging="160"/>
        <w:rPr>
          <w:b/>
          <w:rFonts w:cs="Arial"/>
        </w:rPr>
      </w:pPr>
      <w:r>
        <w:rPr>
          <w:b/>
        </w:rPr>
        <w:t xml:space="preserve">PODOBNOST</w:t>
      </w:r>
    </w:p>
    <w:p w14:paraId="59D2F9FA" w14:textId="77777777" w:rsidR="00EC5996" w:rsidRPr="00C67842" w:rsidRDefault="00EC5996" w:rsidP="00EC5996">
      <w:pPr>
        <w:pStyle w:val="ListParagraph"/>
        <w:ind w:left="340"/>
        <w:rPr>
          <w:rFonts w:cs="Arial"/>
          <w:b/>
          <w:sz w:val="16"/>
          <w:szCs w:val="16"/>
        </w:rPr>
      </w:pPr>
    </w:p>
    <w:tbl>
      <w:tblPr>
        <w:tblW w:w="4947" w:type="pct"/>
        <w:tblInd w:w="108" w:type="dxa"/>
        <w:tblLook w:val="01E0" w:firstRow="1" w:lastRow="1" w:firstColumn="1" w:lastColumn="1" w:noHBand="0" w:noVBand="0"/>
      </w:tblPr>
      <w:tblGrid>
        <w:gridCol w:w="3721"/>
        <w:gridCol w:w="5530"/>
      </w:tblGrid>
      <w:tr w:rsidR="00EC5996" w:rsidRPr="008E3B9B" w14:paraId="3447CBB3" w14:textId="77777777" w:rsidTr="00B649C0">
        <w:trPr>
          <w:trHeight w:val="346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CD5D9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važećim politikama i strategijama EU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A23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 Ekonomskom i investicionom planu za zapadni Balkan, Brisel, 6.10.2020, navodi se da će „EU dati prioritet projektima i programima indikativnog proširenja transevropske transportne mreže (TEN-T) koji su od strateškog interesa za regionu i EU“.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u Planu se navodi da su brze i efikasne transportne veze, kako unutar regiona, tako i sa susednim državama članicama EU, i održivi transport sa daljim ulaganjem u železnicu i unutrašnje plovne puteve od ključne važnosti.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promoviše dalju regionalnu saradnju i integraciju povezujući glavne gradove u regionu i EU.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2B09DBF3" w14:textId="77777777" w:rsidR="00C0512B" w:rsidRPr="00C0512B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Instrument za pretpristupnu pomoć (IPA III) za 2021-2027 navodi da je poboljšanje održive povezanosti unutar korisnika IPA III, kao i između njih i Evropske unije, ključni faktor za rast i da će doneti jasne koristi privredama i građanima regiona.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Saobraćajni sektor ima snažan potencijal da doprinese konkurentnosti i trgovini.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Konkurentna, održiva i ekološki prihvatljiva transportna rešenja zahtevaće efikasno kombinovanje vidova transporta drumskim, železničkim, pomorskim i unutrašnjim plovnim putevima.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IPA III će takođe posvetiti pažnju bezbednosti i sigurnosti transporta, posebno u drumskom saobraćaju, i pravima putnika u skladu sa uslovima EU i ciljevima za smanjenje smrtnih slučajeva i ozbiljnih povreda na putevima.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IPA III će podržati izgradnju nove saobraćajne infrastrukture i nadogradnju postojeće infrastrukture, sa ciljem dovođenja osnovne saobraćajne mreže u skladu sa standardima EU.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 će podržati intermodalne veze i postepeni prelazak sa individualnog drumskog prevoza na javnu ili zajedničku mobilnost.</w:t>
            </w:r>
          </w:p>
        </w:tc>
      </w:tr>
      <w:tr w:rsidR="00EC5996" w:rsidRPr="008E3B9B" w14:paraId="23EAE17B" w14:textId="77777777" w:rsidTr="00B649C0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E6460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Doprinos važećim nacionalnim razvojnim ciljevima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8240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bookmarkStart w:id="3" w:name="_Hlk490396054"/>
            <w:r>
              <w:rPr>
                <w:sz w:val="20"/>
                <w:rFonts w:ascii="Arial" w:hAnsi="Arial"/>
              </w:rPr>
              <w:t xml:space="preserve">Projekat je u skladu sa Sporazumom o stabilizaciji i pridruživanju (SSP), između Kosova i Evropske unije kao što je navedeno u članu 113 ovog sporazuma:</w:t>
            </w:r>
          </w:p>
          <w:p w14:paraId="1BBAC71D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„Saradnja između strana će se fokusirati na prioritetne oblasti koje se odnose na pravnu tekovinu EU u oblasti saobraćaja.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Saradnja bi mogla posebno da ima za cilj restrukturiranje i modernizaciju saobraćajnih sistema Kosova i poboljšanje povezane infrastrukture (uključujući i regionalne veze koje je identifikovala Transportna opservatorija jugoistočne Evrope), poboljšanje slobodnog kretanja putnika i robe, postizanje standarda koji su interoperabilni i uporedivi sa onima koji preovlađuju u EU i usklađivanje transportnog zakonodavstva sa zakonodavstvom EU, ukoliko objektivne okolnosti to dozvoljavaju.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Saradnja će imati za cilj da doprinese progresivnom međusobnom pristupu transportnim tržištima i objektima EU i Kosova kako je predviđeno ovim sporazumom, razvoj transportnog sistema na Kosovu kompatibilnog, interoperabilnog i usklađenog sa sistemom EU, i poboljšanje zaštite životne sredine u oblasti transporta.”</w:t>
            </w:r>
          </w:p>
          <w:p w14:paraId="677572A8" w14:textId="77777777" w:rsidR="00EC5996" w:rsidRPr="0063000E" w:rsidRDefault="00C54155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Izveštaj EU za Kosovo 2023 navodi da Kosovo treba da primeni preporuke izveštaja CONNECTA radi poboljšanja kvaliteta putne mreže i akcija."</w:t>
            </w:r>
          </w:p>
          <w:p w14:paraId="1FBC900B" w14:textId="77777777" w:rsidR="00EC5996" w:rsidRPr="0063000E" w:rsidRDefault="00C54155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Nacionalni program za evropske integracije 2023-2027 promoviše modernu i bolju drumsku i železničku saobraćajnu infrastrukturu, u cilju povezivanja na panevropske koridore.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Jedan od glavnih prioriteta vlade je ulaganje u putnu infrastrukturu.</w:t>
            </w:r>
          </w:p>
          <w:p w14:paraId="1FEEB6E3" w14:textId="77777777" w:rsidR="00EC5996" w:rsidRPr="0063000E" w:rsidRDefault="00EC5996" w:rsidP="0051207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ekonomskih reformi 2024-2026 u reformskoj meri 13 bavi se daljim razvojem i modernizaciju saobraćaja.</w:t>
            </w:r>
            <w:bookmarkEnd w:id="3"/>
          </w:p>
        </w:tc>
      </w:tr>
      <w:tr w:rsidR="00EC5996" w:rsidRPr="008E3B9B" w14:paraId="1E72F089" w14:textId="77777777" w:rsidTr="00B649C0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8FC4F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nacionalnim strateškim okvirom sektora saobraćaja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2743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multimodalnog transporta 2030 ima za cilj da donese održiv i integrisan transportni sistem jačanjem različitih vidova (drumski, železnički i vazdušni), kao što su pogodnost, brzina, cena, pouzdanost, predvidljivost, itd., i u kombinaciji, može ponuditi efikasnija transportna rešenja za ljude i robu što će pomoći da se smanji pritisak na našim zakrčenim putevima i da ceo sektor učini ekološki prihvatljivijim, bezbednijim i isplativijim.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14:paraId="3A827E47" w14:textId="77777777" w:rsidR="00EC5996" w:rsidRPr="008E3B9B" w:rsidRDefault="00EC5996" w:rsidP="00EC5996">
      <w:pPr>
        <w:rPr>
          <w:rFonts w:ascii="Arial" w:hAnsi="Arial" w:cs="Arial"/>
        </w:rPr>
      </w:pPr>
    </w:p>
    <w:p w14:paraId="3B3340B6" w14:textId="77777777" w:rsidR="00EC5996" w:rsidRDefault="00EC5996" w:rsidP="00EC5996">
      <w:pPr>
        <w:pStyle w:val="ListParagraph"/>
        <w:numPr>
          <w:ilvl w:val="0"/>
          <w:numId w:val="2"/>
        </w:numPr>
        <w:spacing w:line="276" w:lineRule="auto"/>
        <w:ind w:hanging="160"/>
        <w:rPr>
          <w:b/>
          <w:rFonts w:cs="Arial"/>
        </w:rPr>
      </w:pPr>
      <w:r>
        <w:rPr>
          <w:b/>
        </w:rPr>
        <w:t xml:space="preserve">STRATEŠKA RELEVANTNOST</w:t>
      </w:r>
    </w:p>
    <w:p w14:paraId="38465491" w14:textId="77777777" w:rsidR="00EC5996" w:rsidRPr="00C67842" w:rsidRDefault="00EC5996" w:rsidP="00EC5996">
      <w:pPr>
        <w:pStyle w:val="ListParagraph"/>
        <w:spacing w:line="276" w:lineRule="auto"/>
        <w:ind w:left="340"/>
        <w:rPr>
          <w:rFonts w:cs="Arial"/>
          <w:b/>
          <w:sz w:val="16"/>
          <w:szCs w:val="16"/>
        </w:rPr>
      </w:pPr>
    </w:p>
    <w:tbl>
      <w:tblPr>
        <w:tblW w:w="4947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036"/>
      </w:tblGrid>
      <w:tr w:rsidR="00EC5996" w:rsidRPr="008E3B9B" w14:paraId="60E9E5DB" w14:textId="77777777" w:rsidTr="00B649C0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71F54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Objasnite karakteristike projekta u smislu:</w:t>
            </w:r>
          </w:p>
        </w:tc>
      </w:tr>
      <w:tr w:rsidR="00EC5996" w:rsidRPr="008E3B9B" w14:paraId="040F66F0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3E4A5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intermodalnosti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880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Postoji snažna posvećenost Vlade Kosova da poboljša aspekt intermodalnosti transportnog sistema na Kosovu.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Izgradnju puta 7 treba posmatrati u širem smislu kada je u pitanju intermodalnost, kao pokretač izgradnje intermodalnih centara.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Naime, izgradnjom deonice autoputa između Ćafe Dulje – Štimlje – Lipljan, ekonomski aktivne zone u tom delu Kosova mogle bi da se razviju u intermodalne čvorove koji bi podstakli socio-ekonomski razvoj, ne samo same zemlje (Kosova), već i za susedne zemlje, kao što su Srbija i Albanija, jer ova trasa olakšava Srbiji pristup jadranskoj/jonskoj obali.</w:t>
            </w:r>
          </w:p>
        </w:tc>
      </w:tr>
      <w:tr w:rsidR="00EC5996" w:rsidRPr="008E3B9B" w14:paraId="0BAEA725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CAFE5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Povećanje međunarodnog saobraćaja (teret, lica)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D28F" w14:textId="77777777" w:rsidR="00EC5996" w:rsidRPr="0063000E" w:rsidRDefault="00C0512B" w:rsidP="00C0512B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Štimlje - Lipljan sa priključkom na Koridor X, E-75, će doprineti razvoju kapaciteta mreže, što će rezultirati bržom integracijom puta 7 u Panevropski i regionalni sistem / Sveobuhvatnu mrežu JIE.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Opravdano se očekuje da će saobraćaj ljudi i robe biti značajno povećan.</w:t>
            </w:r>
          </w:p>
        </w:tc>
      </w:tr>
      <w:tr w:rsidR="00EC5996" w:rsidRPr="008E3B9B" w14:paraId="55D15EC6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EFF32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Uključen u najnoviji višegodišnji plan (MAP) SEETO-a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950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rStyle w:val="Hyperlink"/>
                <w:color w:val="auto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Uključen je u najnoviji višegodišnji plan (MAP) SEETO-a, </w:t>
            </w:r>
            <w:hyperlink r:id="rId10" w:history="1">
              <w:r>
                <w:rPr>
                  <w:rStyle w:val="Hyperlink"/>
                  <w:color w:val="auto"/>
                  <w:sz w:val="20"/>
                  <w:rFonts w:ascii="Arial" w:hAnsi="Arial"/>
                </w:rPr>
                <w:t xml:space="preserve">http://www.seetoint.org/library/multi-annual-plans/</w:t>
              </w:r>
            </w:hyperlink>
          </w:p>
          <w:p w14:paraId="3FEF2E56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u w:val="single"/>
                <w:rFonts w:ascii="Arial" w:hAnsi="Arial" w:cs="Arial"/>
              </w:rPr>
            </w:pPr>
            <w:r>
              <w:rPr>
                <w:rFonts w:ascii="Arial" w:hAnsi="Arial"/>
              </w:rPr>
              <w:drawing>
                <wp:inline distT="0" distB="0" distL="0" distR="0" wp14:anchorId="61A19EA0" wp14:editId="104F45E1">
                  <wp:extent cx="3693319" cy="2828925"/>
                  <wp:effectExtent l="0" t="0" r="254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9326" t="24800" r="25482" b="13626"/>
                          <a:stretch/>
                        </pic:blipFill>
                        <pic:spPr bwMode="auto">
                          <a:xfrm>
                            <a:off x="0" y="0"/>
                            <a:ext cx="3707783" cy="2840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996" w:rsidRPr="008E3B9B" w14:paraId="7DB2FC0F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DC159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Obezbeđivanje veze sa TEN-T koridorima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50FE" w14:textId="77777777" w:rsidR="00EC5996" w:rsidRPr="0063000E" w:rsidRDefault="00EC5996" w:rsidP="00B649C0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nalazi na produžetku panevropskog koridora X / krak X c/.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Ima očiglednu stratešku dimenziju sa regionalnog aspekta, što je razlog da se potvrdi da ova deonica puta 7 spada u osnovnu transportnu mrežu koju definiše SEETO.</w:t>
            </w:r>
          </w:p>
        </w:tc>
      </w:tr>
      <w:tr w:rsidR="00EC5996" w:rsidRPr="008E3B9B" w14:paraId="75B9EB6F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CB8D8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poboljšanju uslova bezbednosti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17CE" w14:textId="77777777" w:rsidR="00EC5996" w:rsidRPr="0063000E" w:rsidRDefault="00EC5996" w:rsidP="00C0512B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autoputa Ćafe Dulje – Štimlje – Lipljan će značajno poboljšati bezbednosne uslove na ovom delu putne mreže Kosova.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Naime, izgradnjom autoputa sa savremenim standardima bezbednosti značajno će se smanjiti broj nezgoda, koje je sada posledica prolaska puta kroz veoma naseljen i ekonomski aktivan region Kosova.</w:t>
            </w:r>
          </w:p>
        </w:tc>
      </w:tr>
      <w:tr w:rsidR="00EC5996" w:rsidRPr="008E3B9B" w14:paraId="6AB46909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A0AF7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Nova, nadograđena ili rehabilitovana infrastruktura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97E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 će biti izgrađena nakon novog usklađivanja.</w:t>
            </w:r>
          </w:p>
        </w:tc>
      </w:tr>
      <w:tr w:rsidR="00EC5996" w:rsidRPr="008E3B9B" w14:paraId="4B4298C5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E7E8C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Zadovoljavanje godišnjeg rasta potražnje saobraćaja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97F" w14:textId="77777777" w:rsidR="00EC5996" w:rsidRPr="0063000E" w:rsidRDefault="00EC5996" w:rsidP="00B649C0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saobraćaja je trenutno 6%.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Prema studiji izvodljivosti, nove karakteristike puta će se prilagoditi rastućem saobraćaju.</w:t>
            </w:r>
          </w:p>
        </w:tc>
      </w:tr>
      <w:tr w:rsidR="00EC5996" w:rsidRPr="008E3B9B" w14:paraId="52EC29EE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B8C2A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vremena putovanja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5DA" w14:textId="77777777" w:rsidR="00EC5996" w:rsidRPr="0063000E" w:rsidRDefault="00EC5996" w:rsidP="00B649C0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autoputa između Ćafe Dulje - Štimlja - Lipljana će značajno smanjiti vreme putovanja.</w:t>
            </w:r>
          </w:p>
        </w:tc>
      </w:tr>
      <w:tr w:rsidR="00EC5996" w:rsidRPr="008E3B9B" w14:paraId="51B2B636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1724B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efekat na smanjenje emisije CO</w:t>
            </w:r>
            <w:r>
              <w:rPr>
                <w:sz w:val="20"/>
                <w:vertAlign w:val="subscript"/>
                <w:rFonts w:ascii="Arial" w:hAnsi="Arial"/>
              </w:rPr>
              <w:t xml:space="preserve">2</w:t>
            </w:r>
            <w:r>
              <w:rPr>
                <w:sz w:val="20"/>
                <w:rFonts w:ascii="Arial" w:hAnsi="Arial"/>
              </w:rPr>
              <w:t xml:space="preserve"> i buke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7120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Da, na osnovu prethodne/preliminarne ESIA koju je uradio COWI 2006. godine.</w:t>
            </w:r>
          </w:p>
        </w:tc>
      </w:tr>
      <w:tr w:rsidR="00EC5996" w:rsidRPr="008E3B9B" w14:paraId="5B145A10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50A6F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ukupnom ekonomskom rastu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35D7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bi stvorio značajan potencijal ekonomskog rasta, prema procenama SEETO; EIRR iznosi 8,25%, što se smatra značajnim na zapadnom Balkanu.</w:t>
            </w:r>
          </w:p>
        </w:tc>
      </w:tr>
      <w:tr w:rsidR="00EC5996" w:rsidRPr="008E3B9B" w14:paraId="59C6F9E4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FF373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Njegova integracija sa drugim projektima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23C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integrisan sa završenom deonicom autoputa koji povezuje Prištinu sa Kukešom i Dračem u Albaniji, čime će se skratiti udaljenost do povezivanja sa Koridorom X.</w:t>
            </w:r>
          </w:p>
          <w:p w14:paraId="49B4815F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Stoga se ovaj projekat smatra kao nastavak ulaganja u modernizaciju putne transportne mreže Kosova.</w:t>
            </w:r>
          </w:p>
          <w:p w14:paraId="2CD3F0BB" w14:textId="77777777" w:rsidR="00EC5996" w:rsidRPr="0063000E" w:rsidRDefault="00EC5996" w:rsidP="00B649C0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Pored toga, put 7 će povezati zapadno Kosovo preko puta 6 sa Koridorom VII, obezbeđujući dalju integraciju sa tekućim i predstojećim projektima.</w:t>
            </w:r>
          </w:p>
        </w:tc>
      </w:tr>
      <w:tr w:rsidR="00EC5996" w:rsidRPr="008E3B9B" w14:paraId="2089BF43" w14:textId="77777777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6D965D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Postojanje alternativa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5543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 Studiji izvodljivosti analiziraju se moguće alternativne opcije i odabrana opcija je dokazana kao najadekvatnija i izvodljiva.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</w:tbl>
    <w:p w14:paraId="5F7B3199" w14:textId="77777777" w:rsidR="00EC5996" w:rsidRPr="00B577D4" w:rsidRDefault="00EC5996" w:rsidP="00EC5996">
      <w:pPr>
        <w:pStyle w:val="Heading1"/>
        <w:spacing w:before="0" w:after="0"/>
        <w:jc w:val="center"/>
        <w:rPr>
          <w:rFonts w:ascii="Arial" w:hAnsi="Arial"/>
          <w:sz w:val="28"/>
          <w:szCs w:val="28"/>
          <w:lang w:val="en-US"/>
        </w:rPr>
      </w:pPr>
    </w:p>
    <w:p w14:paraId="142AA6A2" w14:textId="77777777" w:rsidR="00EC5996" w:rsidRPr="006424C4" w:rsidRDefault="00EC5996" w:rsidP="00EC5996">
      <w:pPr>
        <w:jc w:val="center"/>
        <w:rPr>
          <w:b/>
          <w:sz w:val="28"/>
          <w:szCs w:val="28"/>
          <w:rFonts w:ascii="Arial" w:hAnsi="Arial" w:cs="Arial"/>
        </w:rPr>
      </w:pPr>
      <w:bookmarkStart w:id="4" w:name="_Toc125536123"/>
      <w:r>
        <w:rPr>
          <w:b/>
          <w:sz w:val="28"/>
          <w:rFonts w:ascii="Arial" w:hAnsi="Arial"/>
        </w:rPr>
        <w:t xml:space="preserve">Drugi deo</w:t>
      </w:r>
      <w:bookmarkEnd w:id="4"/>
    </w:p>
    <w:p w14:paraId="4347457B" w14:textId="77777777" w:rsidR="00EC5996" w:rsidRPr="00B577D4" w:rsidRDefault="00EC5996" w:rsidP="00EC5996">
      <w:pPr>
        <w:rPr>
          <w:rFonts w:ascii="Arial" w:hAnsi="Arial" w:cs="Arial"/>
          <w:sz w:val="28"/>
          <w:szCs w:val="28"/>
          <w:lang w:eastAsia="hr-HR"/>
        </w:rPr>
      </w:pPr>
    </w:p>
    <w:p w14:paraId="2041551B" w14:textId="77777777" w:rsidR="00EC5996" w:rsidRDefault="00EC5996" w:rsidP="00EC5996">
      <w:pPr>
        <w:pStyle w:val="ListParagraph"/>
        <w:numPr>
          <w:ilvl w:val="0"/>
          <w:numId w:val="2"/>
        </w:numPr>
        <w:spacing w:line="276" w:lineRule="auto"/>
        <w:ind w:hanging="160"/>
        <w:rPr>
          <w:b/>
          <w:rFonts w:cs="Arial"/>
        </w:rPr>
      </w:pPr>
      <w:r>
        <w:rPr>
          <w:b/>
        </w:rPr>
        <w:t xml:space="preserve">ZRELOST</w:t>
      </w:r>
    </w:p>
    <w:p w14:paraId="056AA2FC" w14:textId="77777777" w:rsidR="00EC5996" w:rsidRPr="00C67842" w:rsidRDefault="00EC5996" w:rsidP="00EC5996">
      <w:pPr>
        <w:pStyle w:val="ListParagraph"/>
        <w:spacing w:line="276" w:lineRule="auto"/>
        <w:ind w:left="340"/>
        <w:rPr>
          <w:rFonts w:cs="Arial"/>
          <w:b/>
          <w:sz w:val="16"/>
          <w:szCs w:val="16"/>
        </w:rPr>
      </w:pPr>
    </w:p>
    <w:tbl>
      <w:tblPr>
        <w:tblW w:w="494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3"/>
        <w:gridCol w:w="1480"/>
        <w:gridCol w:w="1317"/>
        <w:gridCol w:w="1201"/>
      </w:tblGrid>
      <w:tr w:rsidR="00EC5996" w:rsidRPr="008E3B9B" w14:paraId="57C75D38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B5D89" w14:textId="77777777" w:rsidR="00EC5996" w:rsidRPr="008E3B9B" w:rsidRDefault="00EC5996" w:rsidP="00B649C0">
            <w:pPr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Dostupne studije i dokumenti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02F41" w14:textId="77777777" w:rsidR="00EC5996" w:rsidRPr="008E3B9B" w:rsidRDefault="00EC5996" w:rsidP="00B649C0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Spremno i odobreno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1AC53" w14:textId="77777777" w:rsidR="00EC5996" w:rsidRPr="008E3B9B" w:rsidRDefault="00EC5996" w:rsidP="00B649C0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Radi se na njima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CD294" w14:textId="77777777" w:rsidR="00EC5996" w:rsidRPr="008E3B9B" w:rsidRDefault="00EC5996" w:rsidP="00B649C0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Još nije počelo</w:t>
            </w:r>
          </w:p>
        </w:tc>
      </w:tr>
      <w:tr w:rsidR="00EC5996" w:rsidRPr="008E3B9B" w14:paraId="2914D800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004F0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Konceptualna ideja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2BA1" w14:textId="109DCAA4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7B0E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B170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996" w:rsidRPr="008E3B9B" w14:paraId="0CF8C85E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F4853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Prethodna studija izvodljivosti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734" w14:textId="4CD910E6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0192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030C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996" w:rsidRPr="008E3B9B" w14:paraId="39C66227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B6BEE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Konceptualni dizajna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29F" w14:textId="154A7349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3CF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A464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996" w:rsidRPr="008E3B9B" w14:paraId="617FDBD3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03322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izvodljivosti + CBA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6556" w14:textId="0BD20E98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0BF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452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996" w:rsidRPr="008E3B9B" w14:paraId="4B981FE6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105EC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EIU (ako je neophodna)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E129" w14:textId="50C40DFA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51A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857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996" w:rsidRPr="008E3B9B" w14:paraId="700F9F00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CA2C8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Važeći dokumenti za prostorno planiranje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9F88" w14:textId="6D94333B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0C2E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080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996" w:rsidRPr="008E3B9B" w14:paraId="524204A9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3B09F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Imovinska pitanja rešena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93B5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7FAF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6360" w14:textId="195E0016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EC5996" w:rsidRPr="008E3B9B" w14:paraId="19AD264D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9965F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Preliminarni dizajn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639" w14:textId="4ED43707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EF22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D0E1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996" w:rsidRPr="008E3B9B" w14:paraId="7F0F321F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3144B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Glavni dizajn/detaljni dizajn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D30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4045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4C6" w14:textId="53ADF68A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EC5996" w:rsidRPr="008E3B9B" w14:paraId="1D0873EE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2D96F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Tenderska dokumentacija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28B3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FC4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EBE4" w14:textId="652F7385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EC5996" w:rsidRPr="008E3B9B" w14:paraId="6F3A9365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42CBA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Građevinska i ostale dozvole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CF6A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C1F0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961" w14:textId="79B7E3F1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EC5996" w:rsidRPr="008E3B9B" w14:paraId="3408BDC0" w14:textId="77777777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57CA2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Ugovor o gradnji potpisan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1EE7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6BC5" w14:textId="77777777" w:rsidR="00EC5996" w:rsidRPr="0063000E" w:rsidRDefault="00EC5996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34F7" w14:textId="22D7F364" w:rsidR="00EC5996" w:rsidRPr="0063000E" w:rsidRDefault="00E06591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</w:tbl>
    <w:p w14:paraId="4E64364E" w14:textId="77777777" w:rsidR="00EC5996" w:rsidRPr="008E3B9B" w:rsidRDefault="00EC5996" w:rsidP="00EC5996">
      <w:pPr>
        <w:spacing w:after="120"/>
        <w:rPr>
          <w:rFonts w:ascii="Arial" w:hAnsi="Arial" w:cs="Arial"/>
          <w:b/>
        </w:rPr>
      </w:pPr>
    </w:p>
    <w:p w14:paraId="75843A14" w14:textId="77777777" w:rsidR="00EC5996" w:rsidRDefault="00EC5996" w:rsidP="00EC5996">
      <w:pPr>
        <w:pStyle w:val="ListParagraph"/>
        <w:numPr>
          <w:ilvl w:val="0"/>
          <w:numId w:val="2"/>
        </w:numPr>
        <w:spacing w:line="276" w:lineRule="auto"/>
        <w:ind w:hanging="250"/>
        <w:rPr>
          <w:b/>
          <w:rFonts w:cs="Arial"/>
        </w:rPr>
      </w:pPr>
      <w:r>
        <w:rPr>
          <w:b/>
        </w:rPr>
        <w:t xml:space="preserve">ODREĐIVANJE IZVORA FINANSIRANJA</w:t>
      </w:r>
    </w:p>
    <w:p w14:paraId="6CB5191C" w14:textId="77777777" w:rsidR="00EC5996" w:rsidRPr="00C67842" w:rsidRDefault="00EC5996" w:rsidP="00EC5996">
      <w:pPr>
        <w:pStyle w:val="ListParagraph"/>
        <w:spacing w:line="276" w:lineRule="auto"/>
        <w:ind w:left="340"/>
        <w:rPr>
          <w:rFonts w:cs="Arial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637"/>
        <w:gridCol w:w="3925"/>
        <w:gridCol w:w="529"/>
      </w:tblGrid>
      <w:tr w:rsidR="00EC5996" w:rsidRPr="008E3B9B" w14:paraId="22537B05" w14:textId="77777777" w:rsidTr="00B649C0">
        <w:trPr>
          <w:trHeight w:val="41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12D25" w14:textId="77777777" w:rsidR="00EC5996" w:rsidRPr="008E3B9B" w:rsidRDefault="00EC5996" w:rsidP="00B649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DECE3" w14:textId="77777777" w:rsidR="00EC5996" w:rsidRPr="008E3B9B" w:rsidRDefault="00EC5996" w:rsidP="00B649C0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F59177" w14:textId="77777777" w:rsidR="00EC5996" w:rsidRPr="008E3B9B" w:rsidRDefault="00EC5996" w:rsidP="00B649C0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Obrazloženje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A4344" w14:textId="77777777" w:rsidR="00EC5996" w:rsidRPr="008E3B9B" w:rsidRDefault="00EC5996" w:rsidP="00B649C0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Ne</w:t>
            </w:r>
          </w:p>
        </w:tc>
      </w:tr>
      <w:tr w:rsidR="00EC5996" w:rsidRPr="008E3B9B" w14:paraId="02A7DE08" w14:textId="77777777" w:rsidTr="00B649C0">
        <w:trPr>
          <w:trHeight w:val="26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A33745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poboljšava povezanost?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4B5" w14:textId="0E6C788F" w:rsidR="00EC5996" w:rsidRPr="0063000E" w:rsidRDefault="00E06591" w:rsidP="00B649C0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A4B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Ovo je regionalni projekat koji povezuje Kosovo, Albaniju i Srbiju; doprinosi regionalnoj koheziji i pomoći će u razvoju besprekornih veza za putnike i teret na zapadnom Balkanu.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796" w14:textId="77777777" w:rsidR="00EC5996" w:rsidRPr="008E3B9B" w:rsidRDefault="00EC5996" w:rsidP="00B649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996" w:rsidRPr="008E3B9B" w14:paraId="7C51A36B" w14:textId="77777777" w:rsidTr="00B649C0">
        <w:trPr>
          <w:trHeight w:val="41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FD96A5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ima prekogranični uticaj ili uticaj na druge zemlje u regionu?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428E" w14:textId="3763C52F" w:rsidR="00EC5996" w:rsidRPr="0063000E" w:rsidRDefault="00E06591" w:rsidP="00B649C0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548" w14:textId="77777777" w:rsidR="00EC5996" w:rsidRPr="0063000E" w:rsidRDefault="0070167D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Ovo je jedna od glavnih direktnih putnih veza između Albanije, Srbije i Kosova, koja se uglavnom koristi za teretni transport.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0E0" w14:textId="77777777" w:rsidR="00EC5996" w:rsidRPr="008E3B9B" w:rsidRDefault="00EC5996" w:rsidP="00B649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996" w:rsidRPr="008E3B9B" w14:paraId="62234D22" w14:textId="77777777" w:rsidTr="00B649C0">
        <w:trPr>
          <w:trHeight w:val="41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73C1A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se projekat na bilo koji drugi način može označiti kao regionalni projekat?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9194" w14:textId="07171B7A" w:rsidR="00EC5996" w:rsidRPr="0063000E" w:rsidRDefault="00E06591" w:rsidP="00B649C0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653" w14:textId="77777777" w:rsidR="00EC5996" w:rsidRPr="0063000E" w:rsidRDefault="00EC5996" w:rsidP="0070167D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povezuje sa zemljama u regionu kao što su Albanija i Srbija i takođe obezbeđuje vezu sa Koridorom X, E-75 koji dalje povezuje Kosovo sa ostatkom Evrope.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D01" w14:textId="77777777" w:rsidR="00EC5996" w:rsidRPr="008E3B9B" w:rsidRDefault="00EC5996" w:rsidP="00B649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2EF29" w14:textId="77777777" w:rsidR="00EC5996" w:rsidRPr="008E3B9B" w:rsidRDefault="00EC5996" w:rsidP="00EC5996">
      <w:pPr>
        <w:rPr>
          <w:rFonts w:ascii="Arial" w:hAnsi="Arial" w:cs="Arial"/>
          <w:b/>
        </w:rPr>
      </w:pPr>
    </w:p>
    <w:p w14:paraId="2BADE19F" w14:textId="77777777" w:rsidR="00EC5996" w:rsidRDefault="00EC5996" w:rsidP="00EC5996">
      <w:pPr>
        <w:pStyle w:val="ListParagraph"/>
        <w:numPr>
          <w:ilvl w:val="0"/>
          <w:numId w:val="2"/>
        </w:numPr>
        <w:spacing w:line="276" w:lineRule="auto"/>
        <w:ind w:hanging="250"/>
        <w:rPr>
          <w:b/>
          <w:rFonts w:cs="Arial"/>
        </w:rPr>
      </w:pPr>
      <w:r>
        <w:rPr>
          <w:b/>
        </w:rPr>
        <w:t xml:space="preserve">RASPORED POTROŠNJE</w:t>
      </w:r>
    </w:p>
    <w:p w14:paraId="48B54FA0" w14:textId="77777777" w:rsidR="00EC5996" w:rsidRPr="00C67842" w:rsidRDefault="00EC5996" w:rsidP="00EC5996">
      <w:pPr>
        <w:pStyle w:val="ListParagraph"/>
        <w:spacing w:line="276" w:lineRule="auto"/>
        <w:ind w:left="340"/>
        <w:rPr>
          <w:rFonts w:cs="Arial"/>
          <w:b/>
          <w:sz w:val="16"/>
          <w:szCs w:val="16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35"/>
        <w:gridCol w:w="661"/>
        <w:gridCol w:w="661"/>
        <w:gridCol w:w="661"/>
        <w:gridCol w:w="661"/>
        <w:gridCol w:w="667"/>
        <w:gridCol w:w="817"/>
        <w:gridCol w:w="817"/>
        <w:gridCol w:w="661"/>
        <w:gridCol w:w="661"/>
        <w:gridCol w:w="661"/>
      </w:tblGrid>
      <w:tr w:rsidR="00EC5996" w:rsidRPr="008E3B9B" w14:paraId="458F3C09" w14:textId="77777777" w:rsidTr="00B649C0"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6EBC962C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bookmarkStart w:id="5" w:name="_Hlk125449743"/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53DA0926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2015-2020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6E9DD7AF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2021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38684F75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2022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14BD1126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2023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3447A9E2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2024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3C4D1D17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2025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7561DAF6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2026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461A06E1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2027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6F86B4C9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2028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1DD27510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2029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2DE1ABF9" w14:textId="77777777" w:rsidR="00EC5996" w:rsidRPr="008E3B9B" w:rsidRDefault="00EC5996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2030</w:t>
            </w:r>
          </w:p>
        </w:tc>
      </w:tr>
      <w:tr w:rsidR="00EC5996" w:rsidRPr="008E3B9B" w14:paraId="3993C8FB" w14:textId="77777777" w:rsidTr="00B649C0"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22FEF12D" w14:textId="249A0247" w:rsidR="00EC5996" w:rsidRPr="008E3B9B" w:rsidRDefault="00F7489F" w:rsidP="00B649C0">
            <w:pPr>
              <w:spacing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Cena (u EUR) od čega: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976FEE6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51D9632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B17D16E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BCA5DED" w14:textId="77777777" w:rsidR="00EC5996" w:rsidRPr="008E3B9B" w:rsidRDefault="00EC5996" w:rsidP="00B649C0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D821567" w14:textId="77777777" w:rsidR="00EC5996" w:rsidRPr="0063000E" w:rsidRDefault="00EC5996" w:rsidP="00B649C0">
            <w:pPr>
              <w:spacing w:line="260" w:lineRule="atLeast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27BF51F" w14:textId="77777777" w:rsidR="00EC5996" w:rsidRPr="0063000E" w:rsidRDefault="00EC5996" w:rsidP="00B649C0">
            <w:pPr>
              <w:spacing w:line="260" w:lineRule="atLeast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13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87784E5" w14:textId="77777777" w:rsidR="00EC5996" w:rsidRPr="0063000E" w:rsidRDefault="00EC5996" w:rsidP="00B649C0">
            <w:pPr>
              <w:spacing w:line="260" w:lineRule="atLeast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152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C322ED6" w14:textId="77777777" w:rsidR="00EC5996" w:rsidRPr="0063000E" w:rsidRDefault="00EC5996" w:rsidP="00B649C0">
            <w:pPr>
              <w:spacing w:line="260" w:lineRule="atLeast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153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C3BCC4B" w14:textId="77777777" w:rsidR="00EC5996" w:rsidRPr="0063000E" w:rsidRDefault="00EC5996" w:rsidP="00B649C0">
            <w:pPr>
              <w:spacing w:line="260" w:lineRule="atLeast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102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D19192A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6E7116A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EC5996" w:rsidRPr="008E3B9B" w14:paraId="3F0E5CD6" w14:textId="77777777" w:rsidTr="00B649C0"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759204DF" w14:textId="77777777" w:rsidR="00EC5996" w:rsidRPr="008E3B9B" w:rsidRDefault="00EC5996" w:rsidP="00B649C0">
            <w:pPr>
              <w:spacing w:line="260" w:lineRule="atLeast"/>
              <w:rPr>
                <w:sz w:val="18"/>
                <w:szCs w:val="20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Priprema projekta (TA)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DD1C7FC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3F1FAD1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5300FE6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FDEBAA7" w14:textId="77777777" w:rsidR="00EC5996" w:rsidRPr="008E3B9B" w:rsidRDefault="00EC5996" w:rsidP="00B649C0">
            <w:pPr>
              <w:spacing w:line="26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EAB792D" w14:textId="77777777" w:rsidR="00EC5996" w:rsidRPr="0063000E" w:rsidRDefault="00EC5996" w:rsidP="00B649C0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5,0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548B63" w14:textId="77777777" w:rsidR="00EC5996" w:rsidRPr="0063000E" w:rsidRDefault="00EC5996" w:rsidP="00B649C0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13,0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D743F37" w14:textId="77777777" w:rsidR="00EC5996" w:rsidRPr="0063000E" w:rsidRDefault="00EC5996" w:rsidP="00B649C0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FA9EA56" w14:textId="77777777" w:rsidR="00EC5996" w:rsidRPr="0063000E" w:rsidRDefault="00EC5996" w:rsidP="00B649C0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48FB869" w14:textId="77777777" w:rsidR="00EC5996" w:rsidRPr="0063000E" w:rsidRDefault="00EC5996" w:rsidP="00B649C0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8A285D0" w14:textId="77777777" w:rsidR="00EC5996" w:rsidRPr="008E3B9B" w:rsidRDefault="00EC5996" w:rsidP="00B649C0">
            <w:pPr>
              <w:spacing w:line="26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DF4452C" w14:textId="77777777" w:rsidR="00EC5996" w:rsidRPr="008E3B9B" w:rsidRDefault="00EC5996" w:rsidP="00B649C0">
            <w:pPr>
              <w:spacing w:line="26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C5996" w:rsidRPr="008E3B9B" w14:paraId="11ADF8A3" w14:textId="77777777" w:rsidTr="00B649C0"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250C4BE5" w14:textId="77777777" w:rsidR="00EC5996" w:rsidRPr="008E3B9B" w:rsidRDefault="00EC5996" w:rsidP="00B649C0">
            <w:pPr>
              <w:spacing w:line="260" w:lineRule="atLeast"/>
              <w:rPr>
                <w:sz w:val="18"/>
                <w:szCs w:val="20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Ulaganje</w:t>
            </w:r>
            <w:r>
              <w:rPr>
                <w:sz w:val="18"/>
                <w:rFonts w:ascii="Arial" w:hAnsi="Arial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3C854F9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770CAEC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D2579E1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1C184C8" w14:textId="77777777" w:rsidR="00EC5996" w:rsidRPr="008E3B9B" w:rsidRDefault="00EC5996" w:rsidP="00B649C0">
            <w:pPr>
              <w:spacing w:line="26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80FB08A" w14:textId="77777777" w:rsidR="00EC5996" w:rsidRPr="0063000E" w:rsidRDefault="00EC5996" w:rsidP="00B649C0">
            <w:pPr>
              <w:spacing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CF48DB5" w14:textId="77777777" w:rsidR="00EC5996" w:rsidRPr="0063000E" w:rsidRDefault="00EC5996" w:rsidP="00B649C0">
            <w:pPr>
              <w:spacing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CED0EA1" w14:textId="77777777" w:rsidR="00EC5996" w:rsidRPr="0063000E" w:rsidRDefault="00EC5996" w:rsidP="00B649C0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150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D5700F7" w14:textId="77777777" w:rsidR="00EC5996" w:rsidRPr="0063000E" w:rsidRDefault="00EC5996" w:rsidP="00B649C0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150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DCCF2B4" w14:textId="77777777" w:rsidR="00EC5996" w:rsidRPr="0063000E" w:rsidRDefault="00EC5996" w:rsidP="00B649C0">
            <w:pPr>
              <w:spacing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A87973D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EC1F3AD" w14:textId="77777777" w:rsidR="00EC5996" w:rsidRPr="008E3B9B" w:rsidRDefault="00EC5996" w:rsidP="00B649C0">
            <w:pPr>
              <w:spacing w:line="26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bookmarkEnd w:id="5"/>
    </w:tbl>
    <w:p w14:paraId="5A282EF3" w14:textId="77777777" w:rsidR="00EC5996" w:rsidRPr="008E3B9B" w:rsidRDefault="00EC5996" w:rsidP="00EC5996">
      <w:pPr>
        <w:rPr>
          <w:rFonts w:ascii="Arial" w:hAnsi="Arial" w:cs="Arial"/>
          <w:b/>
        </w:rPr>
      </w:pPr>
    </w:p>
    <w:p w14:paraId="529E00C9" w14:textId="77777777" w:rsidR="00EC5996" w:rsidRDefault="00EC5996" w:rsidP="00EC5996">
      <w:pPr>
        <w:pStyle w:val="ListParagraph"/>
        <w:numPr>
          <w:ilvl w:val="0"/>
          <w:numId w:val="2"/>
        </w:numPr>
        <w:spacing w:line="276" w:lineRule="auto"/>
        <w:ind w:hanging="250"/>
        <w:rPr>
          <w:b/>
          <w:rFonts w:cs="Arial"/>
        </w:rPr>
      </w:pPr>
      <w:r>
        <w:rPr>
          <w:b/>
        </w:rPr>
        <w:t xml:space="preserve">OSTALI ASPEKTI</w:t>
      </w:r>
    </w:p>
    <w:p w14:paraId="1290F710" w14:textId="77777777" w:rsidR="00EC5996" w:rsidRPr="00C67842" w:rsidRDefault="00EC5996" w:rsidP="00EC5996">
      <w:pPr>
        <w:pStyle w:val="ListParagraph"/>
        <w:spacing w:line="276" w:lineRule="auto"/>
        <w:ind w:left="340"/>
        <w:rPr>
          <w:rFonts w:cs="Arial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530"/>
      </w:tblGrid>
      <w:tr w:rsidR="00EC5996" w:rsidRPr="008E3B9B" w14:paraId="139A7309" w14:textId="77777777" w:rsidTr="00B649C0">
        <w:trPr>
          <w:trHeight w:val="46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2E4B2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su u projekat uključene MFI ili drugi donatori?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Kada?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Koje je bilo njihovo mišljenje?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03C" w14:textId="240E8506" w:rsidR="00EC5996" w:rsidRPr="00E06591" w:rsidRDefault="00E06591" w:rsidP="00E06591">
            <w:pPr>
              <w:spacing w:line="256" w:lineRule="auto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Konsultativni sastanak sa donatorima održan je 10. maja 2023. godine, gde su međunarodne finansijske institucije i drugi donatori pozvani da učestvuju u opštoj diskusiji o projektima u saobraćajnom sektoru pre njihovog potvrđivanja i odobrenja.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EBRD je spremna da podrži projekat kao vodeća MFI.</w:t>
            </w:r>
          </w:p>
        </w:tc>
      </w:tr>
      <w:tr w:rsidR="00EC5996" w:rsidRPr="008E3B9B" w14:paraId="4CF75BA3" w14:textId="77777777" w:rsidTr="00B649C0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BCD74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Postojeća podrška EU ili WBIF (TA): iznos, svrha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454C" w14:textId="163EA62F" w:rsidR="0070167D" w:rsidRPr="0063000E" w:rsidRDefault="00CC19D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Zasad ne.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EC5996" w:rsidRPr="008E3B9B" w14:paraId="5D8BBF88" w14:textId="77777777" w:rsidTr="00B649C0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34CB0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Ministarstvo finansija konsultovano u vezi sa projektom?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Opišite povratne informacije.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8EC" w14:textId="3D6D5F29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Da, oni su odobrili projekat.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EC5996" w:rsidRPr="008E3B9B" w14:paraId="23BA3CAA" w14:textId="77777777" w:rsidTr="00B649C0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FB087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ostvaruje prihode od krajnjih korisnika?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0902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Moguće u budućnosti kao deo celog koridora.</w:t>
            </w:r>
          </w:p>
        </w:tc>
      </w:tr>
      <w:tr w:rsidR="00EC5996" w:rsidRPr="008E3B9B" w14:paraId="10C17E81" w14:textId="77777777" w:rsidTr="00B649C0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B5FC4E" w14:textId="77777777" w:rsidR="00EC5996" w:rsidRPr="008E3B9B" w:rsidRDefault="00EC5996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Opis projektnog tima za realizaciju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1F2A" w14:textId="77777777" w:rsidR="00EC5996" w:rsidRPr="0063000E" w:rsidRDefault="00EC5996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JRP postoji za sva projektna ulaganja od grantova i sporazuma o zajmovima.</w:t>
            </w:r>
          </w:p>
        </w:tc>
      </w:tr>
    </w:tbl>
    <w:p w14:paraId="6A1ED23C" w14:textId="77777777" w:rsidR="00EC5996" w:rsidRPr="008E3B9B" w:rsidRDefault="00EC5996" w:rsidP="00EC5996">
      <w:pPr>
        <w:tabs>
          <w:tab w:val="left" w:pos="1176"/>
        </w:tabs>
        <w:rPr>
          <w:rFonts w:ascii="Arial" w:hAnsi="Arial" w:cs="Arial"/>
          <w:sz w:val="22"/>
          <w:szCs w:val="22"/>
        </w:rPr>
      </w:pPr>
    </w:p>
    <w:p w14:paraId="3B742A8E" w14:textId="77777777" w:rsidR="0007239F" w:rsidRDefault="0007239F"/>
    <w:sectPr w:rsidR="0007239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D123C" w14:textId="77777777" w:rsidR="007A27D9" w:rsidRDefault="007A27D9" w:rsidP="00EC5996">
      <w:r>
        <w:separator/>
      </w:r>
    </w:p>
  </w:endnote>
  <w:endnote w:type="continuationSeparator" w:id="0">
    <w:p w14:paraId="51AA579E" w14:textId="77777777" w:rsidR="007A27D9" w:rsidRDefault="007A27D9" w:rsidP="00EC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042D0" w14:textId="763A91C2" w:rsidR="00EC5996" w:rsidRDefault="00EC5996" w:rsidP="00E065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52FCA" w14:textId="77777777" w:rsidR="007A27D9" w:rsidRDefault="007A27D9" w:rsidP="00EC5996">
      <w:r>
        <w:separator/>
      </w:r>
    </w:p>
  </w:footnote>
  <w:footnote w:type="continuationSeparator" w:id="0">
    <w:p w14:paraId="4EDBBB50" w14:textId="77777777" w:rsidR="007A27D9" w:rsidRDefault="007A27D9" w:rsidP="00EC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5ECE"/>
    <w:multiLevelType w:val="hybridMultilevel"/>
    <w:tmpl w:val="1F508534"/>
    <w:lvl w:ilvl="0" w:tplc="91B43384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1EC5"/>
    <w:multiLevelType w:val="hybridMultilevel"/>
    <w:tmpl w:val="7240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07167"/>
    <w:multiLevelType w:val="hybridMultilevel"/>
    <w:tmpl w:val="B5D2D3D8"/>
    <w:lvl w:ilvl="0" w:tplc="04090005">
      <w:start w:val="1"/>
      <w:numFmt w:val="bullet"/>
      <w:lvlText w:val="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032A2"/>
    <w:multiLevelType w:val="hybridMultilevel"/>
    <w:tmpl w:val="D8165142"/>
    <w:lvl w:ilvl="0" w:tplc="DD56DE70">
      <w:start w:val="1"/>
      <w:numFmt w:val="decimal"/>
      <w:lvlText w:val="%1."/>
      <w:lvlJc w:val="center"/>
      <w:pPr>
        <w:ind w:left="340" w:hanging="3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96"/>
    <w:rsid w:val="000576BF"/>
    <w:rsid w:val="0007239F"/>
    <w:rsid w:val="001352CB"/>
    <w:rsid w:val="00150A24"/>
    <w:rsid w:val="00162B10"/>
    <w:rsid w:val="00226041"/>
    <w:rsid w:val="002B6F0C"/>
    <w:rsid w:val="00311BC3"/>
    <w:rsid w:val="00315045"/>
    <w:rsid w:val="00347EB1"/>
    <w:rsid w:val="00512070"/>
    <w:rsid w:val="005B568A"/>
    <w:rsid w:val="005D1E77"/>
    <w:rsid w:val="0063000E"/>
    <w:rsid w:val="00652A2E"/>
    <w:rsid w:val="0070167D"/>
    <w:rsid w:val="0078485A"/>
    <w:rsid w:val="007A1C1C"/>
    <w:rsid w:val="007A27D9"/>
    <w:rsid w:val="007D3ED9"/>
    <w:rsid w:val="00903181"/>
    <w:rsid w:val="00931830"/>
    <w:rsid w:val="009D4FA9"/>
    <w:rsid w:val="00C0512B"/>
    <w:rsid w:val="00C54155"/>
    <w:rsid w:val="00CC19D6"/>
    <w:rsid w:val="00CD5326"/>
    <w:rsid w:val="00D44A65"/>
    <w:rsid w:val="00E06591"/>
    <w:rsid w:val="00E422C6"/>
    <w:rsid w:val="00EA7C36"/>
    <w:rsid w:val="00EC5996"/>
    <w:rsid w:val="00ED4AE6"/>
    <w:rsid w:val="00F37493"/>
    <w:rsid w:val="00F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A17B"/>
  <w15:chartTrackingRefBased/>
  <w15:docId w15:val="{40333309-3C00-4B84-B433-54471A7C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996"/>
    <w:rPr>
      <w:rFonts w:ascii="Times New Roman" w:eastAsia="MS Mincho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C5996"/>
    <w:pPr>
      <w:keepNext/>
      <w:spacing w:before="240" w:after="60"/>
      <w:jc w:val="both"/>
      <w:outlineLvl w:val="0"/>
    </w:pPr>
    <w:rPr>
      <w:rFonts w:ascii="Tahoma" w:eastAsia="Calibri" w:hAnsi="Tahoma" w:cs="Arial"/>
      <w:b/>
      <w:bCs/>
      <w:noProof/>
      <w:kern w:val="32"/>
      <w:sz w:val="32"/>
      <w:szCs w:val="32"/>
      <w:lang w:val="sr-Latn-RS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996"/>
    <w:rPr>
      <w:rFonts w:ascii="Tahoma" w:eastAsia="Calibri" w:hAnsi="Tahoma"/>
      <w:b/>
      <w:bCs/>
      <w:noProof/>
      <w:kern w:val="32"/>
      <w:sz w:val="32"/>
      <w:szCs w:val="32"/>
      <w:lang w:val="sr-Latn-RS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C59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"/>
    <w:basedOn w:val="Normal"/>
    <w:link w:val="ListParagraphChar"/>
    <w:uiPriority w:val="34"/>
    <w:qFormat/>
    <w:rsid w:val="00EC5996"/>
    <w:pPr>
      <w:ind w:left="720"/>
      <w:contextualSpacing/>
    </w:pPr>
    <w:rPr>
      <w:rFonts w:ascii="Arial" w:eastAsiaTheme="minorHAnsi" w:hAnsi="Arial" w:cstheme="minorBidi"/>
      <w:szCs w:val="22"/>
    </w:rPr>
  </w:style>
  <w:style w:type="character" w:styleId="Hyperlink">
    <w:name w:val="Hyperlink"/>
    <w:uiPriority w:val="99"/>
    <w:rsid w:val="00EC599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link w:val="ListParagraph"/>
    <w:uiPriority w:val="34"/>
    <w:qFormat/>
    <w:locked/>
    <w:rsid w:val="00EC5996"/>
    <w:rPr>
      <w:rFonts w:ascii="Arial" w:hAnsi="Arial"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C5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996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C5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996"/>
    <w:rPr>
      <w:rFonts w:ascii="Times New Roman" w:eastAsia="MS Mincho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155"/>
    <w:rPr>
      <w:rFonts w:ascii="Segoe UI" w:eastAsia="MS Mincho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000E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sz w:val="52"/>
      <w:szCs w:val="52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63000E"/>
    <w:rPr>
      <w:rFonts w:ascii="Calibri Light" w:eastAsia="Times New Roman" w:hAnsi="Calibri Light" w:cs="Times New Roman"/>
      <w:color w:val="323E4F"/>
      <w:spacing w:val="5"/>
      <w:sz w:val="52"/>
      <w:szCs w:val="52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701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67D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67D"/>
    <w:rPr>
      <w:rFonts w:ascii="Times New Roman" w:eastAsia="MS Mincho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eetoint.org/library/multi-annual-pla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EBFC-CFC6-44CD-B6D2-C2D222F8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14</cp:revision>
  <dcterms:created xsi:type="dcterms:W3CDTF">2024-07-23T07:21:00Z</dcterms:created>
  <dcterms:modified xsi:type="dcterms:W3CDTF">2024-08-20T08:57:00Z</dcterms:modified>
</cp:coreProperties>
</file>