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A8B609" w14:textId="77777777" w:rsidR="00466C4F" w:rsidRPr="003A0CA1" w:rsidRDefault="00466C4F" w:rsidP="00682FB3">
      <w:pPr>
        <w:pStyle w:val="Title"/>
        <w:pBdr>
          <w:bottom w:val="single" w:sz="8" w:space="0" w:color="5B9BD5"/>
        </w:pBdr>
        <w:spacing w:before="120" w:after="0" w:line="276" w:lineRule="auto"/>
        <w:jc w:val="center"/>
        <w:rPr>
          <w:rFonts w:ascii="Arial" w:hAnsi="Arial" w:cs="Arial"/>
          <w:sz w:val="36"/>
          <w:szCs w:val="36"/>
        </w:rPr>
      </w:pPr>
      <w:bookmarkStart w:id="0" w:name="_Hlk106891321"/>
      <w:bookmarkStart w:id="1" w:name="_Toc436501979"/>
      <w:r>
        <w:rPr>
          <w:rFonts w:ascii="Arial" w:hAnsi="Arial"/>
          <w:sz w:val="36"/>
        </w:rPr>
        <w:t>Formulari i identifikimit të projektit (FIP): Sektori i Mjedisit</w:t>
      </w:r>
    </w:p>
    <w:bookmarkEnd w:id="0"/>
    <w:p w14:paraId="65BDF0D1" w14:textId="294D658C" w:rsidR="006833B8" w:rsidRPr="00BA451D" w:rsidRDefault="00337F92" w:rsidP="00BA451D">
      <w:pPr>
        <w:pStyle w:val="Heading1"/>
        <w:spacing w:before="240" w:after="120"/>
        <w:jc w:val="center"/>
        <w:rPr>
          <w:rFonts w:ascii="Arial" w:hAnsi="Arial" w:cs="Arial"/>
          <w:color w:val="auto"/>
          <w:sz w:val="24"/>
          <w:szCs w:val="24"/>
        </w:rPr>
      </w:pPr>
      <w:r>
        <w:rPr>
          <w:rFonts w:ascii="Arial" w:hAnsi="Arial"/>
          <w:color w:val="auto"/>
          <w:sz w:val="24"/>
        </w:rPr>
        <w:t>Pjesa e parë</w:t>
      </w:r>
      <w:bookmarkEnd w:id="1"/>
    </w:p>
    <w:p w14:paraId="5F95CBA0" w14:textId="77777777" w:rsidR="00337F92" w:rsidRPr="003A0CA1" w:rsidRDefault="00337F92" w:rsidP="007D01BD">
      <w:pPr>
        <w:pStyle w:val="ListParagraph"/>
        <w:numPr>
          <w:ilvl w:val="0"/>
          <w:numId w:val="2"/>
        </w:numPr>
        <w:spacing w:before="200" w:after="120"/>
        <w:jc w:val="both"/>
        <w:rPr>
          <w:rFonts w:ascii="Arial" w:hAnsi="Arial" w:cs="Arial"/>
          <w:b/>
          <w:sz w:val="20"/>
          <w:szCs w:val="20"/>
        </w:rPr>
      </w:pPr>
      <w:r>
        <w:rPr>
          <w:rFonts w:ascii="Arial" w:hAnsi="Arial"/>
          <w:b/>
          <w:bCs/>
          <w:sz w:val="20"/>
        </w:rPr>
        <w:t>INFORMACIONE TË PËRGJITHSHME</w:t>
      </w:r>
    </w:p>
    <w:tbl>
      <w:tblPr>
        <w:tblW w:w="4947" w:type="pct"/>
        <w:jc w:val="center"/>
        <w:tblLook w:val="01E0" w:firstRow="1" w:lastRow="1" w:firstColumn="1" w:lastColumn="1" w:noHBand="0" w:noVBand="0"/>
      </w:tblPr>
      <w:tblGrid>
        <w:gridCol w:w="3712"/>
        <w:gridCol w:w="5539"/>
      </w:tblGrid>
      <w:tr w:rsidR="00337F92" w:rsidRPr="003A0CA1" w14:paraId="40D29E64" w14:textId="77777777" w:rsidTr="00EE3828">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10B19D88" w14:textId="77777777" w:rsidR="00337F92" w:rsidRPr="003A0CA1" w:rsidRDefault="00337F92" w:rsidP="007D01BD">
            <w:pPr>
              <w:spacing w:before="60" w:after="0" w:line="260" w:lineRule="atLeast"/>
              <w:jc w:val="both"/>
              <w:rPr>
                <w:rFonts w:ascii="Arial" w:hAnsi="Arial" w:cs="Arial"/>
                <w:b/>
                <w:bCs/>
                <w:sz w:val="20"/>
                <w:szCs w:val="20"/>
              </w:rPr>
            </w:pPr>
            <w:r>
              <w:rPr>
                <w:rFonts w:ascii="Arial" w:hAnsi="Arial"/>
                <w:b/>
                <w:sz w:val="20"/>
              </w:rPr>
              <w:t>Titulli i projektit:</w:t>
            </w:r>
          </w:p>
        </w:tc>
        <w:tc>
          <w:tcPr>
            <w:tcW w:w="2994" w:type="pct"/>
            <w:tcBorders>
              <w:top w:val="single" w:sz="4" w:space="0" w:color="auto"/>
              <w:left w:val="single" w:sz="4" w:space="0" w:color="auto"/>
              <w:bottom w:val="single" w:sz="4" w:space="0" w:color="auto"/>
              <w:right w:val="single" w:sz="4" w:space="0" w:color="auto"/>
            </w:tcBorders>
            <w:vAlign w:val="center"/>
          </w:tcPr>
          <w:p w14:paraId="08F52D2C" w14:textId="0EB68B73" w:rsidR="006833B8" w:rsidRPr="00C00E9A" w:rsidRDefault="001C484F" w:rsidP="007D01BD">
            <w:pPr>
              <w:spacing w:before="60" w:after="60" w:line="260" w:lineRule="atLeast"/>
              <w:contextualSpacing/>
              <w:jc w:val="both"/>
              <w:rPr>
                <w:rFonts w:ascii="Arial" w:hAnsi="Arial" w:cs="Arial"/>
                <w:bCs/>
                <w:color w:val="000000" w:themeColor="text1"/>
                <w:sz w:val="20"/>
                <w:szCs w:val="20"/>
              </w:rPr>
            </w:pPr>
            <w:r>
              <w:rPr>
                <w:rFonts w:ascii="Arial" w:hAnsi="Arial"/>
                <w:color w:val="000000" w:themeColor="text1"/>
                <w:sz w:val="20"/>
              </w:rPr>
              <w:t>Ndërtimi i depove të menaxhimit të mbetjeve të rrezikshme</w:t>
            </w:r>
          </w:p>
        </w:tc>
      </w:tr>
      <w:tr w:rsidR="00337F92" w:rsidRPr="003A0CA1" w14:paraId="34E3417B" w14:textId="77777777" w:rsidTr="00EE3828">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6B133F03" w14:textId="77777777" w:rsidR="00337F92" w:rsidRPr="003A0CA1" w:rsidRDefault="00337F92" w:rsidP="007D01BD">
            <w:pPr>
              <w:spacing w:before="60" w:after="0" w:line="260" w:lineRule="atLeast"/>
              <w:jc w:val="both"/>
              <w:rPr>
                <w:rFonts w:ascii="Arial" w:hAnsi="Arial" w:cs="Arial"/>
                <w:bCs/>
                <w:sz w:val="20"/>
                <w:szCs w:val="20"/>
              </w:rPr>
            </w:pPr>
            <w:r>
              <w:rPr>
                <w:rFonts w:ascii="Arial" w:hAnsi="Arial"/>
                <w:sz w:val="20"/>
              </w:rPr>
              <w:t>Sektori</w:t>
            </w:r>
          </w:p>
        </w:tc>
        <w:tc>
          <w:tcPr>
            <w:tcW w:w="2994" w:type="pct"/>
            <w:tcBorders>
              <w:top w:val="single" w:sz="4" w:space="0" w:color="auto"/>
              <w:left w:val="single" w:sz="4" w:space="0" w:color="auto"/>
              <w:bottom w:val="single" w:sz="4" w:space="0" w:color="auto"/>
              <w:right w:val="single" w:sz="4" w:space="0" w:color="auto"/>
            </w:tcBorders>
            <w:vAlign w:val="center"/>
          </w:tcPr>
          <w:p w14:paraId="5C654A61" w14:textId="77777777" w:rsidR="00337F92" w:rsidRPr="003A0CA1" w:rsidRDefault="00337F92" w:rsidP="007D01BD">
            <w:pPr>
              <w:spacing w:before="60" w:after="60" w:line="260" w:lineRule="atLeast"/>
              <w:jc w:val="both"/>
              <w:rPr>
                <w:rFonts w:ascii="Arial" w:hAnsi="Arial" w:cs="Arial"/>
                <w:sz w:val="20"/>
                <w:szCs w:val="20"/>
              </w:rPr>
            </w:pPr>
            <w:r>
              <w:rPr>
                <w:rFonts w:ascii="Arial" w:hAnsi="Arial"/>
                <w:sz w:val="20"/>
              </w:rPr>
              <w:t xml:space="preserve">Mjedisi </w:t>
            </w:r>
          </w:p>
        </w:tc>
      </w:tr>
      <w:tr w:rsidR="00337F92" w:rsidRPr="003A0CA1" w14:paraId="0D025E51" w14:textId="77777777" w:rsidTr="00EE3828">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0D53E826" w14:textId="28C3CA8B" w:rsidR="00337F92" w:rsidRPr="003A0CA1" w:rsidRDefault="00337F92" w:rsidP="00B21BDE">
            <w:pPr>
              <w:spacing w:before="60" w:after="0" w:line="260" w:lineRule="atLeast"/>
              <w:jc w:val="both"/>
              <w:rPr>
                <w:rFonts w:ascii="Arial" w:hAnsi="Arial" w:cs="Arial"/>
                <w:bCs/>
                <w:sz w:val="20"/>
                <w:szCs w:val="20"/>
              </w:rPr>
            </w:pPr>
            <w:r>
              <w:rPr>
                <w:rFonts w:ascii="Arial" w:hAnsi="Arial"/>
                <w:sz w:val="20"/>
              </w:rPr>
              <w:t>Nënsektori</w:t>
            </w:r>
          </w:p>
        </w:tc>
        <w:tc>
          <w:tcPr>
            <w:tcW w:w="2994" w:type="pct"/>
            <w:tcBorders>
              <w:top w:val="single" w:sz="4" w:space="0" w:color="auto"/>
              <w:left w:val="single" w:sz="4" w:space="0" w:color="auto"/>
              <w:bottom w:val="single" w:sz="4" w:space="0" w:color="auto"/>
              <w:right w:val="single" w:sz="4" w:space="0" w:color="auto"/>
            </w:tcBorders>
            <w:vAlign w:val="center"/>
          </w:tcPr>
          <w:p w14:paraId="2DC22B42" w14:textId="03EE5C82" w:rsidR="00337F92" w:rsidRPr="003A0CA1" w:rsidRDefault="00030676" w:rsidP="007D01BD">
            <w:pPr>
              <w:spacing w:before="60" w:after="60" w:line="260" w:lineRule="atLeast"/>
              <w:jc w:val="both"/>
              <w:rPr>
                <w:rFonts w:ascii="Arial" w:hAnsi="Arial" w:cs="Arial"/>
                <w:sz w:val="20"/>
                <w:szCs w:val="20"/>
              </w:rPr>
            </w:pPr>
            <w:r>
              <w:rPr>
                <w:rFonts w:ascii="Arial" w:hAnsi="Arial"/>
                <w:sz w:val="20"/>
              </w:rPr>
              <w:t>Grumbullimi, transferimi dhe asgjësimi i mbetjeve të rrezikshme</w:t>
            </w:r>
          </w:p>
        </w:tc>
      </w:tr>
      <w:tr w:rsidR="00337F92" w:rsidRPr="003A0CA1" w14:paraId="51CAFFB5" w14:textId="77777777" w:rsidTr="00EE3828">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2EE90D03" w14:textId="77777777" w:rsidR="00337F92" w:rsidRPr="003A0CA1" w:rsidRDefault="00337F92" w:rsidP="007D01BD">
            <w:pPr>
              <w:spacing w:before="60" w:after="0" w:line="260" w:lineRule="atLeast"/>
              <w:jc w:val="both"/>
              <w:rPr>
                <w:rFonts w:ascii="Arial" w:hAnsi="Arial" w:cs="Arial"/>
                <w:bCs/>
                <w:sz w:val="20"/>
                <w:szCs w:val="20"/>
              </w:rPr>
            </w:pPr>
            <w:r>
              <w:rPr>
                <w:rFonts w:ascii="Arial" w:hAnsi="Arial"/>
                <w:sz w:val="20"/>
              </w:rPr>
              <w:t>Përfituesi/propozuesi kryesor i projektit:</w:t>
            </w:r>
          </w:p>
        </w:tc>
        <w:tc>
          <w:tcPr>
            <w:tcW w:w="2994" w:type="pct"/>
            <w:tcBorders>
              <w:top w:val="single" w:sz="4" w:space="0" w:color="auto"/>
              <w:left w:val="single" w:sz="4" w:space="0" w:color="auto"/>
              <w:bottom w:val="single" w:sz="4" w:space="0" w:color="auto"/>
              <w:right w:val="single" w:sz="4" w:space="0" w:color="auto"/>
            </w:tcBorders>
            <w:vAlign w:val="center"/>
          </w:tcPr>
          <w:p w14:paraId="7DF597BC" w14:textId="40EC7145" w:rsidR="00040EFD" w:rsidRPr="003A0CA1" w:rsidRDefault="00040EFD" w:rsidP="007D01BD">
            <w:pPr>
              <w:spacing w:before="60" w:after="60" w:line="260" w:lineRule="atLeast"/>
              <w:jc w:val="both"/>
              <w:rPr>
                <w:rFonts w:ascii="Arial" w:hAnsi="Arial" w:cs="Arial"/>
                <w:sz w:val="20"/>
                <w:szCs w:val="20"/>
              </w:rPr>
            </w:pPr>
            <w:r>
              <w:rPr>
                <w:rFonts w:ascii="Arial" w:hAnsi="Arial"/>
                <w:sz w:val="20"/>
              </w:rPr>
              <w:t>Përfituesit kryesorë: Ministria e Mjedisit, Planifikimit Hapësinor dhe Infrastrukturës; Ministria e Ekonomisë; Komunat</w:t>
            </w:r>
          </w:p>
        </w:tc>
      </w:tr>
      <w:tr w:rsidR="00337F92" w:rsidRPr="003A0CA1" w14:paraId="52CF96FE" w14:textId="77777777" w:rsidTr="00EE3828">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19147FC5" w14:textId="77777777" w:rsidR="00337F92" w:rsidRPr="003A0CA1" w:rsidRDefault="00337F92" w:rsidP="007D01BD">
            <w:pPr>
              <w:spacing w:before="60" w:after="0" w:line="260" w:lineRule="atLeast"/>
              <w:jc w:val="both"/>
              <w:rPr>
                <w:rFonts w:ascii="Arial" w:hAnsi="Arial" w:cs="Arial"/>
                <w:bCs/>
                <w:sz w:val="20"/>
                <w:szCs w:val="20"/>
              </w:rPr>
            </w:pPr>
            <w:r>
              <w:rPr>
                <w:rFonts w:ascii="Arial" w:hAnsi="Arial"/>
                <w:sz w:val="20"/>
              </w:rPr>
              <w:t>Institucioni që është autor i propozimit të projektit</w:t>
            </w:r>
          </w:p>
        </w:tc>
        <w:tc>
          <w:tcPr>
            <w:tcW w:w="2994" w:type="pct"/>
            <w:tcBorders>
              <w:top w:val="single" w:sz="4" w:space="0" w:color="auto"/>
              <w:left w:val="single" w:sz="4" w:space="0" w:color="auto"/>
              <w:bottom w:val="single" w:sz="4" w:space="0" w:color="auto"/>
              <w:right w:val="single" w:sz="4" w:space="0" w:color="auto"/>
            </w:tcBorders>
            <w:vAlign w:val="center"/>
          </w:tcPr>
          <w:p w14:paraId="42766363" w14:textId="73811A1A" w:rsidR="00337F92" w:rsidRPr="003A0CA1" w:rsidRDefault="00337F92" w:rsidP="00DD77EE">
            <w:pPr>
              <w:spacing w:before="60" w:after="60" w:line="260" w:lineRule="atLeast"/>
              <w:jc w:val="both"/>
              <w:rPr>
                <w:rFonts w:ascii="Arial" w:hAnsi="Arial" w:cs="Arial"/>
                <w:sz w:val="20"/>
                <w:szCs w:val="20"/>
              </w:rPr>
            </w:pPr>
            <w:r>
              <w:rPr>
                <w:rFonts w:ascii="Arial" w:hAnsi="Arial"/>
                <w:sz w:val="20"/>
              </w:rPr>
              <w:t xml:space="preserve">Ministria e Mjedisit, Planifikimit Hapësinor dhe Infrastrukturës (MMPHI) </w:t>
            </w:r>
          </w:p>
        </w:tc>
      </w:tr>
      <w:tr w:rsidR="00337F92" w:rsidRPr="003A0CA1" w14:paraId="1A7052D8" w14:textId="77777777" w:rsidTr="00EE3828">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00E079CD" w14:textId="77777777" w:rsidR="00337F92" w:rsidRPr="003A0CA1" w:rsidRDefault="00337F92" w:rsidP="007D01BD">
            <w:pPr>
              <w:spacing w:before="60" w:after="0" w:line="260" w:lineRule="atLeast"/>
              <w:jc w:val="both"/>
              <w:rPr>
                <w:rFonts w:ascii="Arial" w:hAnsi="Arial" w:cs="Arial"/>
                <w:bCs/>
                <w:sz w:val="20"/>
                <w:szCs w:val="20"/>
              </w:rPr>
            </w:pPr>
            <w:r>
              <w:rPr>
                <w:rFonts w:ascii="Arial" w:hAnsi="Arial"/>
                <w:sz w:val="20"/>
              </w:rPr>
              <w:t>Vendndodhja/Harta</w:t>
            </w:r>
          </w:p>
        </w:tc>
        <w:tc>
          <w:tcPr>
            <w:tcW w:w="2994" w:type="pct"/>
            <w:tcBorders>
              <w:top w:val="single" w:sz="4" w:space="0" w:color="auto"/>
              <w:left w:val="single" w:sz="4" w:space="0" w:color="auto"/>
              <w:bottom w:val="single" w:sz="4" w:space="0" w:color="auto"/>
              <w:right w:val="single" w:sz="4" w:space="0" w:color="auto"/>
            </w:tcBorders>
            <w:vAlign w:val="center"/>
          </w:tcPr>
          <w:p w14:paraId="3EAD53B0" w14:textId="3AD35B3F" w:rsidR="00337F92" w:rsidRPr="003A0CA1" w:rsidRDefault="00337F92" w:rsidP="007D01BD">
            <w:pPr>
              <w:spacing w:before="60" w:after="60" w:line="260" w:lineRule="atLeast"/>
              <w:jc w:val="both"/>
              <w:rPr>
                <w:rFonts w:ascii="Arial" w:hAnsi="Arial" w:cs="Arial"/>
                <w:sz w:val="20"/>
                <w:szCs w:val="20"/>
                <w:lang w:val="en-GB"/>
              </w:rPr>
            </w:pPr>
          </w:p>
        </w:tc>
      </w:tr>
      <w:tr w:rsidR="00337F92" w:rsidRPr="003A0CA1" w14:paraId="61D27E97" w14:textId="77777777" w:rsidTr="00EE3828">
        <w:trPr>
          <w:trHeight w:val="330"/>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6226E77B" w14:textId="77777777" w:rsidR="00337F92" w:rsidRPr="003A0CA1" w:rsidRDefault="00337F92" w:rsidP="007D01BD">
            <w:pPr>
              <w:spacing w:before="60" w:after="0" w:line="260" w:lineRule="atLeast"/>
              <w:jc w:val="both"/>
              <w:rPr>
                <w:rFonts w:ascii="Arial" w:hAnsi="Arial" w:cs="Arial"/>
                <w:bCs/>
                <w:sz w:val="20"/>
                <w:szCs w:val="20"/>
              </w:rPr>
            </w:pPr>
            <w:r>
              <w:rPr>
                <w:rFonts w:ascii="Arial" w:hAnsi="Arial"/>
                <w:sz w:val="20"/>
              </w:rPr>
              <w:t>Investimi total i parashikuar:</w:t>
            </w:r>
          </w:p>
          <w:p w14:paraId="098B50AC" w14:textId="77777777" w:rsidR="00337F92" w:rsidRPr="003A0CA1" w:rsidRDefault="00337F92" w:rsidP="007D01BD">
            <w:pPr>
              <w:numPr>
                <w:ilvl w:val="0"/>
                <w:numId w:val="1"/>
              </w:numPr>
              <w:spacing w:before="60" w:after="0" w:line="260" w:lineRule="atLeast"/>
              <w:ind w:left="223" w:hanging="223"/>
              <w:jc w:val="both"/>
              <w:rPr>
                <w:rFonts w:ascii="Arial" w:hAnsi="Arial" w:cs="Arial"/>
                <w:bCs/>
                <w:sz w:val="20"/>
                <w:szCs w:val="20"/>
              </w:rPr>
            </w:pPr>
            <w:r>
              <w:rPr>
                <w:rFonts w:ascii="Arial" w:hAnsi="Arial"/>
                <w:sz w:val="20"/>
              </w:rPr>
              <w:t xml:space="preserve">Aktivitetet përgatitore (dokumentacioni planifikues, dokumentacioni teknik, marrja e tokës etj.) </w:t>
            </w:r>
          </w:p>
          <w:p w14:paraId="40A29B0B" w14:textId="77777777" w:rsidR="00337F92" w:rsidRPr="003A0CA1" w:rsidRDefault="00337F92" w:rsidP="007D01BD">
            <w:pPr>
              <w:numPr>
                <w:ilvl w:val="0"/>
                <w:numId w:val="1"/>
              </w:numPr>
              <w:spacing w:before="60" w:after="0" w:line="260" w:lineRule="atLeast"/>
              <w:ind w:left="223" w:hanging="223"/>
              <w:jc w:val="both"/>
              <w:rPr>
                <w:rFonts w:ascii="Arial" w:hAnsi="Arial" w:cs="Arial"/>
                <w:bCs/>
                <w:sz w:val="20"/>
                <w:szCs w:val="20"/>
              </w:rPr>
            </w:pPr>
            <w:r>
              <w:rPr>
                <w:rFonts w:ascii="Arial" w:hAnsi="Arial"/>
                <w:sz w:val="20"/>
              </w:rPr>
              <w:t>Punimet ndërtimore</w:t>
            </w:r>
          </w:p>
          <w:p w14:paraId="3922D68E" w14:textId="77777777" w:rsidR="00337F92" w:rsidRPr="003A0CA1" w:rsidRDefault="00337F92" w:rsidP="007D01BD">
            <w:pPr>
              <w:numPr>
                <w:ilvl w:val="0"/>
                <w:numId w:val="1"/>
              </w:numPr>
              <w:spacing w:before="60" w:after="0" w:line="260" w:lineRule="atLeast"/>
              <w:ind w:left="223" w:hanging="223"/>
              <w:jc w:val="both"/>
              <w:rPr>
                <w:rFonts w:ascii="Arial" w:hAnsi="Arial" w:cs="Arial"/>
                <w:bCs/>
                <w:sz w:val="20"/>
                <w:szCs w:val="20"/>
              </w:rPr>
            </w:pPr>
            <w:r>
              <w:rPr>
                <w:rFonts w:ascii="Arial" w:hAnsi="Arial"/>
                <w:sz w:val="20"/>
              </w:rPr>
              <w:t xml:space="preserve">Mbikëqyrja </w:t>
            </w:r>
          </w:p>
        </w:tc>
        <w:tc>
          <w:tcPr>
            <w:tcW w:w="2994" w:type="pct"/>
            <w:tcBorders>
              <w:top w:val="single" w:sz="4" w:space="0" w:color="auto"/>
              <w:left w:val="single" w:sz="4" w:space="0" w:color="auto"/>
              <w:bottom w:val="single" w:sz="4" w:space="0" w:color="auto"/>
              <w:right w:val="single" w:sz="4" w:space="0" w:color="auto"/>
            </w:tcBorders>
            <w:vAlign w:val="center"/>
          </w:tcPr>
          <w:p w14:paraId="1C355A81" w14:textId="31B915DE" w:rsidR="00DC520F" w:rsidRDefault="00337F92" w:rsidP="007D01BD">
            <w:pPr>
              <w:spacing w:before="60" w:after="60" w:line="260" w:lineRule="atLeast"/>
              <w:jc w:val="both"/>
              <w:rPr>
                <w:rFonts w:ascii="Arial" w:hAnsi="Arial" w:cs="Arial"/>
                <w:bCs/>
                <w:sz w:val="20"/>
                <w:szCs w:val="20"/>
              </w:rPr>
            </w:pPr>
            <w:r>
              <w:rPr>
                <w:rFonts w:ascii="Arial" w:hAnsi="Arial"/>
                <w:sz w:val="20"/>
              </w:rPr>
              <w:t>Investimi total i parashikuar: 16,000,000 EUR</w:t>
            </w:r>
          </w:p>
          <w:p w14:paraId="2488C1D0" w14:textId="48947E30" w:rsidR="0014474C" w:rsidRPr="0014474C" w:rsidRDefault="0014474C" w:rsidP="007D01BD">
            <w:pPr>
              <w:spacing w:before="60" w:after="60" w:line="260" w:lineRule="atLeast"/>
              <w:jc w:val="both"/>
              <w:rPr>
                <w:rFonts w:ascii="Arial" w:hAnsi="Arial" w:cs="Arial"/>
                <w:bCs/>
                <w:sz w:val="20"/>
                <w:szCs w:val="20"/>
              </w:rPr>
            </w:pPr>
            <w:r>
              <w:rPr>
                <w:rFonts w:ascii="Arial" w:hAnsi="Arial"/>
                <w:sz w:val="20"/>
              </w:rPr>
              <w:t>Nga të cilat:</w:t>
            </w:r>
          </w:p>
          <w:p w14:paraId="45DDD22B" w14:textId="49C22DDF" w:rsidR="00DC520F" w:rsidRPr="003A0CA1" w:rsidRDefault="00DC520F" w:rsidP="007D01BD">
            <w:pPr>
              <w:spacing w:before="60" w:after="60" w:line="260" w:lineRule="atLeast"/>
              <w:jc w:val="both"/>
              <w:rPr>
                <w:rFonts w:ascii="Arial" w:hAnsi="Arial" w:cs="Arial"/>
                <w:sz w:val="20"/>
                <w:szCs w:val="20"/>
              </w:rPr>
            </w:pPr>
            <w:r>
              <w:rPr>
                <w:rFonts w:ascii="Arial" w:hAnsi="Arial"/>
                <w:sz w:val="20"/>
              </w:rPr>
              <w:t>Aktivitetet përgatitore: 1,120,000 EUR</w:t>
            </w:r>
          </w:p>
          <w:p w14:paraId="69D48426" w14:textId="162DB14E" w:rsidR="00DC520F" w:rsidRPr="003A0CA1" w:rsidRDefault="00DC520F" w:rsidP="007D01BD">
            <w:pPr>
              <w:spacing w:before="60" w:after="60" w:line="260" w:lineRule="atLeast"/>
              <w:jc w:val="both"/>
              <w:rPr>
                <w:rFonts w:ascii="Arial" w:hAnsi="Arial" w:cs="Arial"/>
                <w:sz w:val="20"/>
                <w:szCs w:val="20"/>
              </w:rPr>
            </w:pPr>
            <w:r>
              <w:rPr>
                <w:rFonts w:ascii="Arial" w:hAnsi="Arial"/>
                <w:sz w:val="20"/>
              </w:rPr>
              <w:t>Punimet ndërtimore: 14,400,000EUR</w:t>
            </w:r>
          </w:p>
          <w:p w14:paraId="087A95D3" w14:textId="7A1365B2" w:rsidR="00337F92" w:rsidRPr="003A0CA1" w:rsidRDefault="00DC520F" w:rsidP="007D01BD">
            <w:pPr>
              <w:spacing w:before="60" w:after="60" w:line="260" w:lineRule="atLeast"/>
              <w:jc w:val="both"/>
              <w:rPr>
                <w:rFonts w:ascii="Arial" w:hAnsi="Arial" w:cs="Arial"/>
                <w:sz w:val="20"/>
                <w:szCs w:val="20"/>
              </w:rPr>
            </w:pPr>
            <w:r>
              <w:rPr>
                <w:rFonts w:ascii="Arial" w:hAnsi="Arial"/>
                <w:sz w:val="20"/>
              </w:rPr>
              <w:t>Mbikëqyrja: 480,000 EUR</w:t>
            </w:r>
          </w:p>
        </w:tc>
      </w:tr>
      <w:tr w:rsidR="00337F92" w:rsidRPr="003A0CA1" w14:paraId="120A3245" w14:textId="77777777" w:rsidTr="00EE3828">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634F56DF" w14:textId="77777777" w:rsidR="00337F92" w:rsidRPr="003A0CA1" w:rsidRDefault="00337F92" w:rsidP="007D01BD">
            <w:pPr>
              <w:spacing w:before="60" w:after="0" w:line="260" w:lineRule="atLeast"/>
              <w:jc w:val="both"/>
              <w:rPr>
                <w:rFonts w:ascii="Arial" w:hAnsi="Arial" w:cs="Arial"/>
                <w:b/>
                <w:sz w:val="20"/>
                <w:szCs w:val="20"/>
              </w:rPr>
            </w:pPr>
            <w:r>
              <w:rPr>
                <w:rFonts w:ascii="Arial" w:hAnsi="Arial"/>
                <w:b/>
                <w:sz w:val="20"/>
              </w:rPr>
              <w:t>Personi përgjegjës ose i autorizuar për kontakt:</w:t>
            </w:r>
          </w:p>
        </w:tc>
        <w:tc>
          <w:tcPr>
            <w:tcW w:w="2994" w:type="pct"/>
            <w:tcBorders>
              <w:top w:val="single" w:sz="4" w:space="0" w:color="auto"/>
              <w:left w:val="single" w:sz="4" w:space="0" w:color="auto"/>
              <w:bottom w:val="single" w:sz="4" w:space="0" w:color="auto"/>
              <w:right w:val="single" w:sz="4" w:space="0" w:color="auto"/>
            </w:tcBorders>
            <w:shd w:val="clear" w:color="auto" w:fill="auto"/>
            <w:vAlign w:val="center"/>
          </w:tcPr>
          <w:p w14:paraId="75C4980D" w14:textId="60D2D575" w:rsidR="00337F92" w:rsidRPr="003A0CA1" w:rsidRDefault="00F078B9" w:rsidP="007D01BD">
            <w:pPr>
              <w:spacing w:before="60" w:after="60" w:line="260" w:lineRule="atLeast"/>
              <w:jc w:val="both"/>
              <w:rPr>
                <w:rFonts w:ascii="Arial" w:hAnsi="Arial" w:cs="Arial"/>
                <w:sz w:val="20"/>
                <w:szCs w:val="20"/>
              </w:rPr>
            </w:pPr>
            <w:r>
              <w:rPr>
                <w:rFonts w:ascii="Arial" w:hAnsi="Arial"/>
                <w:sz w:val="20"/>
              </w:rPr>
              <w:t xml:space="preserve">Valon Prebreza, </w:t>
            </w:r>
            <w:r>
              <w:rPr>
                <w:rFonts w:ascii="Arial" w:hAnsi="Arial"/>
                <w:color w:val="000000"/>
                <w:sz w:val="20"/>
              </w:rPr>
              <w:t>Florije Tahiri</w:t>
            </w:r>
          </w:p>
        </w:tc>
      </w:tr>
      <w:tr w:rsidR="00337F92" w:rsidRPr="003A0CA1" w14:paraId="0AE5778E" w14:textId="77777777" w:rsidTr="00EE3828">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2C374B2C" w14:textId="77777777" w:rsidR="00337F92" w:rsidRPr="003A0CA1" w:rsidRDefault="00337F92" w:rsidP="007D01BD">
            <w:pPr>
              <w:spacing w:before="60" w:after="0" w:line="260" w:lineRule="atLeast"/>
              <w:jc w:val="both"/>
              <w:rPr>
                <w:rFonts w:ascii="Arial" w:hAnsi="Arial" w:cs="Arial"/>
                <w:bCs/>
                <w:sz w:val="20"/>
                <w:szCs w:val="20"/>
              </w:rPr>
            </w:pPr>
            <w:r>
              <w:rPr>
                <w:rFonts w:ascii="Arial" w:hAnsi="Arial"/>
                <w:sz w:val="20"/>
              </w:rPr>
              <w:t>Emri – Pozita:</w:t>
            </w:r>
          </w:p>
        </w:tc>
        <w:tc>
          <w:tcPr>
            <w:tcW w:w="2994" w:type="pct"/>
            <w:tcBorders>
              <w:top w:val="single" w:sz="4" w:space="0" w:color="auto"/>
              <w:left w:val="single" w:sz="4" w:space="0" w:color="auto"/>
              <w:bottom w:val="single" w:sz="4" w:space="0" w:color="auto"/>
              <w:right w:val="single" w:sz="4" w:space="0" w:color="auto"/>
            </w:tcBorders>
            <w:vAlign w:val="center"/>
          </w:tcPr>
          <w:p w14:paraId="71EEF305" w14:textId="4D7B2321" w:rsidR="00EE3828" w:rsidRPr="003A0CA1" w:rsidRDefault="00DD77EE" w:rsidP="00DD77EE">
            <w:pPr>
              <w:pStyle w:val="NormalWeb"/>
              <w:spacing w:before="0" w:beforeAutospacing="0" w:after="0" w:afterAutospacing="0"/>
              <w:rPr>
                <w:rFonts w:ascii="Arial" w:hAnsi="Arial" w:cs="Arial"/>
                <w:sz w:val="20"/>
                <w:szCs w:val="20"/>
              </w:rPr>
            </w:pPr>
            <w:r>
              <w:rPr>
                <w:rFonts w:ascii="Arial" w:hAnsi="Arial"/>
                <w:sz w:val="20"/>
              </w:rPr>
              <w:t xml:space="preserve">Valon Prebreza, Shef i Njësisë së Menaxhimit të Ndërmarrjeve Publike, Ministria e Ekonomisë; </w:t>
            </w:r>
          </w:p>
          <w:p w14:paraId="50BD57FD" w14:textId="12BFC1EC" w:rsidR="00040EFD" w:rsidRPr="003A0CA1" w:rsidRDefault="00D346AA" w:rsidP="00DD77EE">
            <w:pPr>
              <w:pStyle w:val="NormalWeb"/>
              <w:spacing w:before="0" w:beforeAutospacing="0" w:after="0" w:afterAutospacing="0"/>
              <w:jc w:val="both"/>
              <w:rPr>
                <w:rFonts w:ascii="Arial" w:hAnsi="Arial" w:cs="Arial"/>
                <w:sz w:val="20"/>
                <w:szCs w:val="20"/>
              </w:rPr>
            </w:pPr>
            <w:r>
              <w:rPr>
                <w:rFonts w:ascii="Arial" w:hAnsi="Arial"/>
                <w:sz w:val="20"/>
              </w:rPr>
              <w:t>Florije Tahiri, Departamenti për Mjedisin dhe Mbrojtjen e Ujërave, Ministria e Mjedisit, Planifikimit Hapësinor dhe Infrastrukturës</w:t>
            </w:r>
          </w:p>
        </w:tc>
      </w:tr>
      <w:tr w:rsidR="00337F92" w:rsidRPr="003A0CA1" w14:paraId="18AC6097" w14:textId="77777777" w:rsidTr="00EE3828">
        <w:trPr>
          <w:trHeight w:val="346"/>
          <w:jc w:val="center"/>
        </w:trPr>
        <w:tc>
          <w:tcPr>
            <w:tcW w:w="2006" w:type="pct"/>
            <w:tcBorders>
              <w:top w:val="single" w:sz="4" w:space="0" w:color="auto"/>
              <w:left w:val="single" w:sz="4" w:space="0" w:color="auto"/>
              <w:bottom w:val="single" w:sz="4" w:space="0" w:color="auto"/>
              <w:right w:val="single" w:sz="4" w:space="0" w:color="auto"/>
            </w:tcBorders>
            <w:shd w:val="clear" w:color="auto" w:fill="D9D9D9"/>
            <w:vAlign w:val="center"/>
          </w:tcPr>
          <w:p w14:paraId="2028329E" w14:textId="77777777" w:rsidR="00337F92" w:rsidRPr="003A0CA1" w:rsidRDefault="00337F92" w:rsidP="007D01BD">
            <w:pPr>
              <w:spacing w:before="60" w:after="0" w:line="260" w:lineRule="atLeast"/>
              <w:jc w:val="both"/>
              <w:rPr>
                <w:rFonts w:ascii="Arial" w:hAnsi="Arial" w:cs="Arial"/>
                <w:bCs/>
                <w:sz w:val="20"/>
                <w:szCs w:val="20"/>
              </w:rPr>
            </w:pPr>
            <w:r>
              <w:rPr>
                <w:rFonts w:ascii="Arial" w:hAnsi="Arial"/>
                <w:sz w:val="20"/>
              </w:rPr>
              <w:t>Adresa e emailit - Telefoni:</w:t>
            </w:r>
          </w:p>
        </w:tc>
        <w:tc>
          <w:tcPr>
            <w:tcW w:w="2994" w:type="pct"/>
            <w:tcBorders>
              <w:top w:val="single" w:sz="4" w:space="0" w:color="auto"/>
              <w:left w:val="single" w:sz="4" w:space="0" w:color="auto"/>
              <w:bottom w:val="single" w:sz="4" w:space="0" w:color="auto"/>
              <w:right w:val="single" w:sz="4" w:space="0" w:color="auto"/>
            </w:tcBorders>
            <w:vAlign w:val="center"/>
          </w:tcPr>
          <w:p w14:paraId="13B0A667" w14:textId="758A5AC3" w:rsidR="00DD77EE" w:rsidRPr="003A0CA1" w:rsidRDefault="0081549E" w:rsidP="00DD77EE">
            <w:pPr>
              <w:spacing w:before="60" w:after="60"/>
              <w:rPr>
                <w:rFonts w:ascii="Arial" w:hAnsi="Arial" w:cs="Arial"/>
                <w:szCs w:val="20"/>
              </w:rPr>
            </w:pPr>
            <w:hyperlink r:id="rId8" w:history="1">
              <w:r w:rsidR="00680DDF">
                <w:rPr>
                  <w:rStyle w:val="Hyperlink"/>
                  <w:rFonts w:ascii="Arial" w:hAnsi="Arial"/>
                  <w:sz w:val="20"/>
                </w:rPr>
                <w:t>valon.prebreza@rks-gov.net</w:t>
              </w:r>
            </w:hyperlink>
            <w:r w:rsidR="00680DDF">
              <w:t>;</w:t>
            </w:r>
            <w:r w:rsidR="00680DDF">
              <w:rPr>
                <w:rFonts w:ascii="Arial" w:hAnsi="Arial"/>
                <w:sz w:val="20"/>
              </w:rPr>
              <w:t xml:space="preserve">  +381 44 559</w:t>
            </w:r>
            <w:r w:rsidR="00680DDF">
              <w:rPr>
                <w:rFonts w:ascii="Arial" w:hAnsi="Arial"/>
              </w:rPr>
              <w:t> </w:t>
            </w:r>
            <w:r w:rsidR="00680DDF">
              <w:rPr>
                <w:rFonts w:ascii="Arial" w:hAnsi="Arial"/>
                <w:sz w:val="20"/>
              </w:rPr>
              <w:t>951</w:t>
            </w:r>
          </w:p>
          <w:p w14:paraId="1A99C878" w14:textId="240D91AD" w:rsidR="00EE3828" w:rsidRPr="003A0CA1" w:rsidRDefault="0081549E" w:rsidP="00C8537B">
            <w:pPr>
              <w:spacing w:before="60" w:after="60" w:line="260" w:lineRule="atLeast"/>
              <w:jc w:val="both"/>
              <w:rPr>
                <w:rFonts w:ascii="Arial" w:hAnsi="Arial" w:cs="Arial"/>
                <w:sz w:val="20"/>
                <w:szCs w:val="20"/>
              </w:rPr>
            </w:pPr>
            <w:hyperlink r:id="rId9" w:history="1">
              <w:r w:rsidR="00680DDF">
                <w:rPr>
                  <w:rStyle w:val="Hyperlink"/>
                  <w:rFonts w:ascii="Arial" w:hAnsi="Arial"/>
                  <w:sz w:val="20"/>
                </w:rPr>
                <w:t>florije.tahiri@rks-gov.net</w:t>
              </w:r>
            </w:hyperlink>
            <w:r w:rsidR="00680DDF">
              <w:rPr>
                <w:rStyle w:val="Hyperlink"/>
                <w:rFonts w:ascii="Arial" w:hAnsi="Arial"/>
                <w:sz w:val="20"/>
              </w:rPr>
              <w:t>;</w:t>
            </w:r>
            <w:r w:rsidR="00680DDF">
              <w:rPr>
                <w:rStyle w:val="Hyperlink"/>
                <w:rFonts w:ascii="Arial" w:hAnsi="Arial"/>
                <w:sz w:val="20"/>
                <w:u w:val="none"/>
              </w:rPr>
              <w:t xml:space="preserve">  </w:t>
            </w:r>
            <w:r w:rsidR="00680DDF">
              <w:rPr>
                <w:rFonts w:ascii="Arial" w:hAnsi="Arial"/>
                <w:color w:val="000000"/>
                <w:sz w:val="20"/>
              </w:rPr>
              <w:t>+383(0) 38 200 740 72</w:t>
            </w:r>
            <w:r w:rsidR="00680DDF">
              <w:rPr>
                <w:rStyle w:val="Hyperlink"/>
                <w:rFonts w:ascii="Arial" w:hAnsi="Arial"/>
                <w:sz w:val="20"/>
              </w:rPr>
              <w:t xml:space="preserve">   </w:t>
            </w:r>
          </w:p>
        </w:tc>
      </w:tr>
    </w:tbl>
    <w:p w14:paraId="28022ECA" w14:textId="77777777" w:rsidR="00337F92" w:rsidRPr="003A0CA1" w:rsidRDefault="00337F92" w:rsidP="00260D55">
      <w:pPr>
        <w:pStyle w:val="ListParagraph"/>
        <w:spacing w:before="200" w:after="120"/>
        <w:ind w:left="340"/>
        <w:jc w:val="both"/>
        <w:rPr>
          <w:rFonts w:ascii="Arial" w:hAnsi="Arial" w:cs="Arial"/>
          <w:b/>
          <w:sz w:val="20"/>
          <w:szCs w:val="20"/>
        </w:rPr>
      </w:pPr>
    </w:p>
    <w:p w14:paraId="35CE2BE0" w14:textId="77777777" w:rsidR="006833B8" w:rsidRPr="003A0CA1" w:rsidRDefault="006833B8" w:rsidP="007D01BD">
      <w:pPr>
        <w:spacing w:after="160" w:line="259" w:lineRule="auto"/>
        <w:jc w:val="both"/>
        <w:rPr>
          <w:rFonts w:ascii="Arial" w:hAnsi="Arial" w:cs="Arial"/>
          <w:b/>
          <w:sz w:val="20"/>
          <w:szCs w:val="20"/>
        </w:rPr>
      </w:pPr>
      <w:r>
        <w:br w:type="page"/>
      </w:r>
    </w:p>
    <w:p w14:paraId="76C9BC1E" w14:textId="621E0C63" w:rsidR="00337F92" w:rsidRPr="003A0CA1" w:rsidRDefault="00337F92" w:rsidP="00260D55">
      <w:pPr>
        <w:pStyle w:val="ListParagraph"/>
        <w:numPr>
          <w:ilvl w:val="0"/>
          <w:numId w:val="2"/>
        </w:numPr>
        <w:spacing w:before="200" w:after="120"/>
        <w:jc w:val="both"/>
        <w:rPr>
          <w:rFonts w:ascii="Arial" w:hAnsi="Arial" w:cs="Arial"/>
          <w:b/>
          <w:sz w:val="20"/>
          <w:szCs w:val="20"/>
        </w:rPr>
      </w:pPr>
      <w:r>
        <w:rPr>
          <w:rFonts w:ascii="Arial" w:hAnsi="Arial"/>
          <w:b/>
          <w:sz w:val="20"/>
        </w:rPr>
        <w:lastRenderedPageBreak/>
        <w:t>PËRSHKRIMI I PROJEKTIT</w:t>
      </w:r>
    </w:p>
    <w:tbl>
      <w:tblPr>
        <w:tblW w:w="4947" w:type="pct"/>
        <w:tblInd w:w="108" w:type="dxa"/>
        <w:tblLook w:val="01E0" w:firstRow="1" w:lastRow="1" w:firstColumn="1" w:lastColumn="1" w:noHBand="0" w:noVBand="0"/>
      </w:tblPr>
      <w:tblGrid>
        <w:gridCol w:w="3721"/>
        <w:gridCol w:w="5530"/>
      </w:tblGrid>
      <w:tr w:rsidR="00337F92" w:rsidRPr="003A0CA1" w14:paraId="6FD3D9A8" w14:textId="77777777" w:rsidTr="0005785C">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3442C8B4" w14:textId="77777777" w:rsidR="00337F92" w:rsidRPr="003A0CA1" w:rsidRDefault="00337F92" w:rsidP="007D01BD">
            <w:pPr>
              <w:spacing w:before="60" w:after="0" w:line="260" w:lineRule="atLeast"/>
              <w:jc w:val="both"/>
              <w:rPr>
                <w:rFonts w:ascii="Arial" w:hAnsi="Arial" w:cs="Arial"/>
                <w:bCs/>
                <w:sz w:val="20"/>
                <w:szCs w:val="20"/>
              </w:rPr>
            </w:pPr>
            <w:r>
              <w:rPr>
                <w:rFonts w:ascii="Arial" w:hAnsi="Arial"/>
                <w:sz w:val="20"/>
              </w:rPr>
              <w:t>Qëllimi i projektit infrastrukturor</w:t>
            </w:r>
          </w:p>
        </w:tc>
        <w:tc>
          <w:tcPr>
            <w:tcW w:w="2989" w:type="pct"/>
            <w:tcBorders>
              <w:top w:val="single" w:sz="4" w:space="0" w:color="auto"/>
              <w:left w:val="single" w:sz="4" w:space="0" w:color="auto"/>
              <w:bottom w:val="single" w:sz="4" w:space="0" w:color="auto"/>
              <w:right w:val="single" w:sz="4" w:space="0" w:color="auto"/>
            </w:tcBorders>
          </w:tcPr>
          <w:p w14:paraId="011A7A56" w14:textId="1BE0940A" w:rsidR="00A75AE4" w:rsidRPr="003A0CA1" w:rsidRDefault="00A75AE4" w:rsidP="007D01BD">
            <w:pPr>
              <w:keepNext/>
              <w:spacing w:before="60" w:after="60" w:line="260" w:lineRule="atLeast"/>
              <w:jc w:val="both"/>
              <w:rPr>
                <w:rFonts w:ascii="Arial" w:hAnsi="Arial" w:cs="Arial"/>
                <w:sz w:val="20"/>
                <w:szCs w:val="20"/>
              </w:rPr>
            </w:pPr>
            <w:r>
              <w:rPr>
                <w:rFonts w:ascii="Arial" w:hAnsi="Arial"/>
                <w:sz w:val="20"/>
              </w:rPr>
              <w:t>Qëllimi kryesor i këtij projekti është mbrojtja e mjedisit dhe shëndetit të njerëzve nga efektet e dëmshme të mbeturinave dhe materialeve të rrezikshme, duke ngritur objekte dhe pajisje në përputhje me standardet për menaxhimin e të gjitha mbeturinave, duke përfshirë mbeturinat që do të krijohen nga procesi i dekomisionimit të objekteve të TC Kosova A.</w:t>
            </w:r>
          </w:p>
        </w:tc>
      </w:tr>
      <w:tr w:rsidR="00337F92" w:rsidRPr="003A0CA1" w14:paraId="14D604D1" w14:textId="77777777" w:rsidTr="0005785C">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2D51E683" w14:textId="77777777" w:rsidR="00337F92" w:rsidRPr="003A0CA1" w:rsidRDefault="00337F92" w:rsidP="007D01BD">
            <w:pPr>
              <w:spacing w:before="60" w:after="0" w:line="260" w:lineRule="atLeast"/>
              <w:jc w:val="both"/>
              <w:rPr>
                <w:rFonts w:ascii="Arial" w:hAnsi="Arial" w:cs="Arial"/>
                <w:bCs/>
                <w:sz w:val="20"/>
                <w:szCs w:val="20"/>
              </w:rPr>
            </w:pPr>
            <w:r>
              <w:rPr>
                <w:rFonts w:ascii="Arial" w:hAnsi="Arial"/>
                <w:sz w:val="20"/>
              </w:rPr>
              <w:t>Rezultatet e projektit infrastrukturor</w:t>
            </w:r>
          </w:p>
        </w:tc>
        <w:tc>
          <w:tcPr>
            <w:tcW w:w="2989" w:type="pct"/>
            <w:tcBorders>
              <w:top w:val="single" w:sz="4" w:space="0" w:color="auto"/>
              <w:left w:val="single" w:sz="4" w:space="0" w:color="auto"/>
              <w:bottom w:val="single" w:sz="4" w:space="0" w:color="auto"/>
              <w:right w:val="single" w:sz="4" w:space="0" w:color="auto"/>
            </w:tcBorders>
          </w:tcPr>
          <w:p w14:paraId="3286EBDD" w14:textId="4BDE904B" w:rsidR="00BF5923" w:rsidRPr="003A0CA1" w:rsidRDefault="00BF5923" w:rsidP="00341362">
            <w:pPr>
              <w:pStyle w:val="ListParagraph"/>
              <w:numPr>
                <w:ilvl w:val="0"/>
                <w:numId w:val="8"/>
              </w:numPr>
              <w:spacing w:before="60" w:after="60" w:line="240" w:lineRule="atLeast"/>
              <w:jc w:val="both"/>
              <w:rPr>
                <w:rFonts w:ascii="Arial" w:hAnsi="Arial" w:cs="Arial"/>
                <w:b/>
                <w:sz w:val="20"/>
                <w:szCs w:val="20"/>
              </w:rPr>
            </w:pPr>
            <w:r>
              <w:rPr>
                <w:rStyle w:val="hps"/>
                <w:rFonts w:ascii="Arial" w:hAnsi="Arial"/>
                <w:sz w:val="20"/>
              </w:rPr>
              <w:t>Zbatimi funksional i ligjit për mbeturinat dhe kontrolli i vendosur i fluksit të mbeturinave të rrezikshme;</w:t>
            </w:r>
          </w:p>
          <w:p w14:paraId="7D134A75" w14:textId="52B057F0" w:rsidR="00BF5923" w:rsidRPr="003A0CA1" w:rsidRDefault="00BF5923" w:rsidP="00341362">
            <w:pPr>
              <w:pStyle w:val="ListParagraph"/>
              <w:numPr>
                <w:ilvl w:val="0"/>
                <w:numId w:val="8"/>
              </w:numPr>
              <w:spacing w:before="60" w:after="60" w:line="240" w:lineRule="atLeast"/>
              <w:jc w:val="both"/>
              <w:rPr>
                <w:rStyle w:val="hps"/>
                <w:rFonts w:ascii="Arial" w:hAnsi="Arial" w:cs="Arial"/>
                <w:sz w:val="20"/>
                <w:szCs w:val="20"/>
              </w:rPr>
            </w:pPr>
            <w:r>
              <w:rPr>
                <w:rFonts w:ascii="Arial" w:hAnsi="Arial"/>
                <w:sz w:val="20"/>
              </w:rPr>
              <w:t>Përmirësimi i shërbimeve të menaxhimit të mbeturinave të rrezikshme përmes krijimit të shërbimeve të rregullta të grumbullimit dhe transportit;</w:t>
            </w:r>
          </w:p>
          <w:p w14:paraId="25BAAD8E" w14:textId="56ED8001" w:rsidR="00BF5923" w:rsidRPr="003A0CA1" w:rsidRDefault="00BF5923" w:rsidP="00341362">
            <w:pPr>
              <w:pStyle w:val="ListParagraph"/>
              <w:numPr>
                <w:ilvl w:val="0"/>
                <w:numId w:val="8"/>
              </w:numPr>
              <w:spacing w:before="60" w:after="60" w:line="240" w:lineRule="atLeast"/>
              <w:jc w:val="both"/>
              <w:rPr>
                <w:rStyle w:val="hps"/>
                <w:rFonts w:ascii="Arial" w:hAnsi="Arial" w:cs="Arial"/>
                <w:sz w:val="20"/>
                <w:szCs w:val="20"/>
              </w:rPr>
            </w:pPr>
            <w:r>
              <w:rPr>
                <w:rStyle w:val="hps"/>
                <w:rFonts w:ascii="Arial" w:hAnsi="Arial"/>
                <w:sz w:val="20"/>
              </w:rPr>
              <w:t>Reduktimi i depozitimit të mbetjeve të rrezikshme të paligjshme dhe rreziqet mjedisore dhe shëndetësore të lidhura me to;</w:t>
            </w:r>
          </w:p>
          <w:p w14:paraId="05A0DCD5" w14:textId="6665BDDA" w:rsidR="00BF5923" w:rsidRPr="003A0CA1" w:rsidRDefault="00BF5923" w:rsidP="00341362">
            <w:pPr>
              <w:pStyle w:val="ListParagraph"/>
              <w:numPr>
                <w:ilvl w:val="0"/>
                <w:numId w:val="8"/>
              </w:numPr>
              <w:spacing w:before="60" w:after="60" w:line="240" w:lineRule="atLeast"/>
              <w:jc w:val="both"/>
              <w:rPr>
                <w:rFonts w:ascii="Arial" w:hAnsi="Arial" w:cs="Arial"/>
                <w:sz w:val="20"/>
                <w:szCs w:val="20"/>
              </w:rPr>
            </w:pPr>
            <w:r>
              <w:rPr>
                <w:rFonts w:ascii="Arial" w:hAnsi="Arial"/>
                <w:sz w:val="20"/>
              </w:rPr>
              <w:t>M</w:t>
            </w:r>
            <w:r>
              <w:rPr>
                <w:rStyle w:val="hps"/>
                <w:rFonts w:ascii="Arial" w:hAnsi="Arial"/>
                <w:sz w:val="20"/>
              </w:rPr>
              <w:t>byllja dhe rehabilitimi i vend depozitave të paligjshme</w:t>
            </w:r>
            <w:r>
              <w:rPr>
                <w:rFonts w:ascii="Arial" w:hAnsi="Arial"/>
                <w:sz w:val="20"/>
              </w:rPr>
              <w:t xml:space="preserve"> </w:t>
            </w:r>
            <w:r>
              <w:rPr>
                <w:rStyle w:val="hps"/>
                <w:rFonts w:ascii="Arial" w:hAnsi="Arial"/>
                <w:sz w:val="20"/>
              </w:rPr>
              <w:t>dhe reduktimi i ndotjes nga mbeturinat e rrezikshme.</w:t>
            </w:r>
          </w:p>
          <w:p w14:paraId="07448C5B" w14:textId="53109804" w:rsidR="00BF5923" w:rsidRPr="003A0CA1" w:rsidRDefault="00BF5923" w:rsidP="00341362">
            <w:pPr>
              <w:pStyle w:val="ListParagraph"/>
              <w:numPr>
                <w:ilvl w:val="0"/>
                <w:numId w:val="8"/>
              </w:numPr>
              <w:spacing w:before="60" w:after="60" w:line="240" w:lineRule="atLeast"/>
              <w:jc w:val="both"/>
              <w:rPr>
                <w:rStyle w:val="hps"/>
                <w:rFonts w:ascii="Arial" w:hAnsi="Arial" w:cs="Arial"/>
                <w:sz w:val="20"/>
                <w:szCs w:val="20"/>
              </w:rPr>
            </w:pPr>
            <w:r>
              <w:rPr>
                <w:rFonts w:ascii="Arial" w:hAnsi="Arial"/>
                <w:sz w:val="20"/>
              </w:rPr>
              <w:t>Krijimi i mundësive të reja</w:t>
            </w:r>
            <w:r>
              <w:rPr>
                <w:rStyle w:val="hps"/>
                <w:rFonts w:ascii="Arial" w:hAnsi="Arial"/>
                <w:sz w:val="20"/>
              </w:rPr>
              <w:t xml:space="preserve"> të punës dhe rritja e shkallës së punësimit që lidhet me zhvillimin e ekonomisë së gjelbër dhe shërbimet përkatëse të menaxhimit të mbeturinave të rrezikshme.</w:t>
            </w:r>
          </w:p>
          <w:p w14:paraId="5B1B8B10" w14:textId="32053A08" w:rsidR="00436F0A" w:rsidRPr="003A0CA1" w:rsidRDefault="00BF5923" w:rsidP="00341362">
            <w:pPr>
              <w:pStyle w:val="ListParagraph"/>
              <w:numPr>
                <w:ilvl w:val="0"/>
                <w:numId w:val="8"/>
              </w:numPr>
              <w:spacing w:before="60" w:after="60" w:line="240" w:lineRule="atLeast"/>
              <w:jc w:val="both"/>
              <w:rPr>
                <w:rFonts w:ascii="Arial" w:hAnsi="Arial" w:cs="Arial"/>
                <w:sz w:val="20"/>
                <w:szCs w:val="20"/>
              </w:rPr>
            </w:pPr>
            <w:r>
              <w:rPr>
                <w:rStyle w:val="hps"/>
                <w:rFonts w:ascii="Arial" w:hAnsi="Arial"/>
                <w:sz w:val="20"/>
              </w:rPr>
              <w:t>Ndërgjegjësimi dhe inkurajimi</w:t>
            </w:r>
            <w:r>
              <w:rPr>
                <w:rFonts w:ascii="Arial" w:hAnsi="Arial"/>
                <w:sz w:val="20"/>
              </w:rPr>
              <w:t xml:space="preserve"> për </w:t>
            </w:r>
            <w:r>
              <w:rPr>
                <w:rStyle w:val="hps"/>
                <w:rFonts w:ascii="Arial" w:hAnsi="Arial"/>
                <w:sz w:val="20"/>
              </w:rPr>
              <w:t>përdorimin e materialeve sekondare nga mbeturinat e rrezikshme;</w:t>
            </w:r>
            <w:r>
              <w:rPr>
                <w:rFonts w:ascii="Arial" w:hAnsi="Arial"/>
                <w:sz w:val="20"/>
              </w:rPr>
              <w:t xml:space="preserve"> </w:t>
            </w:r>
          </w:p>
          <w:p w14:paraId="14081338" w14:textId="0F3C0FC3" w:rsidR="00337F92" w:rsidRPr="00882FEF" w:rsidRDefault="00436F0A" w:rsidP="00341362">
            <w:pPr>
              <w:pStyle w:val="ListParagraph"/>
              <w:numPr>
                <w:ilvl w:val="0"/>
                <w:numId w:val="8"/>
              </w:numPr>
              <w:spacing w:before="60" w:after="60" w:line="240" w:lineRule="atLeast"/>
              <w:jc w:val="both"/>
              <w:rPr>
                <w:rFonts w:ascii="Arial" w:hAnsi="Arial" w:cs="Arial"/>
                <w:sz w:val="20"/>
                <w:szCs w:val="20"/>
              </w:rPr>
            </w:pPr>
            <w:r>
              <w:rPr>
                <w:rStyle w:val="hps"/>
                <w:rFonts w:ascii="Arial" w:hAnsi="Arial"/>
                <w:sz w:val="20"/>
              </w:rPr>
              <w:t xml:space="preserve"> Promovimi i ekonomisë qarkore dhe qasjeve të menaxhimit të integruar të mbeturinave nëpërmjet ripërdorimit të materialit të ricikluar në sektorët industrialë që prodhojnë mbeturina të rrezikshme.</w:t>
            </w:r>
          </w:p>
        </w:tc>
      </w:tr>
      <w:tr w:rsidR="00337F92" w:rsidRPr="003A0CA1" w14:paraId="28FACD31" w14:textId="77777777" w:rsidTr="0005785C">
        <w:trPr>
          <w:trHeight w:val="445"/>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183859D" w14:textId="0D900E1D" w:rsidR="00337F92" w:rsidRPr="003A0CA1" w:rsidRDefault="00337F92" w:rsidP="00341362">
            <w:pPr>
              <w:spacing w:before="60" w:after="60" w:line="260" w:lineRule="atLeast"/>
              <w:jc w:val="both"/>
              <w:rPr>
                <w:rFonts w:ascii="Arial" w:hAnsi="Arial" w:cs="Arial"/>
                <w:bCs/>
                <w:sz w:val="20"/>
                <w:szCs w:val="20"/>
              </w:rPr>
            </w:pPr>
            <w:r>
              <w:rPr>
                <w:rFonts w:ascii="Arial" w:hAnsi="Arial"/>
                <w:sz w:val="20"/>
              </w:rPr>
              <w:t xml:space="preserve">Përshkrimi i përgjithshëm </w:t>
            </w:r>
          </w:p>
        </w:tc>
        <w:tc>
          <w:tcPr>
            <w:tcW w:w="2989" w:type="pct"/>
            <w:tcBorders>
              <w:top w:val="single" w:sz="4" w:space="0" w:color="auto"/>
              <w:left w:val="single" w:sz="4" w:space="0" w:color="auto"/>
              <w:bottom w:val="single" w:sz="4" w:space="0" w:color="auto"/>
              <w:right w:val="single" w:sz="4" w:space="0" w:color="auto"/>
            </w:tcBorders>
          </w:tcPr>
          <w:p w14:paraId="545E55FF" w14:textId="5768D633" w:rsidR="00337F92" w:rsidRPr="003A0CA1" w:rsidRDefault="00067E77" w:rsidP="007D01BD">
            <w:pPr>
              <w:pStyle w:val="Default"/>
              <w:spacing w:before="60" w:after="60" w:line="260" w:lineRule="atLeast"/>
              <w:jc w:val="both"/>
              <w:rPr>
                <w:rFonts w:ascii="Arial" w:hAnsi="Arial" w:cs="Arial"/>
                <w:color w:val="auto"/>
                <w:sz w:val="20"/>
                <w:szCs w:val="20"/>
              </w:rPr>
            </w:pPr>
            <w:r>
              <w:rPr>
                <w:rStyle w:val="hps"/>
                <w:rFonts w:ascii="Arial" w:hAnsi="Arial"/>
                <w:color w:val="auto"/>
                <w:sz w:val="20"/>
              </w:rPr>
              <w:t>Kosova ende duhet të përmirësojë sistemin e saj të menaxhimit të mbeturinave, për të gjitha llojet e mbeturinave të ngurta të prodhuara përgjatë territorit të saj</w:t>
            </w:r>
            <w:r>
              <w:rPr>
                <w:rFonts w:ascii="Arial" w:hAnsi="Arial"/>
                <w:color w:val="auto"/>
                <w:sz w:val="20"/>
              </w:rPr>
              <w:t xml:space="preserve">: </w:t>
            </w:r>
            <w:r>
              <w:rPr>
                <w:rStyle w:val="hps"/>
                <w:rFonts w:ascii="Arial" w:hAnsi="Arial"/>
                <w:color w:val="auto"/>
                <w:sz w:val="20"/>
              </w:rPr>
              <w:t>shtëpiake, industriale</w:t>
            </w:r>
            <w:r>
              <w:rPr>
                <w:rFonts w:ascii="Arial" w:hAnsi="Arial"/>
                <w:color w:val="auto"/>
                <w:sz w:val="20"/>
              </w:rPr>
              <w:t xml:space="preserve">, mbetje mjekësore </w:t>
            </w:r>
            <w:r>
              <w:rPr>
                <w:rStyle w:val="hps"/>
                <w:rFonts w:ascii="Arial" w:hAnsi="Arial"/>
                <w:color w:val="auto"/>
                <w:sz w:val="20"/>
              </w:rPr>
              <w:t>dhe të rrezikshme</w:t>
            </w:r>
            <w:r>
              <w:rPr>
                <w:rFonts w:ascii="Arial" w:hAnsi="Arial"/>
                <w:color w:val="auto"/>
                <w:sz w:val="20"/>
              </w:rPr>
              <w:t xml:space="preserve">. </w:t>
            </w:r>
          </w:p>
          <w:p w14:paraId="23CB80AC" w14:textId="1F2DF5AC" w:rsidR="007D01BD" w:rsidRPr="003A0CA1" w:rsidRDefault="007D01BD" w:rsidP="007D01BD">
            <w:pPr>
              <w:jc w:val="both"/>
              <w:rPr>
                <w:rFonts w:ascii="Arial" w:hAnsi="Arial" w:cs="Arial"/>
                <w:sz w:val="20"/>
                <w:szCs w:val="20"/>
              </w:rPr>
            </w:pPr>
            <w:r>
              <w:rPr>
                <w:rFonts w:ascii="Arial" w:hAnsi="Arial"/>
                <w:sz w:val="20"/>
              </w:rPr>
              <w:t>Mbetet paqëndrueshmëria e sistemit të menaxhimit të mbeturinave. Ndërsa korniza ligjor është pjesërisht e përafruar me acquis të BE-së, ajo ende duhet të përfshijë përgjegjësinë e zgjeruar të prodhuesit dhe parimin ndotësi paguan. Kuvendi e miratoi me vonesë Ligjin për mbeturina, në gusht të vitit 2022, duke e harmonizuar legjislacionin e Kosovës me direktivën kornizë për mbeturinat. Zbatimi i legjislacionit për menaxhimin e mbeturinave të rrezikshme ka ngecur. Pjesa më e madhe e mbeturinave ende përfundojnë në deponi, të cilat nuk menaxhohen siç duhet ose nuk kategorizohen si deponi të paligjshme të mbeturinave.</w:t>
            </w:r>
          </w:p>
          <w:p w14:paraId="1FA7C3DA" w14:textId="3B787146" w:rsidR="00337F92" w:rsidRPr="003A0CA1" w:rsidRDefault="00337F92" w:rsidP="007D01BD">
            <w:pPr>
              <w:spacing w:before="60" w:after="60" w:line="260" w:lineRule="atLeast"/>
              <w:jc w:val="both"/>
              <w:rPr>
                <w:rFonts w:ascii="Arial" w:hAnsi="Arial" w:cs="Arial"/>
                <w:sz w:val="20"/>
                <w:szCs w:val="20"/>
              </w:rPr>
            </w:pPr>
            <w:r>
              <w:rPr>
                <w:rFonts w:ascii="Arial" w:hAnsi="Arial"/>
                <w:sz w:val="20"/>
              </w:rPr>
              <w:t xml:space="preserve">Aktivitetet për zbatimin e projektit “Ndërtimi i depove të menaxhimit të mbetjeve të rrezikshme” do të përqendrohen në ngritjen e kapaciteteve profesionale dhe kryesisht do të konsistojnë në përditësimin e raportit të vlerësimit dhe në krijimin e sistemit funksional për mbledhjen dhe menaxhimin </w:t>
            </w:r>
            <w:r>
              <w:rPr>
                <w:rFonts w:ascii="Arial" w:hAnsi="Arial"/>
                <w:sz w:val="20"/>
              </w:rPr>
              <w:lastRenderedPageBreak/>
              <w:t>e të dhënave për mbeturinat e rrezikshme të prodhuara në territorin e Republikës së Kosovës, në asistencën për autoritetet kompetente për përmirësimin, plotësimin dhe hartimin e legjislacionit mjedisor në fushën e menaxhimit të mbeturinave të rrezikshme (HWM), në përfundimin e studimeve eventuale të nevojshme duke përfshirë një analizë paraprake mbi integrimin e mundshëm të këtyre me sistemet HWM të vendeve fqinje, në hartimin e dokumentacionit teknik dhe projekteve paraprake, në përgatitjen e Dosjes së Tenderit për ndërtimin e objekteve të reja të ruajtjes, riciklimit dhe ripërdorimit të HWM në komunat e synuara dhe furnizimin e pajisjeve përkatëse, në ndërtimin dhe mbikëqyrjen e punimeve dhe furnizimit me pajisje, në përgatitjen dhe trajnimin e stafit për funksionalizimin e objekteve dhe pajisjeve të furnizuara. Nga ky projekt Kosova do të përfitojë ndërtimin e objekteve, ngritjen e kapaciteteve njerëzore dhe menaxhimin e qëndrueshëm të mbeturinave të rrezikshme, përvojën profesionale, mjedisin e pastër, si dhe do të bëhet në përputhje me standardet mjedisore në këtë fushë sipas legjislacionit aktual të BE-së.</w:t>
            </w:r>
          </w:p>
          <w:p w14:paraId="7FACC362" w14:textId="2316E8DC" w:rsidR="003B6B69" w:rsidRPr="003A0CA1" w:rsidRDefault="00337F92" w:rsidP="007D01BD">
            <w:pPr>
              <w:spacing w:before="60" w:after="60" w:line="260" w:lineRule="atLeast"/>
              <w:jc w:val="both"/>
              <w:rPr>
                <w:rFonts w:ascii="Arial" w:eastAsia="Arial Unicode MS" w:hAnsi="Arial" w:cs="Arial"/>
                <w:sz w:val="20"/>
                <w:szCs w:val="20"/>
              </w:rPr>
            </w:pPr>
            <w:r>
              <w:rPr>
                <w:rFonts w:ascii="Arial" w:hAnsi="Arial"/>
                <w:sz w:val="20"/>
              </w:rPr>
              <w:t>Projekti gjithashtu do të jetë një nga komponentët e procesit të dekomisionimit të TC Kosova A, që do të zbatohet në përputhje me Vendimin e Qeverisë Nr. 04/156.</w:t>
            </w:r>
          </w:p>
          <w:p w14:paraId="6C331766" w14:textId="6A0BEAA5" w:rsidR="00337F92" w:rsidRPr="003A0CA1" w:rsidRDefault="008B35D0" w:rsidP="007D01BD">
            <w:pPr>
              <w:keepNext/>
              <w:spacing w:before="60" w:after="60" w:line="260" w:lineRule="atLeast"/>
              <w:jc w:val="both"/>
              <w:rPr>
                <w:rFonts w:ascii="Arial" w:hAnsi="Arial" w:cs="Arial"/>
                <w:sz w:val="20"/>
                <w:szCs w:val="20"/>
              </w:rPr>
            </w:pPr>
            <w:r>
              <w:rPr>
                <w:rFonts w:ascii="Arial" w:hAnsi="Arial"/>
                <w:color w:val="000000" w:themeColor="text1"/>
                <w:sz w:val="20"/>
              </w:rPr>
              <w:t xml:space="preserve">Aktualisht, komponentët e mbeturinave të rrezikshme (MRr) brenda mbeturinave të ngurta komunale (MNK) nuk janë të ndara. Është vlerësuar se 0.4% deri në 1.2% e MNK është MRr. Me kalimin e kohës po ndryshon natyra e MRr të gjeneruar nga familjet. Pritet që përqindja e e-mbeturinave të rritet gradualisht, ndërsa rrymat e tjera të mundshme të MRr (të tilla si bojërat me bazë tretës) do të ulen në mënyrë të qëndrueshme. </w:t>
            </w:r>
            <w:r>
              <w:rPr>
                <w:rFonts w:ascii="Arial" w:hAnsi="Arial"/>
                <w:sz w:val="20"/>
              </w:rPr>
              <w:t xml:space="preserve">Sistemi për grumbullimin, klasifikimin, riciklimin dhe trajtimin e mbeturinave nuk funksionon siç duhet dhe infrastruktura për mbetjet e ngurta është e pamjaftueshme. Një numër i madh i deponive ilegale dhe deponive industriale po menaxhohen keq. Mungojnë objektet e përshtatshme dhe të operuara të mbeturinave të rrezikshme. Çështjet e sipërpërmendura kanë implikime serioze shëndetësore dhe mjedisore që vijnë si nga deponitë e pakontrolluara ashtu edhe nga ato të pakontrolluara (veçanërisht në zonat rurale), ku mbetjet e rrezikshme të pagrumbulluara hidhen në deponi ilegale (shpesh pranë lumenjve, duke shkaktuar rreziqe të tjera mjedisore), ose digjen. Ujërat nëntokësore janë shumë të ndotura nga mbeturinave, përfshirë mbeturinat e rrezikshme të grumbulluara në ambientet e kompanive të ndryshme prodhuese. Nga industria kosovare e paraluftës e kohës socialiste u trashëguan sasi të mëdha kimikatesh, mbetjesh industriale dhe minerare me përmbajtje të lartë të metaleve të rënda, të cilat nuk u trajtuan kurrë. Për shkak të teknologjive të vjetra të përpunimit, të cilat nuk mundësojnë përdorimin e mjaftueshëm të lëndëve të para, në vendgrumbullimet ka sasi të mëdha mbetjesh minerare që në </w:t>
            </w:r>
            <w:r>
              <w:rPr>
                <w:rFonts w:ascii="Arial" w:hAnsi="Arial"/>
                <w:sz w:val="20"/>
              </w:rPr>
              <w:lastRenderedPageBreak/>
              <w:t xml:space="preserve">fakt po i shkaktojnë dëme të mëdha mjedisit ku ndodhen, duke ndotur ajrin, tokën, ujërat sipërfaqësore dhe ujërat nëntokësore. Problem të madh paraqesin deponitë industriale, veçanërisht vendgrumbullimet e krijuara për aktivitete të ndryshme minerare, metalurgjike dhe kimike, të cilat zënë një sipërfaqe të konsiderueshme. Sasia e mbeturinave të tilla të rrezikshme të minierave që përmbajnë sasi të konsiderueshme të metaleve të rënda vlerësohet të jetë 60 milionë tonë vetëm në Trepçë. Këto deponi industriale janë burim i vazhdueshëm i ndotjes së ajrit, ujit dhe tokës. Deponitë e hirit nga Korporata Energjetike e Kosovës në komunën e Obiliqit dhe deponia e Ferronikelit në Gllogoc paraqesin probleme të theksuara, duke krijuar të ashtuquajturat “hot spots”, sinjale të kuqe për shëndetin e njeriut dhe florën dhe faunën kombëtare. Deponitë e tjera të egra, kimikatet e mbetura nga fabrikat që kanë operuar në të kaluarën, ripaketohen dhe ruhen përkohësisht në pika të caktuara në Kosovë dhe paraqesin rrezik permanent për mjedisin. Mbetjet speciale: bateritë, gomat e përdorura, mbeturinat e kafshëve, pajisjet dhe aparaturat e ndryshme, makinat e papërdorura dhe vajrat e përdorura, nuk trajtohen në mënyrë adekuate. Për më tepër, ndihmat emergjente të pasluftës kanë sjellë sasi të caktuara të barnave, pesticideve dhe produkteve shpenzuese, afatet e të cilave kanë skaduar dhe si të tilla janë bërë MRr. </w:t>
            </w:r>
          </w:p>
          <w:p w14:paraId="7F15A262" w14:textId="7BE05F04" w:rsidR="00337F92" w:rsidRPr="003A0CA1" w:rsidRDefault="00337F92" w:rsidP="007D01BD">
            <w:pPr>
              <w:spacing w:before="60" w:after="60" w:line="260" w:lineRule="atLeast"/>
              <w:jc w:val="both"/>
              <w:rPr>
                <w:rFonts w:ascii="Arial" w:eastAsia="Arial Unicode MS" w:hAnsi="Arial" w:cs="Arial"/>
                <w:sz w:val="20"/>
                <w:szCs w:val="20"/>
              </w:rPr>
            </w:pPr>
            <w:r>
              <w:rPr>
                <w:rFonts w:ascii="Arial" w:hAnsi="Arial"/>
                <w:sz w:val="20"/>
              </w:rPr>
              <w:t xml:space="preserve">Deri më tani, mbetjet e rrezikshme nuk grumbullohen, magazinohen dhe asgjësohen në vende të përshtatshme dhe vetëm pak prodhues kanë bërë kërkesat e tyre për autorizim për të ruajtur mbetjet e tyre të rrezikshme në një vend të sigurt dhe të përshtatshëm. </w:t>
            </w:r>
          </w:p>
          <w:p w14:paraId="2FBAB692" w14:textId="6A7A33C4" w:rsidR="00337F92" w:rsidRPr="003A0CA1" w:rsidRDefault="00337F92" w:rsidP="007D01BD">
            <w:pPr>
              <w:pStyle w:val="CommentText"/>
              <w:spacing w:before="60" w:after="60" w:line="260" w:lineRule="atLeast"/>
              <w:jc w:val="both"/>
              <w:rPr>
                <w:rFonts w:ascii="Arial" w:hAnsi="Arial" w:cs="Arial"/>
              </w:rPr>
            </w:pPr>
            <w:r>
              <w:rPr>
                <w:rFonts w:ascii="Arial" w:hAnsi="Arial"/>
              </w:rPr>
              <w:t>MMPHI është përgjegjëse për përgatitjen dhe zbatimin e ligjeve mjedisore dhe për miratimin e EIA-ve dhe për dhënien e Lejeve Mjedisore të projekteve industriale, duke përfshirë projektet e ruajtjes së mbetjeve të rrezikshme (HWS). Kjo mbështetet nga 38 komuna të themeluara me Ligjin nr.03/L-041. Të gjitha ministritë kryesore sektoriale, në veçanti Ministria e Ekonomisë (përgjegjëse për zbatimin e politikave të Energjisë), Ministria e Tregtisë dhe Industrisë dhe Inovacionit, Ministria e Bujqësisë, Pylltarisë dhe Zhvillimit Rural dhe Ministria e Shëndetësisë do të jenë ndër aktorët kryesorë të këtij projekti në lidhje me burimet sektoriale me origjinë MRr të lartpërmendura. Operatori për mbeturinat e rrezikshme do të themelohet si shoqëri publike.</w:t>
            </w:r>
          </w:p>
        </w:tc>
      </w:tr>
    </w:tbl>
    <w:p w14:paraId="752BA005" w14:textId="77777777" w:rsidR="00BA451D" w:rsidRPr="00BA451D" w:rsidRDefault="00BA451D" w:rsidP="00BA451D">
      <w:pPr>
        <w:spacing w:after="160" w:line="259" w:lineRule="auto"/>
        <w:jc w:val="both"/>
        <w:rPr>
          <w:rFonts w:ascii="Arial" w:hAnsi="Arial" w:cs="Arial"/>
          <w:b/>
          <w:sz w:val="20"/>
          <w:szCs w:val="20"/>
          <w:lang w:val="en-GB"/>
        </w:rPr>
      </w:pPr>
    </w:p>
    <w:p w14:paraId="36DD6B97" w14:textId="0193FE9C" w:rsidR="00337F92" w:rsidRPr="00BA451D" w:rsidRDefault="00B21BDE" w:rsidP="00BA451D">
      <w:pPr>
        <w:pStyle w:val="ListParagraph"/>
        <w:numPr>
          <w:ilvl w:val="0"/>
          <w:numId w:val="2"/>
        </w:numPr>
        <w:spacing w:after="160" w:line="259" w:lineRule="auto"/>
        <w:jc w:val="both"/>
        <w:rPr>
          <w:rFonts w:ascii="Arial" w:hAnsi="Arial" w:cs="Arial"/>
          <w:b/>
          <w:sz w:val="20"/>
          <w:szCs w:val="20"/>
        </w:rPr>
      </w:pPr>
      <w:r>
        <w:rPr>
          <w:rFonts w:ascii="Arial" w:hAnsi="Arial"/>
          <w:b/>
          <w:sz w:val="20"/>
        </w:rPr>
        <w:t>KUALIFIKU</w:t>
      </w:r>
      <w:r w:rsidR="00337F92">
        <w:rPr>
          <w:rFonts w:ascii="Arial" w:hAnsi="Arial"/>
          <w:b/>
          <w:sz w:val="20"/>
        </w:rPr>
        <w:t>ESHMËRIA</w:t>
      </w:r>
    </w:p>
    <w:tbl>
      <w:tblPr>
        <w:tblW w:w="4947" w:type="pct"/>
        <w:tblInd w:w="108" w:type="dxa"/>
        <w:tblLook w:val="01E0" w:firstRow="1" w:lastRow="1" w:firstColumn="1" w:lastColumn="1" w:noHBand="0" w:noVBand="0"/>
      </w:tblPr>
      <w:tblGrid>
        <w:gridCol w:w="3721"/>
        <w:gridCol w:w="5530"/>
      </w:tblGrid>
      <w:tr w:rsidR="00337F92" w:rsidRPr="003A0CA1" w14:paraId="7E1F923F" w14:textId="77777777" w:rsidTr="0005785C">
        <w:trPr>
          <w:trHeight w:val="346"/>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CFEA7D4" w14:textId="5258CDFF" w:rsidR="00337F92" w:rsidRPr="003A0CA1" w:rsidRDefault="00337F92" w:rsidP="00B21BDE">
            <w:pPr>
              <w:spacing w:after="0" w:line="240" w:lineRule="auto"/>
              <w:jc w:val="both"/>
              <w:rPr>
                <w:rFonts w:ascii="Arial" w:hAnsi="Arial" w:cs="Arial"/>
                <w:sz w:val="20"/>
                <w:szCs w:val="20"/>
              </w:rPr>
            </w:pPr>
            <w:r>
              <w:rPr>
                <w:rFonts w:ascii="Arial" w:hAnsi="Arial"/>
                <w:sz w:val="20"/>
              </w:rPr>
              <w:t>Koherenc</w:t>
            </w:r>
            <w:r w:rsidR="00B21BDE">
              <w:rPr>
                <w:rFonts w:ascii="Arial" w:hAnsi="Arial"/>
                <w:sz w:val="20"/>
              </w:rPr>
              <w:t>a</w:t>
            </w:r>
            <w:r>
              <w:rPr>
                <w:rFonts w:ascii="Arial" w:hAnsi="Arial"/>
                <w:sz w:val="20"/>
              </w:rPr>
              <w:t xml:space="preserve"> me politikat dhe strategjitë e vlefshme të BE-së </w:t>
            </w:r>
          </w:p>
        </w:tc>
        <w:tc>
          <w:tcPr>
            <w:tcW w:w="2989" w:type="pct"/>
            <w:tcBorders>
              <w:top w:val="single" w:sz="4" w:space="0" w:color="auto"/>
              <w:left w:val="single" w:sz="4" w:space="0" w:color="auto"/>
              <w:bottom w:val="single" w:sz="4" w:space="0" w:color="auto"/>
              <w:right w:val="single" w:sz="4" w:space="0" w:color="auto"/>
            </w:tcBorders>
            <w:vAlign w:val="center"/>
          </w:tcPr>
          <w:p w14:paraId="538F7CBD" w14:textId="43A65C5B" w:rsidR="007D01BD" w:rsidRPr="003A0CA1" w:rsidRDefault="00206DD2" w:rsidP="007D01BD">
            <w:pPr>
              <w:spacing w:after="0" w:line="240" w:lineRule="auto"/>
              <w:jc w:val="both"/>
              <w:rPr>
                <w:rFonts w:ascii="Arial" w:eastAsia="Times New Roman" w:hAnsi="Arial" w:cs="Arial"/>
                <w:b/>
                <w:bCs/>
                <w:sz w:val="20"/>
                <w:szCs w:val="20"/>
              </w:rPr>
            </w:pPr>
            <w:r>
              <w:rPr>
                <w:rFonts w:ascii="Arial" w:hAnsi="Arial"/>
                <w:b/>
                <w:sz w:val="20"/>
              </w:rPr>
              <w:t>Instrumenti për Asistencën e Para-A</w:t>
            </w:r>
            <w:r w:rsidR="001415FF">
              <w:rPr>
                <w:rFonts w:ascii="Arial" w:hAnsi="Arial"/>
                <w:b/>
                <w:sz w:val="20"/>
              </w:rPr>
              <w:t>nëtarësimit</w:t>
            </w:r>
            <w:r>
              <w:rPr>
                <w:rFonts w:ascii="Arial" w:hAnsi="Arial"/>
                <w:b/>
                <w:sz w:val="20"/>
              </w:rPr>
              <w:t xml:space="preserve"> (IPA III) Korniza </w:t>
            </w:r>
            <w:r w:rsidR="001415FF">
              <w:rPr>
                <w:rFonts w:ascii="Arial" w:hAnsi="Arial"/>
                <w:b/>
                <w:sz w:val="20"/>
              </w:rPr>
              <w:t>Programuese</w:t>
            </w:r>
            <w:r>
              <w:rPr>
                <w:rFonts w:ascii="Arial" w:hAnsi="Arial"/>
                <w:b/>
                <w:sz w:val="20"/>
              </w:rPr>
              <w:t xml:space="preserve"> për periudhën 2021-2027</w:t>
            </w:r>
          </w:p>
          <w:p w14:paraId="4AB0B9A6" w14:textId="40F008D4" w:rsidR="00206DD2" w:rsidRPr="003A0CA1" w:rsidRDefault="00206DD2" w:rsidP="007D01BD">
            <w:pPr>
              <w:spacing w:after="0" w:line="240" w:lineRule="auto"/>
              <w:jc w:val="both"/>
              <w:rPr>
                <w:rFonts w:ascii="Arial" w:eastAsia="Times New Roman" w:hAnsi="Arial" w:cs="Arial"/>
                <w:bCs/>
                <w:sz w:val="20"/>
                <w:szCs w:val="20"/>
                <w:highlight w:val="yellow"/>
              </w:rPr>
            </w:pPr>
            <w:r>
              <w:rPr>
                <w:rFonts w:ascii="Arial" w:hAnsi="Arial"/>
                <w:sz w:val="20"/>
              </w:rPr>
              <w:t xml:space="preserve">Dritarja 3: Agjenda e gjelbër dhe lidhshmëria e qëndrueshme </w:t>
            </w:r>
          </w:p>
          <w:p w14:paraId="305EB1AA" w14:textId="77777777" w:rsidR="0046184E" w:rsidRPr="003A0CA1" w:rsidRDefault="0046184E" w:rsidP="007D01BD">
            <w:pPr>
              <w:pStyle w:val="BodyText"/>
              <w:ind w:left="0" w:firstLine="0"/>
              <w:jc w:val="both"/>
              <w:rPr>
                <w:rFonts w:ascii="Arial" w:hAnsi="Arial" w:cs="Arial"/>
                <w:sz w:val="20"/>
                <w:szCs w:val="20"/>
              </w:rPr>
            </w:pPr>
            <w:r>
              <w:rPr>
                <w:rFonts w:ascii="Arial" w:hAnsi="Arial"/>
                <w:sz w:val="20"/>
              </w:rPr>
              <w:t xml:space="preserve">Prioriteti tematik 1: Mjedisi dhe ndryshimi klimatik </w:t>
            </w:r>
          </w:p>
          <w:p w14:paraId="78CEFA3B" w14:textId="69D1F1AD" w:rsidR="00206DD2" w:rsidRPr="003A0CA1" w:rsidRDefault="00206DD2" w:rsidP="007D01BD">
            <w:pPr>
              <w:spacing w:after="0" w:line="240" w:lineRule="auto"/>
              <w:jc w:val="both"/>
              <w:rPr>
                <w:rFonts w:ascii="Arial" w:eastAsia="Times New Roman" w:hAnsi="Arial" w:cs="Arial"/>
                <w:b/>
                <w:bCs/>
                <w:sz w:val="20"/>
                <w:szCs w:val="20"/>
                <w:highlight w:val="yellow"/>
                <w:lang w:val="en-GB"/>
              </w:rPr>
            </w:pPr>
          </w:p>
          <w:p w14:paraId="37629CF9" w14:textId="678717AB" w:rsidR="00206DD2" w:rsidRPr="003A0CA1" w:rsidRDefault="001415FF" w:rsidP="007D01BD">
            <w:pPr>
              <w:spacing w:after="0" w:line="240" w:lineRule="auto"/>
              <w:jc w:val="both"/>
              <w:rPr>
                <w:rFonts w:ascii="Arial" w:eastAsia="Times New Roman" w:hAnsi="Arial" w:cs="Arial"/>
                <w:b/>
                <w:bCs/>
                <w:sz w:val="20"/>
                <w:szCs w:val="20"/>
              </w:rPr>
            </w:pPr>
            <w:r>
              <w:rPr>
                <w:rFonts w:ascii="Arial" w:hAnsi="Arial"/>
                <w:b/>
                <w:sz w:val="20"/>
              </w:rPr>
              <w:t xml:space="preserve">Plani </w:t>
            </w:r>
            <w:bookmarkStart w:id="2" w:name="_GoBack"/>
            <w:bookmarkEnd w:id="2"/>
            <w:r w:rsidR="00206DD2">
              <w:rPr>
                <w:rFonts w:ascii="Arial" w:hAnsi="Arial"/>
                <w:b/>
                <w:sz w:val="20"/>
              </w:rPr>
              <w:t>ekonomik dhe investiv për Ballkanin Perëndimor</w:t>
            </w:r>
          </w:p>
          <w:p w14:paraId="6A41264E" w14:textId="77777777" w:rsidR="0046184E" w:rsidRPr="003A0CA1" w:rsidRDefault="0046184E" w:rsidP="00260D55">
            <w:pPr>
              <w:autoSpaceDE w:val="0"/>
              <w:autoSpaceDN w:val="0"/>
              <w:adjustRightInd w:val="0"/>
              <w:spacing w:after="0" w:line="240" w:lineRule="auto"/>
              <w:jc w:val="both"/>
              <w:rPr>
                <w:rFonts w:ascii="Arial" w:hAnsi="Arial" w:cs="Arial"/>
                <w:bCs/>
                <w:color w:val="000000"/>
                <w:sz w:val="20"/>
                <w:szCs w:val="20"/>
              </w:rPr>
            </w:pPr>
            <w:r>
              <w:rPr>
                <w:rFonts w:ascii="Arial" w:hAnsi="Arial"/>
                <w:color w:val="000000"/>
                <w:sz w:val="20"/>
              </w:rPr>
              <w:lastRenderedPageBreak/>
              <w:t xml:space="preserve">Fusha prioritare VI. Gjelbërimi i Ballkanit Perëndimor – Investimi në mjedis dhe klimë; </w:t>
            </w:r>
            <w:r>
              <w:rPr>
                <w:rFonts w:ascii="Arial" w:hAnsi="Arial"/>
                <w:sz w:val="20"/>
              </w:rPr>
              <w:t xml:space="preserve">FLAGSHIP 7 – Menaxhimi i mbeturinave dhe ujërave të zeza </w:t>
            </w:r>
          </w:p>
          <w:p w14:paraId="1CAFED13" w14:textId="77777777" w:rsidR="00206DD2" w:rsidRPr="003A0CA1" w:rsidRDefault="00206DD2" w:rsidP="007D01BD">
            <w:pPr>
              <w:spacing w:after="0" w:line="240" w:lineRule="auto"/>
              <w:jc w:val="both"/>
              <w:rPr>
                <w:rFonts w:ascii="Arial" w:eastAsia="Times New Roman" w:hAnsi="Arial" w:cs="Arial"/>
                <w:sz w:val="20"/>
                <w:szCs w:val="20"/>
                <w:lang w:val="en-GB"/>
              </w:rPr>
            </w:pPr>
          </w:p>
          <w:p w14:paraId="03592BB5" w14:textId="2876A417" w:rsidR="0046184E" w:rsidRPr="003A0CA1" w:rsidRDefault="00206DD2" w:rsidP="00260D55">
            <w:pPr>
              <w:spacing w:after="0" w:line="240" w:lineRule="auto"/>
              <w:jc w:val="both"/>
              <w:rPr>
                <w:rFonts w:ascii="Arial" w:hAnsi="Arial" w:cs="Arial"/>
                <w:b/>
                <w:sz w:val="20"/>
                <w:szCs w:val="20"/>
              </w:rPr>
            </w:pPr>
            <w:r>
              <w:rPr>
                <w:rFonts w:ascii="Arial" w:hAnsi="Arial"/>
                <w:b/>
                <w:sz w:val="20"/>
              </w:rPr>
              <w:t>Agjenda e Gjelbër për Ballkanin Perëndimor, shtylla e dytë:</w:t>
            </w:r>
          </w:p>
          <w:p w14:paraId="7819810F" w14:textId="06A56A28" w:rsidR="003313B9" w:rsidRPr="00BA451D" w:rsidRDefault="0046184E" w:rsidP="00BA451D">
            <w:pPr>
              <w:spacing w:after="0" w:line="240" w:lineRule="auto"/>
              <w:jc w:val="both"/>
              <w:rPr>
                <w:rFonts w:ascii="Arial" w:hAnsi="Arial" w:cs="Arial"/>
                <w:b/>
                <w:sz w:val="20"/>
                <w:szCs w:val="20"/>
              </w:rPr>
            </w:pPr>
            <w:r>
              <w:rPr>
                <w:rFonts w:ascii="Arial" w:hAnsi="Arial"/>
                <w:sz w:val="20"/>
              </w:rPr>
              <w:t>(2) ekonomi qarkore, duke trajtuar në veçanti mbetjet, riciklimin, prodhimin e qëndrueshëm dhe përdorimin efikas të burimeve.</w:t>
            </w:r>
          </w:p>
          <w:p w14:paraId="46EC5FFC" w14:textId="137D9EFF" w:rsidR="00747F72" w:rsidRPr="003A0CA1" w:rsidRDefault="00337F92" w:rsidP="007D01BD">
            <w:pPr>
              <w:spacing w:before="60" w:after="60" w:line="260" w:lineRule="atLeast"/>
              <w:jc w:val="both"/>
              <w:rPr>
                <w:rFonts w:ascii="Arial" w:hAnsi="Arial" w:cs="Arial"/>
                <w:sz w:val="20"/>
                <w:szCs w:val="20"/>
              </w:rPr>
            </w:pPr>
            <w:r>
              <w:rPr>
                <w:rFonts w:ascii="Arial" w:hAnsi="Arial"/>
                <w:b/>
                <w:sz w:val="20"/>
              </w:rPr>
              <w:t xml:space="preserve">Direktiva Kornizë për Mbeturina 2008/98/EC </w:t>
            </w:r>
            <w:r>
              <w:rPr>
                <w:rStyle w:val="hps"/>
                <w:rFonts w:ascii="Arial" w:hAnsi="Arial"/>
                <w:sz w:val="20"/>
              </w:rPr>
              <w:t>përcakton parimet për menaxhimin e mbeturinave, objektivat mjedisore, proceset e planifikimit dhe direktivat e tjera për mbeturinat speciale</w:t>
            </w:r>
            <w:r>
              <w:rPr>
                <w:rFonts w:ascii="Arial" w:hAnsi="Arial"/>
                <w:sz w:val="20"/>
              </w:rPr>
              <w:t xml:space="preserve">, të tilla si: </w:t>
            </w:r>
            <w:r>
              <w:rPr>
                <w:rStyle w:val="hps"/>
                <w:rFonts w:ascii="Arial" w:hAnsi="Arial"/>
                <w:sz w:val="20"/>
              </w:rPr>
              <w:t>gomat mbeturina</w:t>
            </w:r>
            <w:r>
              <w:rPr>
                <w:rFonts w:ascii="Arial" w:hAnsi="Arial"/>
                <w:sz w:val="20"/>
              </w:rPr>
              <w:t xml:space="preserve">, </w:t>
            </w:r>
            <w:r>
              <w:rPr>
                <w:rStyle w:val="hps"/>
                <w:rFonts w:ascii="Arial" w:hAnsi="Arial"/>
                <w:sz w:val="20"/>
              </w:rPr>
              <w:t>mbetjet nga energjia elektrike</w:t>
            </w:r>
            <w:r>
              <w:rPr>
                <w:rFonts w:ascii="Arial" w:hAnsi="Arial"/>
                <w:sz w:val="20"/>
              </w:rPr>
              <w:t xml:space="preserve"> dhe </w:t>
            </w:r>
            <w:r>
              <w:rPr>
                <w:rStyle w:val="hps"/>
                <w:rFonts w:ascii="Arial" w:hAnsi="Arial"/>
                <w:sz w:val="20"/>
              </w:rPr>
              <w:t>instalime elektronike, metale</w:t>
            </w:r>
            <w:r>
              <w:rPr>
                <w:rFonts w:ascii="Arial" w:hAnsi="Arial"/>
                <w:sz w:val="20"/>
              </w:rPr>
              <w:t xml:space="preserve">, bateritë, </w:t>
            </w:r>
            <w:r>
              <w:rPr>
                <w:rStyle w:val="hps"/>
                <w:rFonts w:ascii="Arial" w:hAnsi="Arial"/>
                <w:sz w:val="20"/>
              </w:rPr>
              <w:t>etj</w:t>
            </w:r>
            <w:r>
              <w:rPr>
                <w:rFonts w:ascii="Arial" w:hAnsi="Arial"/>
                <w:sz w:val="20"/>
              </w:rPr>
              <w:t>. Kjo direktivë duhet të ndihmojë në afrimin me BE-në drejt një 'shoqërie riciklimi', që synon të shmangë gjenerimin e mbeturinave dhe të përdorë mbeturinat si burim. Në veçanti, Programi i 6-të i Veprimit për Mjedisin Komunitar kërkon masa që synojnë të sigurojnë ndarjen në burim, grumbullimin dhe riciklimin e rrymave prioritare të mbeturinave. Në përputhje me këtë objektiv dhe si një mjet për të lehtësuar ose përmirësuar potencialin e tyre të rikuperimit, mbeturinat duhet të mblidhen veçmas nëse në aspektin teknik, mjedisor dhe ekonomik janë praktike, përpara operacioneve të rikuperimit që japin rezultatin më të mirë të përgjithshëm mjedisor. Shtetet anëtare duhet të inkurajojnë ndarjen e përbërjeve të rrezikshme nga rrjedhat e mbeturinave nëse është e nevojshme për të arritur një menaxhim të shëndoshë mjedisor.</w:t>
            </w:r>
          </w:p>
          <w:p w14:paraId="5D712424" w14:textId="77777777" w:rsidR="00B23342" w:rsidRDefault="0003506F" w:rsidP="00B23342">
            <w:pPr>
              <w:spacing w:before="60" w:after="60" w:line="260" w:lineRule="atLeast"/>
              <w:jc w:val="both"/>
              <w:rPr>
                <w:rFonts w:ascii="Arial" w:hAnsi="Arial" w:cs="Arial"/>
                <w:sz w:val="20"/>
                <w:szCs w:val="20"/>
              </w:rPr>
            </w:pPr>
            <w:r>
              <w:rPr>
                <w:rFonts w:ascii="Arial" w:hAnsi="Arial"/>
                <w:color w:val="404040"/>
                <w:sz w:val="20"/>
              </w:rPr>
              <w:t>Direktiva Kornizë për Mbeturina parashikon detyrime shtesë për etiketim, mbajtje të shënimeve, monitorim dhe kontroll nga "djepi deri në varr", me fjalë të tjera nga prodhimi i mbeturinave deri në asgjësimin ose rikuperimin përfundimtar. Gjithashtu ndalon përzierjen e mbeturinave të rrezikshme me kategoritë e tjera të mbetjeve të rrezikshme dhe me mbetjet jo të rrezikshme.</w:t>
            </w:r>
          </w:p>
          <w:p w14:paraId="066C56BA" w14:textId="16AF49C5" w:rsidR="00A67FFD" w:rsidRPr="00B23342" w:rsidRDefault="00572CF5" w:rsidP="00B23342">
            <w:pPr>
              <w:spacing w:before="60" w:after="60" w:line="260" w:lineRule="atLeast"/>
              <w:jc w:val="both"/>
              <w:rPr>
                <w:rFonts w:ascii="Arial" w:hAnsi="Arial" w:cs="Arial"/>
                <w:sz w:val="20"/>
                <w:szCs w:val="20"/>
              </w:rPr>
            </w:pPr>
            <w:r>
              <w:rPr>
                <w:rFonts w:ascii="Arial" w:hAnsi="Arial"/>
                <w:b/>
                <w:sz w:val="20"/>
              </w:rPr>
              <w:t>Raporti i BE-së për Kosovën (2023)</w:t>
            </w:r>
          </w:p>
          <w:p w14:paraId="4909200E" w14:textId="22D46BC0" w:rsidR="00747F72" w:rsidRPr="003A0CA1" w:rsidRDefault="00572CF5" w:rsidP="00882FEF">
            <w:pPr>
              <w:spacing w:after="0" w:line="240" w:lineRule="auto"/>
              <w:jc w:val="both"/>
              <w:rPr>
                <w:rFonts w:ascii="Arial" w:hAnsi="Arial" w:cs="Arial"/>
                <w:sz w:val="20"/>
                <w:szCs w:val="20"/>
              </w:rPr>
            </w:pPr>
            <w:r>
              <w:rPr>
                <w:rFonts w:ascii="Arial" w:hAnsi="Arial"/>
                <w:sz w:val="20"/>
              </w:rPr>
              <w:t xml:space="preserve">Në fushën e mbrojtjes së mjedisit dhe ndryshimeve klimatike, Kosova është në një fazë të hershme të përgatitjes. Gjatë periudhës raportuese, Kosova ka arritur progres të kufizuar me miratimin, në mars 2023, të Ligjit për Parandalimin dhe Kontrollin e Integruar të Ndotjes. Kosova duhet të rrisë angazhimin e saj politik dhe kapacitetin administrativ për të adresuar çështjet që kanë të bëjnë me degradimin e mjedisit dhe ndryshimet klimatike, si dhe për të përmirësuar implementimin dhe zbatimin e legjislacionit të saj. Këto përpjekje duhet të përafrohen me qëllimet e Agjendës së Gjelbër për Ballkanin Perëndimor. Rekomandimet nga raporti i mëparshëm nuk janë zbatuar. </w:t>
            </w:r>
          </w:p>
        </w:tc>
      </w:tr>
      <w:tr w:rsidR="00337F92" w:rsidRPr="003A0CA1" w14:paraId="4B13CF73" w14:textId="77777777" w:rsidTr="0005785C">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C3A80F0"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lastRenderedPageBreak/>
              <w:t>Kontributi në objektivat e vlefshme të zhvillimit kombëtar</w:t>
            </w:r>
          </w:p>
        </w:tc>
        <w:tc>
          <w:tcPr>
            <w:tcW w:w="2989" w:type="pct"/>
            <w:tcBorders>
              <w:top w:val="single" w:sz="4" w:space="0" w:color="auto"/>
              <w:left w:val="single" w:sz="4" w:space="0" w:color="auto"/>
              <w:bottom w:val="single" w:sz="4" w:space="0" w:color="auto"/>
              <w:right w:val="single" w:sz="4" w:space="0" w:color="auto"/>
            </w:tcBorders>
            <w:vAlign w:val="center"/>
          </w:tcPr>
          <w:p w14:paraId="0BF78657" w14:textId="47018DD9" w:rsidR="0046184E" w:rsidRPr="00BA451D" w:rsidRDefault="0046184E" w:rsidP="00BA451D">
            <w:pPr>
              <w:spacing w:line="240" w:lineRule="auto"/>
              <w:jc w:val="both"/>
              <w:rPr>
                <w:rFonts w:ascii="Arial" w:hAnsi="Arial" w:cs="Arial"/>
                <w:b/>
                <w:bCs/>
                <w:sz w:val="20"/>
                <w:szCs w:val="20"/>
              </w:rPr>
            </w:pPr>
            <w:r>
              <w:rPr>
                <w:b/>
              </w:rPr>
              <w:t xml:space="preserve">Programi Kombëtar për Integrimin në BE (2023-2027), </w:t>
            </w:r>
            <w:r>
              <w:rPr>
                <w:rFonts w:ascii="Arial" w:hAnsi="Arial"/>
                <w:sz w:val="20"/>
              </w:rPr>
              <w:t xml:space="preserve">është dokumenti kryesor strategjik i Republikës së Kosovës për zbatimin e reformave për integrim në Bashkimin Evropian (BE), i orientuar drejt miratimit të acquis të BE-së në legjislacionin kombëtar dhe zbatimit të tij.  Ai përfshin </w:t>
            </w:r>
            <w:r>
              <w:rPr>
                <w:rFonts w:ascii="Arial" w:hAnsi="Arial"/>
                <w:sz w:val="20"/>
              </w:rPr>
              <w:lastRenderedPageBreak/>
              <w:t xml:space="preserve">gjithashtu veprime në lidhje me zbatimin e masave afatmesme që adresojnë kërkesat bazuar në kapitullin 27 (Mjedisi) të acquis të BE-së. </w:t>
            </w:r>
            <w:r>
              <w:rPr>
                <w:rFonts w:ascii="Arial" w:hAnsi="Arial"/>
                <w:b/>
                <w:sz w:val="20"/>
              </w:rPr>
              <w:t>Kapitulli 27-</w:t>
            </w:r>
            <w:r>
              <w:rPr>
                <w:rFonts w:ascii="Arial" w:hAnsi="Arial"/>
                <w:sz w:val="20"/>
              </w:rPr>
              <w:t xml:space="preserve">Promovimi i zhvillimit të qëndrueshëm dhe mbrojtja e mjedisit janë objektivat e politikave të BE-së në këtë kapitull. Ai bazohet në veprimet parandaluese, përkatësisht parimin “ndotësi paguan”, luftimi i dëmit mjedisor në burim, përgjegjësia e përbashkët dhe integrimi i mbrojtjes së mjedisit në politika të tjera. </w:t>
            </w:r>
          </w:p>
          <w:p w14:paraId="5D976C73" w14:textId="4C936DED" w:rsidR="007645E4" w:rsidRDefault="001D668C">
            <w:pPr>
              <w:spacing w:before="60" w:after="60" w:line="260" w:lineRule="atLeast"/>
              <w:jc w:val="both"/>
              <w:rPr>
                <w:rFonts w:ascii="Arial" w:hAnsi="Arial" w:cs="Arial"/>
                <w:b/>
                <w:bCs/>
                <w:sz w:val="20"/>
                <w:szCs w:val="20"/>
              </w:rPr>
            </w:pPr>
            <w:r>
              <w:rPr>
                <w:rFonts w:ascii="Arial" w:hAnsi="Arial"/>
                <w:b/>
                <w:sz w:val="20"/>
              </w:rPr>
              <w:t xml:space="preserve">Programi i Reformave Ekonomike (PRE) 2024 – 2026 </w:t>
            </w:r>
          </w:p>
          <w:p w14:paraId="4476CAE6" w14:textId="3D41BEBB" w:rsidR="007645E4" w:rsidRDefault="007645E4">
            <w:pPr>
              <w:spacing w:before="60" w:after="60" w:line="260" w:lineRule="atLeast"/>
              <w:jc w:val="both"/>
              <w:rPr>
                <w:rFonts w:ascii="Arial" w:hAnsi="Arial" w:cs="Arial"/>
                <w:sz w:val="20"/>
                <w:szCs w:val="20"/>
              </w:rPr>
            </w:pPr>
            <w:r>
              <w:rPr>
                <w:rFonts w:ascii="Arial" w:hAnsi="Arial"/>
                <w:sz w:val="20"/>
              </w:rPr>
              <w:t>Në çështjet mjedisore, ndotja e ajrit, ndotja e ujit dhe kërcënimet nga pasiguria e ujit në aspektin e disponueshmërisë, menaxhimit të mbeturinave të rrezikshme dhe komunale, degradimi i pyjeve dhe ndotja e tokës nga minierat dhe aktivitetet e tjera industriale janë ndër sfidat e shumta mjedisore të Kosovës që dikur kanë një ndikim negativ të thellë në mirëqenien e qytetarëve të Kosovës dhe produktivitetin e biznesit të saj.</w:t>
            </w:r>
          </w:p>
          <w:p w14:paraId="0DF1D5F0" w14:textId="16294B8F" w:rsidR="001D668C" w:rsidRPr="00882FEF" w:rsidRDefault="007645E4" w:rsidP="007D01BD">
            <w:pPr>
              <w:spacing w:before="60" w:after="60" w:line="260" w:lineRule="atLeast"/>
              <w:jc w:val="both"/>
              <w:rPr>
                <w:rFonts w:ascii="Arial" w:hAnsi="Arial" w:cs="Arial"/>
                <w:sz w:val="20"/>
                <w:szCs w:val="20"/>
              </w:rPr>
            </w:pPr>
            <w:r>
              <w:rPr>
                <w:rFonts w:ascii="Arial" w:hAnsi="Arial"/>
                <w:sz w:val="20"/>
              </w:rPr>
              <w:t>Kontribuuesit kryesorë të ndotjes janë termocentralet, impiantet me djegie të lartë, sektori i transportit, impiantet me djegie të ulët, aktivitetet bujqësore, mbeturinat shtëpiake dhe vendet e djegies së mbeturinave.</w:t>
            </w:r>
          </w:p>
          <w:p w14:paraId="633209B1" w14:textId="77777777" w:rsidR="005607D3" w:rsidRPr="003A0CA1" w:rsidRDefault="005607D3" w:rsidP="007D01BD">
            <w:pPr>
              <w:autoSpaceDE w:val="0"/>
              <w:autoSpaceDN w:val="0"/>
              <w:adjustRightInd w:val="0"/>
              <w:spacing w:after="0" w:line="240" w:lineRule="auto"/>
              <w:jc w:val="both"/>
              <w:rPr>
                <w:rFonts w:ascii="Arial" w:hAnsi="Arial" w:cs="Arial"/>
                <w:b/>
                <w:color w:val="000000"/>
                <w:sz w:val="20"/>
                <w:szCs w:val="20"/>
              </w:rPr>
            </w:pPr>
            <w:r>
              <w:rPr>
                <w:rFonts w:ascii="Arial" w:hAnsi="Arial"/>
                <w:b/>
                <w:color w:val="000000"/>
                <w:sz w:val="20"/>
              </w:rPr>
              <w:t xml:space="preserve">Agjenda e Reformës Evropiane (ARE) II Faza e Dytë e Prioriteteve Politike BE-Kosovë:  </w:t>
            </w:r>
          </w:p>
          <w:p w14:paraId="3C2931B4" w14:textId="493D361A" w:rsidR="00E33D0C" w:rsidRDefault="005607D3" w:rsidP="00BA451D">
            <w:pPr>
              <w:autoSpaceDE w:val="0"/>
              <w:autoSpaceDN w:val="0"/>
              <w:adjustRightInd w:val="0"/>
              <w:spacing w:after="0" w:line="240" w:lineRule="auto"/>
              <w:jc w:val="both"/>
              <w:rPr>
                <w:rFonts w:ascii="Arial" w:hAnsi="Arial" w:cs="Arial"/>
                <w:sz w:val="20"/>
                <w:szCs w:val="20"/>
              </w:rPr>
            </w:pPr>
            <w:r>
              <w:rPr>
                <w:rFonts w:ascii="Arial" w:hAnsi="Arial"/>
                <w:sz w:val="20"/>
              </w:rPr>
              <w:t xml:space="preserve">2.3. Trajtojnë sfidat prioritare mjedisore: Reflektojnë objektivat e Agjendës së Gjelbër të Ballkanit Perëndimor në zbatimin e politikave në fushën e mjedisit. </w:t>
            </w:r>
          </w:p>
          <w:p w14:paraId="4C515C9C" w14:textId="77777777" w:rsidR="00BA451D" w:rsidRPr="003A0CA1" w:rsidRDefault="00BA451D" w:rsidP="00BA451D">
            <w:pPr>
              <w:autoSpaceDE w:val="0"/>
              <w:autoSpaceDN w:val="0"/>
              <w:adjustRightInd w:val="0"/>
              <w:spacing w:after="0" w:line="240" w:lineRule="auto"/>
              <w:jc w:val="both"/>
              <w:rPr>
                <w:rFonts w:ascii="Arial" w:hAnsi="Arial" w:cs="Arial"/>
                <w:sz w:val="20"/>
                <w:szCs w:val="20"/>
                <w:lang w:val="en-GB"/>
              </w:rPr>
            </w:pPr>
          </w:p>
          <w:p w14:paraId="67BF1D33" w14:textId="55A1E723" w:rsidR="003313B9" w:rsidRPr="003A0CA1" w:rsidRDefault="006B078E" w:rsidP="00260D55">
            <w:pPr>
              <w:spacing w:after="0" w:line="240" w:lineRule="auto"/>
              <w:jc w:val="both"/>
              <w:rPr>
                <w:rFonts w:ascii="Arial" w:hAnsi="Arial" w:cs="Arial"/>
                <w:b/>
                <w:sz w:val="20"/>
                <w:szCs w:val="20"/>
              </w:rPr>
            </w:pPr>
            <w:r>
              <w:rPr>
                <w:rFonts w:ascii="Arial" w:hAnsi="Arial"/>
                <w:b/>
                <w:sz w:val="20"/>
              </w:rPr>
              <w:t xml:space="preserve">Strategjia Kombëtare për Zhvillim (SKZh) 2030 </w:t>
            </w:r>
          </w:p>
          <w:p w14:paraId="29D024D1" w14:textId="3F7DC3DB" w:rsidR="003313B9" w:rsidRPr="003A0CA1" w:rsidRDefault="00BA451D">
            <w:pPr>
              <w:spacing w:after="0" w:line="240" w:lineRule="auto"/>
              <w:jc w:val="both"/>
              <w:rPr>
                <w:rFonts w:ascii="Arial" w:hAnsi="Arial" w:cs="Arial"/>
                <w:bCs/>
                <w:sz w:val="20"/>
                <w:szCs w:val="20"/>
              </w:rPr>
            </w:pPr>
            <w:r>
              <w:rPr>
                <w:rFonts w:ascii="Arial" w:hAnsi="Arial"/>
                <w:sz w:val="20"/>
              </w:rPr>
              <w:t>Shtylla 1: Zhvillimi i Qëndrueshëm Ekonomik</w:t>
            </w:r>
          </w:p>
          <w:p w14:paraId="31211FFF" w14:textId="77777777" w:rsidR="003313B9" w:rsidRPr="003A0CA1" w:rsidRDefault="003313B9">
            <w:pPr>
              <w:pStyle w:val="ListParagraph"/>
              <w:keepNext/>
              <w:keepLines/>
              <w:numPr>
                <w:ilvl w:val="1"/>
                <w:numId w:val="7"/>
              </w:numPr>
              <w:spacing w:before="40" w:after="0" w:line="240" w:lineRule="auto"/>
              <w:jc w:val="both"/>
              <w:outlineLvl w:val="1"/>
              <w:rPr>
                <w:rFonts w:ascii="Arial" w:eastAsiaTheme="majorEastAsia" w:hAnsi="Arial" w:cs="Arial"/>
                <w:sz w:val="20"/>
                <w:szCs w:val="20"/>
              </w:rPr>
            </w:pPr>
            <w:bookmarkStart w:id="3" w:name="_Toc104504632"/>
            <w:bookmarkStart w:id="4" w:name="_Toc104816800"/>
            <w:r>
              <w:rPr>
                <w:rFonts w:ascii="Arial" w:hAnsi="Arial"/>
                <w:sz w:val="20"/>
              </w:rPr>
              <w:t>Ekonomi inovative, qarkore dhe konkurruese</w:t>
            </w:r>
            <w:bookmarkStart w:id="5" w:name="_Toc104816801"/>
            <w:bookmarkEnd w:id="3"/>
            <w:bookmarkEnd w:id="4"/>
          </w:p>
          <w:p w14:paraId="5ED54AB5" w14:textId="77777777" w:rsidR="003313B9" w:rsidRPr="003A0CA1" w:rsidRDefault="003313B9">
            <w:pPr>
              <w:pStyle w:val="ListParagraph"/>
              <w:keepNext/>
              <w:keepLines/>
              <w:numPr>
                <w:ilvl w:val="1"/>
                <w:numId w:val="7"/>
              </w:numPr>
              <w:spacing w:before="40" w:after="0" w:line="240" w:lineRule="auto"/>
              <w:jc w:val="both"/>
              <w:outlineLvl w:val="1"/>
              <w:rPr>
                <w:rFonts w:ascii="Arial" w:eastAsiaTheme="majorEastAsia" w:hAnsi="Arial" w:cs="Arial"/>
                <w:sz w:val="20"/>
                <w:szCs w:val="20"/>
              </w:rPr>
            </w:pPr>
            <w:r>
              <w:rPr>
                <w:rFonts w:ascii="Arial" w:hAnsi="Arial"/>
                <w:sz w:val="20"/>
              </w:rPr>
              <w:t>Infrastrukturë me cilësi të lartë, të qëndrueshme dhe të integruar</w:t>
            </w:r>
            <w:bookmarkStart w:id="6" w:name="_Toc104504634"/>
            <w:bookmarkStart w:id="7" w:name="_Toc104816802"/>
            <w:bookmarkEnd w:id="5"/>
          </w:p>
          <w:p w14:paraId="379FF020" w14:textId="77777777" w:rsidR="003313B9" w:rsidRPr="003A0CA1" w:rsidRDefault="003313B9">
            <w:pPr>
              <w:pStyle w:val="ListParagraph"/>
              <w:keepNext/>
              <w:keepLines/>
              <w:numPr>
                <w:ilvl w:val="1"/>
                <w:numId w:val="7"/>
              </w:numPr>
              <w:spacing w:before="40" w:after="0" w:line="240" w:lineRule="auto"/>
              <w:jc w:val="both"/>
              <w:outlineLvl w:val="1"/>
              <w:rPr>
                <w:rFonts w:ascii="Arial" w:eastAsiaTheme="majorEastAsia" w:hAnsi="Arial" w:cs="Arial"/>
                <w:sz w:val="20"/>
                <w:szCs w:val="20"/>
              </w:rPr>
            </w:pPr>
            <w:r>
              <w:rPr>
                <w:rFonts w:ascii="Arial" w:hAnsi="Arial"/>
                <w:sz w:val="20"/>
              </w:rPr>
              <w:t>Mjedis i pastër dhe shfrytëzim i qëndrueshëm i burimeve natyrore</w:t>
            </w:r>
            <w:bookmarkEnd w:id="6"/>
            <w:bookmarkEnd w:id="7"/>
          </w:p>
          <w:p w14:paraId="183B33E6" w14:textId="246D1D84" w:rsidR="00E33D0C" w:rsidRPr="003A0CA1" w:rsidRDefault="003313B9" w:rsidP="007D01BD">
            <w:pPr>
              <w:spacing w:before="60" w:after="60" w:line="260" w:lineRule="atLeast"/>
              <w:jc w:val="both"/>
              <w:rPr>
                <w:rFonts w:ascii="Arial" w:hAnsi="Arial" w:cs="Arial"/>
                <w:sz w:val="20"/>
                <w:szCs w:val="20"/>
              </w:rPr>
            </w:pPr>
            <w:r>
              <w:rPr>
                <w:rFonts w:ascii="Arial" w:hAnsi="Arial"/>
                <w:sz w:val="20"/>
              </w:rPr>
              <w:t xml:space="preserve">Ky synim zhvillimor do të arrihet përmes këtyre objektivave strategjikë: </w:t>
            </w:r>
            <w:r>
              <w:rPr>
                <w:rStyle w:val="A4"/>
                <w:rFonts w:ascii="Arial" w:hAnsi="Arial"/>
                <w:b w:val="0"/>
                <w:color w:val="auto"/>
                <w:sz w:val="20"/>
              </w:rPr>
              <w:t xml:space="preserve">Menaxhimi i integruar i mbeturinave dhe rritja e qarkullimit të burimeve, qasja e përmirësuar në ujë dhe kanalizime dhe reduktimi i ndotjes së ujit, rritja e pjesës së burimeve të rinovueshme në përzierjen e energjisë, përmirësimi i efiçiencës së energjisë, disponueshmëria dhe efikasiteti i përmirësuar i ujit, promovimi i lëvizshmërisë së qëndrueshme digjitale, menaxhimi dhe përdorimi i qëndrueshëm i burimeve pyjore dhe i mbrojtjes së biodiversitetit, planifikimi përgjegjës </w:t>
            </w:r>
            <w:r>
              <w:rPr>
                <w:rFonts w:ascii="Arial" w:hAnsi="Arial"/>
                <w:sz w:val="20"/>
              </w:rPr>
              <w:t>dhe zhvillimi i integruar territorial.</w:t>
            </w:r>
          </w:p>
          <w:p w14:paraId="01378C73" w14:textId="025DEA95" w:rsidR="001E28DE" w:rsidRPr="003A0CA1" w:rsidRDefault="002033E0" w:rsidP="007D01BD">
            <w:pPr>
              <w:spacing w:before="60" w:after="60" w:line="260" w:lineRule="atLeast"/>
              <w:jc w:val="both"/>
              <w:rPr>
                <w:rFonts w:ascii="Arial" w:hAnsi="Arial" w:cs="Arial"/>
                <w:sz w:val="20"/>
                <w:szCs w:val="20"/>
              </w:rPr>
            </w:pPr>
            <w:r>
              <w:rPr>
                <w:rFonts w:ascii="Arial" w:hAnsi="Arial"/>
                <w:b/>
                <w:sz w:val="20"/>
              </w:rPr>
              <w:t>Programi i Qeverisë së Republikës së Kosovës 2021-2025</w:t>
            </w:r>
            <w:r>
              <w:rPr>
                <w:rFonts w:ascii="Arial" w:hAnsi="Arial"/>
                <w:sz w:val="20"/>
              </w:rPr>
              <w:t xml:space="preserve"> synon përmirësimin e menaxhimit të integruar të mbeturinave. Ndër të tjera, Qeveria do të punojë në përmirësimin e infrastrukturës fizike për grumbullimin e mbetjeve, ndërtimin e qendrave të transferimit dhe riciklimit.</w:t>
            </w:r>
          </w:p>
        </w:tc>
      </w:tr>
      <w:tr w:rsidR="00337F92" w:rsidRPr="003A0CA1" w14:paraId="5BA10952" w14:textId="77777777" w:rsidTr="0005785C">
        <w:trPr>
          <w:trHeight w:val="330"/>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20A470B"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lastRenderedPageBreak/>
              <w:t>A mbulohet projekti nga strategjia sektoriale përkatëse, nga një plan veprimi sektorial apo nga një masterplan sektori?</w:t>
            </w:r>
          </w:p>
        </w:tc>
        <w:tc>
          <w:tcPr>
            <w:tcW w:w="2989" w:type="pct"/>
            <w:tcBorders>
              <w:top w:val="single" w:sz="4" w:space="0" w:color="auto"/>
              <w:left w:val="single" w:sz="4" w:space="0" w:color="auto"/>
              <w:bottom w:val="single" w:sz="4" w:space="0" w:color="auto"/>
              <w:right w:val="single" w:sz="4" w:space="0" w:color="auto"/>
            </w:tcBorders>
            <w:vAlign w:val="center"/>
          </w:tcPr>
          <w:p w14:paraId="6CDF61EE" w14:textId="0627F6EB" w:rsidR="00A75AE4" w:rsidRPr="003A0CA1" w:rsidRDefault="00B23342" w:rsidP="007D01BD">
            <w:pPr>
              <w:autoSpaceDE w:val="0"/>
              <w:autoSpaceDN w:val="0"/>
              <w:adjustRightInd w:val="0"/>
              <w:spacing w:before="60" w:after="60" w:line="260" w:lineRule="atLeast"/>
              <w:jc w:val="both"/>
              <w:rPr>
                <w:rFonts w:ascii="Arial" w:hAnsi="Arial" w:cs="Arial"/>
                <w:b/>
                <w:color w:val="000000" w:themeColor="text1"/>
                <w:sz w:val="20"/>
                <w:szCs w:val="20"/>
              </w:rPr>
            </w:pPr>
            <w:r>
              <w:rPr>
                <w:rFonts w:ascii="Arial" w:hAnsi="Arial"/>
                <w:b/>
                <w:color w:val="000000" w:themeColor="text1"/>
                <w:sz w:val="20"/>
              </w:rPr>
              <w:t>Strategjia e Kosovës për Menaxhimin e Integruar të Mbeturinave (2021-2030) dhe Plani i Veprimit (2021-2023)</w:t>
            </w:r>
          </w:p>
          <w:p w14:paraId="4B9CDB97" w14:textId="723A2728" w:rsidR="00925BC9" w:rsidRPr="003A0CA1" w:rsidRDefault="00925BC9" w:rsidP="007D01BD">
            <w:pPr>
              <w:autoSpaceDE w:val="0"/>
              <w:autoSpaceDN w:val="0"/>
              <w:adjustRightInd w:val="0"/>
              <w:spacing w:before="60" w:after="60" w:line="260" w:lineRule="atLeast"/>
              <w:jc w:val="both"/>
              <w:rPr>
                <w:rFonts w:ascii="Arial" w:hAnsi="Arial" w:cs="Arial"/>
                <w:color w:val="000000" w:themeColor="text1"/>
                <w:sz w:val="20"/>
                <w:szCs w:val="20"/>
              </w:rPr>
            </w:pPr>
            <w:r>
              <w:rPr>
                <w:rFonts w:ascii="Arial" w:hAnsi="Arial"/>
                <w:b/>
                <w:color w:val="000000" w:themeColor="text1"/>
                <w:sz w:val="20"/>
              </w:rPr>
              <w:t xml:space="preserve">Kapitulli 3.3.11 I rrezikshëm </w:t>
            </w:r>
            <w:r>
              <w:rPr>
                <w:rFonts w:ascii="Arial" w:hAnsi="Arial"/>
                <w:color w:val="000000" w:themeColor="text1"/>
                <w:sz w:val="20"/>
              </w:rPr>
              <w:t>pohon se Mbeturinat e Rrezikshme në Kosovë menaxhohen keq, zakonisht ruhen dhe depozitohen në objekte të papërshtatshme dhe të shkatërruara keq, duke mos respektuar paketimin, etiketimin dhe ruajtjen e sigurt të tyre. Me mbështetjen e programit IPA III (2021-2027) të BE-së, duhet të përgatitet një plan për ndërtimin e një qendre për asgjësimin e përkohshëm të mbeturinave të rrezikshme. Inventari i Materialeve të Mbeturinave të Rrezikshme (IMMRr) ofron një regjistrim të mbeturinave të rrezikshme për Kosovën. Kjo përditësohet rregullisht në fund të çdo viti dhe është databaza e më gjithëpërfshirëse për gjenerimin dhe ruajtjen e MRr. MRr gjenerohet nga burime të shumta duke përfshirë minierat, industrinë, kantieret komunale, mjekësore/veterinare dhe ndërtimi, ndër të tjera. Një studim i Bankës Botërore në vitin 2015 ka identifikuar industritë PKIN dhe pikat e nxehta që gjenerojnë MRr në Kosovë, dhe paraqet pasqyrën më të plotë të hartës së pikave të nxehta në vend.</w:t>
            </w:r>
          </w:p>
        </w:tc>
      </w:tr>
    </w:tbl>
    <w:p w14:paraId="61353734" w14:textId="7B1AD795" w:rsidR="00A57384" w:rsidRPr="003A0CA1" w:rsidRDefault="00A57384" w:rsidP="007D01BD">
      <w:pPr>
        <w:spacing w:after="160" w:line="259" w:lineRule="auto"/>
        <w:jc w:val="both"/>
        <w:rPr>
          <w:rFonts w:ascii="Arial" w:hAnsi="Arial" w:cs="Arial"/>
          <w:b/>
          <w:sz w:val="20"/>
          <w:szCs w:val="20"/>
          <w:lang w:val="en-GB"/>
        </w:rPr>
      </w:pPr>
    </w:p>
    <w:p w14:paraId="39DB822E" w14:textId="3834EB57" w:rsidR="00337F92" w:rsidRPr="003A0CA1" w:rsidRDefault="00337F92" w:rsidP="007D01BD">
      <w:pPr>
        <w:pStyle w:val="ListParagraph"/>
        <w:numPr>
          <w:ilvl w:val="0"/>
          <w:numId w:val="2"/>
        </w:numPr>
        <w:spacing w:before="200" w:after="120"/>
        <w:jc w:val="both"/>
        <w:rPr>
          <w:rFonts w:ascii="Arial" w:hAnsi="Arial" w:cs="Arial"/>
          <w:b/>
          <w:sz w:val="20"/>
          <w:szCs w:val="20"/>
        </w:rPr>
      </w:pPr>
      <w:r>
        <w:rPr>
          <w:rFonts w:ascii="Arial" w:hAnsi="Arial"/>
          <w:b/>
          <w:sz w:val="20"/>
        </w:rPr>
        <w:t>RELEVANCA STRATEGJIKE</w:t>
      </w:r>
    </w:p>
    <w:tbl>
      <w:tblPr>
        <w:tblW w:w="4947" w:type="pct"/>
        <w:tblInd w:w="1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721"/>
        <w:gridCol w:w="5530"/>
      </w:tblGrid>
      <w:tr w:rsidR="00337F92" w:rsidRPr="003A0CA1" w14:paraId="57CFA22C" w14:textId="77777777" w:rsidTr="0005785C">
        <w:trPr>
          <w:trHeight w:val="4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1DEB10" w14:textId="77777777" w:rsidR="00337F92" w:rsidRPr="003A0CA1" w:rsidRDefault="00337F92" w:rsidP="007D01BD">
            <w:pPr>
              <w:spacing w:after="0" w:line="240" w:lineRule="auto"/>
              <w:jc w:val="both"/>
              <w:rPr>
                <w:rFonts w:ascii="Arial" w:hAnsi="Arial" w:cs="Arial"/>
                <w:sz w:val="20"/>
                <w:szCs w:val="20"/>
              </w:rPr>
            </w:pPr>
            <w:r>
              <w:rPr>
                <w:rFonts w:ascii="Arial" w:hAnsi="Arial"/>
                <w:b/>
                <w:sz w:val="20"/>
              </w:rPr>
              <w:t>Shpjegoni veçoritë e projektit në lidhje me:</w:t>
            </w:r>
          </w:p>
        </w:tc>
      </w:tr>
      <w:tr w:rsidR="00337F92" w:rsidRPr="003A0CA1" w14:paraId="73D58664" w14:textId="77777777" w:rsidTr="0005785C">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538D5843" w14:textId="29445D74" w:rsidR="00337F92" w:rsidRPr="003A0CA1" w:rsidRDefault="00B21BDE" w:rsidP="007D01BD">
            <w:pPr>
              <w:spacing w:after="0" w:line="240" w:lineRule="auto"/>
              <w:jc w:val="both"/>
              <w:rPr>
                <w:rFonts w:ascii="Arial" w:hAnsi="Arial" w:cs="Arial"/>
                <w:sz w:val="20"/>
                <w:szCs w:val="20"/>
              </w:rPr>
            </w:pPr>
            <w:r>
              <w:rPr>
                <w:rFonts w:ascii="Arial" w:hAnsi="Arial"/>
                <w:sz w:val="20"/>
              </w:rPr>
              <w:t xml:space="preserve">Përfitimet e </w:t>
            </w:r>
            <w:r w:rsidR="00337F92">
              <w:rPr>
                <w:rFonts w:ascii="Arial" w:hAnsi="Arial"/>
                <w:sz w:val="20"/>
              </w:rPr>
              <w:t>drejtpërdrejta për mjedisin</w:t>
            </w:r>
          </w:p>
        </w:tc>
        <w:tc>
          <w:tcPr>
            <w:tcW w:w="2989" w:type="pct"/>
            <w:tcBorders>
              <w:top w:val="single" w:sz="4" w:space="0" w:color="auto"/>
              <w:left w:val="single" w:sz="4" w:space="0" w:color="auto"/>
              <w:bottom w:val="single" w:sz="4" w:space="0" w:color="auto"/>
              <w:right w:val="single" w:sz="4" w:space="0" w:color="auto"/>
            </w:tcBorders>
          </w:tcPr>
          <w:p w14:paraId="707FD9DA" w14:textId="77777777" w:rsidR="00337F92" w:rsidRPr="003A0CA1" w:rsidRDefault="00337F92" w:rsidP="007D01BD">
            <w:pPr>
              <w:spacing w:before="60" w:after="60" w:line="260" w:lineRule="atLeast"/>
              <w:jc w:val="both"/>
              <w:rPr>
                <w:rFonts w:ascii="Arial" w:hAnsi="Arial" w:cs="Arial"/>
                <w:sz w:val="20"/>
                <w:szCs w:val="20"/>
              </w:rPr>
            </w:pPr>
            <w:r>
              <w:rPr>
                <w:rStyle w:val="hps"/>
                <w:rFonts w:ascii="Arial" w:hAnsi="Arial"/>
                <w:sz w:val="20"/>
              </w:rPr>
              <w:t xml:space="preserve">Reduktimin e sasisë së mbeturinave në burim dhe reduktimin e sasisë së mbeturinave që duhet të hidhen, </w:t>
            </w:r>
            <w:r>
              <w:rPr>
                <w:rFonts w:ascii="Arial" w:hAnsi="Arial"/>
                <w:sz w:val="20"/>
              </w:rPr>
              <w:t>trajtimin, reduktimin, ripërdorimin dhe riciklimin e mbeturinave të rrezikshme dhe rikuperimin e tyre, mbrojtjen e tokës, ajrit dhe ujit nga ndotja.</w:t>
            </w:r>
          </w:p>
        </w:tc>
      </w:tr>
      <w:tr w:rsidR="00337F92" w:rsidRPr="003A0CA1" w14:paraId="77DCC792" w14:textId="77777777" w:rsidTr="0005785C">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1919074"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t>Kontributin e tij në reduktimin e CO</w:t>
            </w:r>
            <w:r>
              <w:rPr>
                <w:rFonts w:ascii="Arial" w:hAnsi="Arial"/>
                <w:sz w:val="20"/>
                <w:vertAlign w:val="subscript"/>
              </w:rPr>
              <w:t>2</w:t>
            </w:r>
            <w:r>
              <w:rPr>
                <w:rFonts w:ascii="Arial" w:hAnsi="Arial"/>
                <w:sz w:val="20"/>
              </w:rPr>
              <w:t xml:space="preserve"> dhe/ose zhurmave dhe/ose emetimeve të tjera të dëmshme</w:t>
            </w:r>
          </w:p>
        </w:tc>
        <w:tc>
          <w:tcPr>
            <w:tcW w:w="2989" w:type="pct"/>
            <w:tcBorders>
              <w:top w:val="single" w:sz="4" w:space="0" w:color="auto"/>
              <w:left w:val="single" w:sz="4" w:space="0" w:color="auto"/>
              <w:bottom w:val="single" w:sz="4" w:space="0" w:color="auto"/>
              <w:right w:val="single" w:sz="4" w:space="0" w:color="auto"/>
            </w:tcBorders>
          </w:tcPr>
          <w:p w14:paraId="285FA229" w14:textId="52E46184" w:rsidR="00337F92" w:rsidRPr="003A0CA1" w:rsidRDefault="00A03B19" w:rsidP="007D01BD">
            <w:pPr>
              <w:spacing w:before="60" w:after="60" w:line="260" w:lineRule="atLeast"/>
              <w:jc w:val="both"/>
              <w:rPr>
                <w:rFonts w:ascii="Arial" w:hAnsi="Arial" w:cs="Arial"/>
                <w:sz w:val="20"/>
                <w:szCs w:val="20"/>
              </w:rPr>
            </w:pPr>
            <w:r>
              <w:rPr>
                <w:rStyle w:val="hps"/>
                <w:rFonts w:ascii="Arial" w:hAnsi="Arial"/>
                <w:sz w:val="20"/>
              </w:rPr>
              <w:t>Emetimet e dëmshme do të reduktohen, duke pasur parasysh se mbeturinat e rrezikshme do të ruhen, dhe kur është e mundur të riciklohen dhe të ripërdoren.</w:t>
            </w:r>
          </w:p>
        </w:tc>
      </w:tr>
      <w:tr w:rsidR="00337F92" w:rsidRPr="003A0CA1" w14:paraId="368378C9" w14:textId="77777777" w:rsidTr="0005785C">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BE13395"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t>Numrin e personave që do të përfitojnë nga projekti</w:t>
            </w:r>
          </w:p>
        </w:tc>
        <w:tc>
          <w:tcPr>
            <w:tcW w:w="2989" w:type="pct"/>
            <w:tcBorders>
              <w:top w:val="single" w:sz="4" w:space="0" w:color="auto"/>
              <w:left w:val="single" w:sz="4" w:space="0" w:color="auto"/>
              <w:bottom w:val="single" w:sz="4" w:space="0" w:color="auto"/>
              <w:right w:val="single" w:sz="4" w:space="0" w:color="auto"/>
            </w:tcBorders>
            <w:vAlign w:val="center"/>
          </w:tcPr>
          <w:p w14:paraId="3984CB99" w14:textId="290882EC" w:rsidR="00337F92" w:rsidRPr="003A0CA1" w:rsidRDefault="00341362" w:rsidP="00341362">
            <w:pPr>
              <w:spacing w:before="60" w:after="60" w:line="260" w:lineRule="atLeast"/>
              <w:jc w:val="both"/>
              <w:rPr>
                <w:rFonts w:ascii="Arial" w:hAnsi="Arial" w:cs="Arial"/>
                <w:sz w:val="20"/>
                <w:szCs w:val="20"/>
              </w:rPr>
            </w:pPr>
            <w:r>
              <w:rPr>
                <w:rFonts w:ascii="Arial" w:hAnsi="Arial"/>
                <w:sz w:val="20"/>
              </w:rPr>
              <w:t>E gjithë popullata e Kosovës.</w:t>
            </w:r>
          </w:p>
        </w:tc>
      </w:tr>
      <w:tr w:rsidR="00337F92" w:rsidRPr="003A0CA1" w14:paraId="2A8636E2" w14:textId="77777777" w:rsidTr="0005785C">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6CBD8671" w14:textId="58A32848" w:rsidR="00337F92" w:rsidRPr="003A0CA1" w:rsidRDefault="00B21BDE" w:rsidP="007D01BD">
            <w:pPr>
              <w:spacing w:after="0" w:line="240" w:lineRule="auto"/>
              <w:jc w:val="both"/>
              <w:rPr>
                <w:rFonts w:ascii="Arial" w:hAnsi="Arial" w:cs="Arial"/>
                <w:sz w:val="20"/>
                <w:szCs w:val="20"/>
              </w:rPr>
            </w:pPr>
            <w:r>
              <w:rPr>
                <w:rFonts w:ascii="Arial" w:hAnsi="Arial"/>
                <w:sz w:val="20"/>
              </w:rPr>
              <w:t xml:space="preserve">Shkallën në të cilën </w:t>
            </w:r>
            <w:r w:rsidR="00337F92">
              <w:rPr>
                <w:rFonts w:ascii="Arial" w:hAnsi="Arial"/>
                <w:sz w:val="20"/>
              </w:rPr>
              <w:t>kontribuon në uljen e ndotjes në një rajon më të gjerë rreth vendndodhjes së tij</w:t>
            </w:r>
          </w:p>
        </w:tc>
        <w:tc>
          <w:tcPr>
            <w:tcW w:w="2989" w:type="pct"/>
            <w:tcBorders>
              <w:top w:val="single" w:sz="4" w:space="0" w:color="auto"/>
              <w:left w:val="single" w:sz="4" w:space="0" w:color="auto"/>
              <w:bottom w:val="single" w:sz="4" w:space="0" w:color="auto"/>
              <w:right w:val="single" w:sz="4" w:space="0" w:color="auto"/>
            </w:tcBorders>
            <w:vAlign w:val="center"/>
          </w:tcPr>
          <w:p w14:paraId="3DDB8B92" w14:textId="29E0876A" w:rsidR="00337F92" w:rsidRPr="003A0CA1" w:rsidRDefault="00337F92" w:rsidP="007D01BD">
            <w:pPr>
              <w:spacing w:before="60" w:after="60" w:line="260" w:lineRule="atLeast"/>
              <w:jc w:val="both"/>
              <w:rPr>
                <w:rFonts w:ascii="Arial" w:hAnsi="Arial" w:cs="Arial"/>
                <w:sz w:val="20"/>
                <w:szCs w:val="20"/>
              </w:rPr>
            </w:pPr>
            <w:r>
              <w:rPr>
                <w:rFonts w:ascii="Arial" w:hAnsi="Arial"/>
                <w:sz w:val="20"/>
              </w:rPr>
              <w:t>Ndërtimi i objektit për ruajtjen e mbeturinave të rrezikshme dhe qendrave lokale për përzgjedhjen e mbeturinave të rrezikshme do të ndikojë shumë në nivelin e menaxhimit të mbeturinave të rrezikshme dhe në uljen e rrezikut nga këto lloj mbeturinash, duke mbrojtur kështu tokën, ajrin dhe ujin në zonat përreth.</w:t>
            </w:r>
          </w:p>
        </w:tc>
      </w:tr>
      <w:tr w:rsidR="00337F92" w:rsidRPr="003A0CA1" w14:paraId="448A9CF6" w14:textId="77777777" w:rsidTr="0005785C">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79F44394"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t>Përballueshmërinë e shërbimeve për përdoruesit fundorë</w:t>
            </w:r>
          </w:p>
        </w:tc>
        <w:tc>
          <w:tcPr>
            <w:tcW w:w="2989" w:type="pct"/>
            <w:tcBorders>
              <w:top w:val="single" w:sz="4" w:space="0" w:color="auto"/>
              <w:left w:val="single" w:sz="4" w:space="0" w:color="auto"/>
              <w:bottom w:val="single" w:sz="4" w:space="0" w:color="auto"/>
              <w:right w:val="single" w:sz="4" w:space="0" w:color="auto"/>
            </w:tcBorders>
            <w:vAlign w:val="center"/>
          </w:tcPr>
          <w:p w14:paraId="2AD18FE9" w14:textId="77777777" w:rsidR="00337F92" w:rsidRPr="003A0CA1" w:rsidRDefault="00337F92" w:rsidP="007D01BD">
            <w:pPr>
              <w:spacing w:before="60" w:after="60" w:line="260" w:lineRule="atLeast"/>
              <w:jc w:val="both"/>
              <w:rPr>
                <w:rFonts w:ascii="Arial" w:hAnsi="Arial" w:cs="Arial"/>
                <w:sz w:val="20"/>
                <w:szCs w:val="20"/>
              </w:rPr>
            </w:pPr>
            <w:r>
              <w:rPr>
                <w:rFonts w:ascii="Arial" w:hAnsi="Arial"/>
                <w:sz w:val="20"/>
              </w:rPr>
              <w:t xml:space="preserve">Do të krijohen vende të reja pune dhe mundësi për fitim nëpërmjet procesit të kostos më të ulët të menaxhimit të mbeturinave të rrezikshme dhe trajtimit dhe riciklimit të tyre aty ku është e mundur. </w:t>
            </w:r>
          </w:p>
        </w:tc>
      </w:tr>
      <w:tr w:rsidR="00337F92" w:rsidRPr="003A0CA1" w14:paraId="07E8C93F" w14:textId="77777777" w:rsidTr="0005785C">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14B44F81"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t>Rreziqet që lidhen me projektin</w:t>
            </w:r>
          </w:p>
        </w:tc>
        <w:tc>
          <w:tcPr>
            <w:tcW w:w="2989" w:type="pct"/>
            <w:tcBorders>
              <w:top w:val="single" w:sz="4" w:space="0" w:color="auto"/>
              <w:left w:val="single" w:sz="4" w:space="0" w:color="auto"/>
              <w:bottom w:val="single" w:sz="4" w:space="0" w:color="auto"/>
              <w:right w:val="single" w:sz="4" w:space="0" w:color="auto"/>
            </w:tcBorders>
          </w:tcPr>
          <w:p w14:paraId="645ABBF0" w14:textId="692F96BC" w:rsidR="00337F92" w:rsidRPr="003A0CA1" w:rsidRDefault="00337F92" w:rsidP="007D01BD">
            <w:pPr>
              <w:spacing w:before="60" w:after="60" w:line="260" w:lineRule="atLeast"/>
              <w:jc w:val="both"/>
              <w:rPr>
                <w:rFonts w:ascii="Arial" w:hAnsi="Arial" w:cs="Arial"/>
                <w:sz w:val="20"/>
                <w:szCs w:val="20"/>
              </w:rPr>
            </w:pPr>
            <w:r>
              <w:rPr>
                <w:rStyle w:val="hps"/>
                <w:rFonts w:ascii="Arial" w:hAnsi="Arial"/>
                <w:sz w:val="20"/>
              </w:rPr>
              <w:t>Projekti nuk paraqet ndonjë rrezik të veçantë ose ndikim negativ</w:t>
            </w:r>
            <w:r>
              <w:rPr>
                <w:rFonts w:ascii="Arial" w:hAnsi="Arial"/>
                <w:sz w:val="20"/>
              </w:rPr>
              <w:t xml:space="preserve"> sepse </w:t>
            </w:r>
            <w:r>
              <w:rPr>
                <w:rStyle w:val="hps"/>
                <w:rFonts w:ascii="Arial" w:hAnsi="Arial"/>
                <w:sz w:val="20"/>
              </w:rPr>
              <w:t>mbetjet e rrezikshme do të menaxhohen në qendra të ndërtuara specifikisht për mbeturina të rrezikshme</w:t>
            </w:r>
            <w:r>
              <w:rPr>
                <w:rFonts w:ascii="Arial" w:hAnsi="Arial"/>
                <w:sz w:val="20"/>
              </w:rPr>
              <w:t xml:space="preserve">. </w:t>
            </w:r>
            <w:r>
              <w:rPr>
                <w:rStyle w:val="hps"/>
                <w:rFonts w:ascii="Arial" w:hAnsi="Arial"/>
                <w:sz w:val="20"/>
              </w:rPr>
              <w:lastRenderedPageBreak/>
              <w:t>Operatori duhet të respektojë rregulloret dhe standardet për mbrojtjen e punëtorëve në vendin e punës</w:t>
            </w:r>
            <w:r>
              <w:rPr>
                <w:rFonts w:ascii="Arial" w:hAnsi="Arial"/>
                <w:sz w:val="20"/>
              </w:rPr>
              <w:t>.</w:t>
            </w:r>
          </w:p>
        </w:tc>
      </w:tr>
      <w:tr w:rsidR="00337F92" w:rsidRPr="003A0CA1" w14:paraId="032DFCAE" w14:textId="77777777" w:rsidTr="0005785C">
        <w:trPr>
          <w:trHeight w:val="467"/>
        </w:trPr>
        <w:tc>
          <w:tcPr>
            <w:tcW w:w="2011" w:type="pct"/>
            <w:tcBorders>
              <w:top w:val="single" w:sz="4" w:space="0" w:color="auto"/>
              <w:left w:val="single" w:sz="4" w:space="0" w:color="auto"/>
              <w:bottom w:val="single" w:sz="4" w:space="0" w:color="auto"/>
              <w:right w:val="single" w:sz="4" w:space="0" w:color="auto"/>
            </w:tcBorders>
            <w:shd w:val="clear" w:color="auto" w:fill="D9D9D9"/>
            <w:vAlign w:val="center"/>
          </w:tcPr>
          <w:p w14:paraId="087D2E50"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lastRenderedPageBreak/>
              <w:t>Partneritetin e organizatave dhe institucioneve të përfshira</w:t>
            </w:r>
          </w:p>
        </w:tc>
        <w:tc>
          <w:tcPr>
            <w:tcW w:w="2989" w:type="pct"/>
            <w:tcBorders>
              <w:top w:val="single" w:sz="4" w:space="0" w:color="auto"/>
              <w:left w:val="single" w:sz="4" w:space="0" w:color="auto"/>
              <w:bottom w:val="single" w:sz="4" w:space="0" w:color="auto"/>
              <w:right w:val="single" w:sz="4" w:space="0" w:color="auto"/>
            </w:tcBorders>
          </w:tcPr>
          <w:p w14:paraId="45665DEC" w14:textId="5BA5BED5" w:rsidR="00337F92" w:rsidRPr="003A0CA1" w:rsidRDefault="00337F92" w:rsidP="007D01BD">
            <w:pPr>
              <w:spacing w:before="60" w:after="60" w:line="260" w:lineRule="atLeast"/>
              <w:jc w:val="both"/>
              <w:rPr>
                <w:rFonts w:ascii="Arial" w:hAnsi="Arial" w:cs="Arial"/>
                <w:noProof/>
                <w:sz w:val="20"/>
                <w:szCs w:val="20"/>
              </w:rPr>
            </w:pPr>
            <w:r>
              <w:rPr>
                <w:rFonts w:ascii="Arial" w:hAnsi="Arial"/>
                <w:sz w:val="20"/>
              </w:rPr>
              <w:t xml:space="preserve">Ministria e Mjedisit, Planifikimit Hapësinor dhe Infrastrukturës, </w:t>
            </w:r>
            <w:r>
              <w:rPr>
                <w:rStyle w:val="hps"/>
                <w:rFonts w:ascii="Arial" w:hAnsi="Arial"/>
                <w:sz w:val="20"/>
              </w:rPr>
              <w:t>Ministria e Ekonomisë</w:t>
            </w:r>
            <w:r>
              <w:rPr>
                <w:rFonts w:ascii="Arial" w:hAnsi="Arial"/>
                <w:sz w:val="20"/>
              </w:rPr>
              <w:t xml:space="preserve">, Ministria e Industrisë, Ndërmarrësisë dhe Tregtisë </w:t>
            </w:r>
            <w:r>
              <w:rPr>
                <w:rStyle w:val="hps"/>
                <w:rFonts w:ascii="Arial" w:hAnsi="Arial"/>
                <w:sz w:val="20"/>
              </w:rPr>
              <w:t>duhet të përfshihen për të mbështetur operatorët e mbeturinave veçanërisht në fillim të aktivitetit të tyre, derisa</w:t>
            </w:r>
            <w:r>
              <w:rPr>
                <w:rFonts w:ascii="Arial" w:hAnsi="Arial"/>
                <w:sz w:val="20"/>
              </w:rPr>
              <w:t xml:space="preserve"> </w:t>
            </w:r>
            <w:r>
              <w:rPr>
                <w:rStyle w:val="hps"/>
                <w:rFonts w:ascii="Arial" w:hAnsi="Arial"/>
                <w:sz w:val="20"/>
              </w:rPr>
              <w:t>të krijojnë</w:t>
            </w:r>
            <w:r>
              <w:rPr>
                <w:rFonts w:ascii="Arial" w:hAnsi="Arial"/>
                <w:sz w:val="20"/>
              </w:rPr>
              <w:t xml:space="preserve"> mundësi për vetëorganizimin e biznesit. </w:t>
            </w:r>
          </w:p>
        </w:tc>
      </w:tr>
    </w:tbl>
    <w:p w14:paraId="16435FCD" w14:textId="01C93C1F" w:rsidR="00337F92" w:rsidRPr="003A0CA1" w:rsidRDefault="00337F92" w:rsidP="00DD77EE">
      <w:pPr>
        <w:pStyle w:val="Heading1"/>
        <w:spacing w:before="240" w:after="120"/>
        <w:jc w:val="center"/>
        <w:rPr>
          <w:rFonts w:ascii="Arial" w:hAnsi="Arial" w:cs="Arial"/>
          <w:color w:val="auto"/>
          <w:sz w:val="24"/>
          <w:szCs w:val="24"/>
        </w:rPr>
      </w:pPr>
      <w:bookmarkStart w:id="8" w:name="_Toc436501980"/>
      <w:r>
        <w:rPr>
          <w:rFonts w:ascii="Arial" w:hAnsi="Arial"/>
          <w:color w:val="auto"/>
          <w:sz w:val="24"/>
        </w:rPr>
        <w:t>Pjesa e dytë</w:t>
      </w:r>
      <w:bookmarkEnd w:id="8"/>
    </w:p>
    <w:p w14:paraId="31BF04FB" w14:textId="77777777" w:rsidR="00337F92" w:rsidRPr="003A0CA1" w:rsidRDefault="00337F92" w:rsidP="007D01BD">
      <w:pPr>
        <w:pStyle w:val="ListParagraph"/>
        <w:numPr>
          <w:ilvl w:val="0"/>
          <w:numId w:val="2"/>
        </w:numPr>
        <w:spacing w:after="120"/>
        <w:jc w:val="both"/>
        <w:rPr>
          <w:rFonts w:ascii="Arial" w:hAnsi="Arial" w:cs="Arial"/>
          <w:b/>
          <w:sz w:val="20"/>
          <w:szCs w:val="20"/>
        </w:rPr>
      </w:pPr>
      <w:r>
        <w:rPr>
          <w:rFonts w:ascii="Arial" w:hAnsi="Arial"/>
          <w:b/>
          <w:sz w:val="20"/>
        </w:rPr>
        <w:t>MATURITETI</w:t>
      </w:r>
    </w:p>
    <w:tbl>
      <w:tblPr>
        <w:tblW w:w="49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3"/>
        <w:gridCol w:w="1480"/>
        <w:gridCol w:w="1317"/>
        <w:gridCol w:w="1201"/>
      </w:tblGrid>
      <w:tr w:rsidR="00337F92" w:rsidRPr="003A0CA1" w14:paraId="5716BCBE" w14:textId="77777777" w:rsidTr="0005785C">
        <w:trPr>
          <w:trHeight w:val="417"/>
          <w:jc w:val="center"/>
        </w:trPr>
        <w:tc>
          <w:tcPr>
            <w:tcW w:w="2839" w:type="pct"/>
            <w:shd w:val="clear" w:color="auto" w:fill="D9D9D9" w:themeFill="background1" w:themeFillShade="D9"/>
            <w:vAlign w:val="center"/>
          </w:tcPr>
          <w:p w14:paraId="082EE2EF" w14:textId="77777777" w:rsidR="00337F92" w:rsidRPr="003A0CA1" w:rsidRDefault="00337F92" w:rsidP="007D01BD">
            <w:pPr>
              <w:spacing w:after="0" w:line="240" w:lineRule="auto"/>
              <w:jc w:val="both"/>
              <w:rPr>
                <w:rFonts w:ascii="Arial" w:hAnsi="Arial" w:cs="Arial"/>
                <w:b/>
                <w:sz w:val="20"/>
                <w:szCs w:val="20"/>
              </w:rPr>
            </w:pPr>
            <w:r>
              <w:rPr>
                <w:rFonts w:ascii="Arial" w:hAnsi="Arial"/>
                <w:b/>
                <w:sz w:val="20"/>
              </w:rPr>
              <w:t>Studimet dhe dokumentet në dispozicion</w:t>
            </w:r>
          </w:p>
        </w:tc>
        <w:tc>
          <w:tcPr>
            <w:tcW w:w="800" w:type="pct"/>
            <w:shd w:val="clear" w:color="auto" w:fill="D9D9D9" w:themeFill="background1" w:themeFillShade="D9"/>
            <w:vAlign w:val="center"/>
          </w:tcPr>
          <w:p w14:paraId="09C4A4D3" w14:textId="77777777" w:rsidR="00337F92" w:rsidRPr="003A0CA1" w:rsidRDefault="00337F92" w:rsidP="007D01BD">
            <w:pPr>
              <w:spacing w:after="0" w:line="240" w:lineRule="auto"/>
              <w:jc w:val="both"/>
              <w:rPr>
                <w:rFonts w:ascii="Arial" w:hAnsi="Arial" w:cs="Arial"/>
                <w:b/>
                <w:sz w:val="20"/>
                <w:szCs w:val="20"/>
              </w:rPr>
            </w:pPr>
            <w:r>
              <w:rPr>
                <w:rFonts w:ascii="Arial" w:hAnsi="Arial"/>
                <w:b/>
                <w:sz w:val="20"/>
              </w:rPr>
              <w:t>Gati dhe të miratuara</w:t>
            </w:r>
          </w:p>
        </w:tc>
        <w:tc>
          <w:tcPr>
            <w:tcW w:w="712" w:type="pct"/>
            <w:shd w:val="clear" w:color="auto" w:fill="D9D9D9" w:themeFill="background1" w:themeFillShade="D9"/>
            <w:vAlign w:val="center"/>
          </w:tcPr>
          <w:p w14:paraId="57F3D664" w14:textId="77777777" w:rsidR="00337F92" w:rsidRPr="003A0CA1" w:rsidRDefault="00337F92" w:rsidP="007D01BD">
            <w:pPr>
              <w:spacing w:after="0" w:line="240" w:lineRule="auto"/>
              <w:jc w:val="both"/>
              <w:rPr>
                <w:rFonts w:ascii="Arial" w:hAnsi="Arial" w:cs="Arial"/>
                <w:b/>
                <w:sz w:val="20"/>
                <w:szCs w:val="20"/>
              </w:rPr>
            </w:pPr>
            <w:r>
              <w:rPr>
                <w:rFonts w:ascii="Arial" w:hAnsi="Arial"/>
                <w:b/>
                <w:sz w:val="20"/>
              </w:rPr>
              <w:t>Duke u punuar</w:t>
            </w:r>
          </w:p>
        </w:tc>
        <w:tc>
          <w:tcPr>
            <w:tcW w:w="649" w:type="pct"/>
            <w:shd w:val="clear" w:color="auto" w:fill="D9D9D9" w:themeFill="background1" w:themeFillShade="D9"/>
            <w:vAlign w:val="center"/>
          </w:tcPr>
          <w:p w14:paraId="4074ACD2" w14:textId="77777777" w:rsidR="00337F92" w:rsidRPr="003A0CA1" w:rsidRDefault="00337F92" w:rsidP="007D01BD">
            <w:pPr>
              <w:spacing w:after="0" w:line="240" w:lineRule="auto"/>
              <w:jc w:val="both"/>
              <w:rPr>
                <w:rFonts w:ascii="Arial" w:hAnsi="Arial" w:cs="Arial"/>
                <w:b/>
                <w:sz w:val="20"/>
                <w:szCs w:val="20"/>
              </w:rPr>
            </w:pPr>
            <w:r>
              <w:rPr>
                <w:rFonts w:ascii="Arial" w:hAnsi="Arial"/>
                <w:b/>
                <w:sz w:val="20"/>
              </w:rPr>
              <w:t>Nuk ka filluar ende</w:t>
            </w:r>
          </w:p>
        </w:tc>
      </w:tr>
      <w:tr w:rsidR="00337F92" w:rsidRPr="003A0CA1" w14:paraId="1B9A6344" w14:textId="77777777" w:rsidTr="006A62C5">
        <w:trPr>
          <w:trHeight w:val="417"/>
          <w:jc w:val="center"/>
        </w:trPr>
        <w:tc>
          <w:tcPr>
            <w:tcW w:w="2839" w:type="pct"/>
            <w:shd w:val="clear" w:color="auto" w:fill="D9D9D9"/>
            <w:vAlign w:val="center"/>
          </w:tcPr>
          <w:p w14:paraId="1E53B7AB"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t>Idea konceptuale</w:t>
            </w:r>
          </w:p>
        </w:tc>
        <w:tc>
          <w:tcPr>
            <w:tcW w:w="800" w:type="pct"/>
            <w:vAlign w:val="center"/>
          </w:tcPr>
          <w:p w14:paraId="0CB9CB27" w14:textId="77777777" w:rsidR="00337F92" w:rsidRPr="003A0CA1" w:rsidRDefault="00337F92" w:rsidP="0014474C">
            <w:pPr>
              <w:spacing w:after="0" w:line="240" w:lineRule="auto"/>
              <w:jc w:val="center"/>
              <w:rPr>
                <w:rFonts w:ascii="Arial" w:hAnsi="Arial" w:cs="Arial"/>
                <w:sz w:val="20"/>
                <w:szCs w:val="20"/>
              </w:rPr>
            </w:pPr>
            <w:r>
              <w:rPr>
                <w:rFonts w:ascii="Arial" w:hAnsi="Arial"/>
                <w:sz w:val="20"/>
              </w:rPr>
              <w:t>X</w:t>
            </w:r>
          </w:p>
        </w:tc>
        <w:tc>
          <w:tcPr>
            <w:tcW w:w="712" w:type="pct"/>
            <w:vAlign w:val="center"/>
          </w:tcPr>
          <w:p w14:paraId="4EB35B34" w14:textId="77777777" w:rsidR="00337F92" w:rsidRPr="003A0CA1" w:rsidRDefault="00337F92" w:rsidP="0014474C">
            <w:pPr>
              <w:spacing w:after="0" w:line="240" w:lineRule="auto"/>
              <w:jc w:val="center"/>
              <w:rPr>
                <w:rFonts w:ascii="Arial" w:hAnsi="Arial" w:cs="Arial"/>
                <w:sz w:val="20"/>
                <w:szCs w:val="20"/>
                <w:lang w:val="en-GB"/>
              </w:rPr>
            </w:pPr>
          </w:p>
        </w:tc>
        <w:tc>
          <w:tcPr>
            <w:tcW w:w="649" w:type="pct"/>
            <w:vAlign w:val="center"/>
          </w:tcPr>
          <w:p w14:paraId="51BEB108" w14:textId="77777777" w:rsidR="00337F92" w:rsidRPr="003A0CA1" w:rsidRDefault="00337F92" w:rsidP="0014474C">
            <w:pPr>
              <w:spacing w:after="0" w:line="240" w:lineRule="auto"/>
              <w:jc w:val="center"/>
              <w:rPr>
                <w:rFonts w:ascii="Arial" w:hAnsi="Arial" w:cs="Arial"/>
                <w:sz w:val="20"/>
                <w:szCs w:val="20"/>
                <w:lang w:val="en-GB"/>
              </w:rPr>
            </w:pPr>
          </w:p>
        </w:tc>
      </w:tr>
      <w:tr w:rsidR="00337F92" w:rsidRPr="003A0CA1" w14:paraId="2EB67FF3" w14:textId="77777777" w:rsidTr="006A62C5">
        <w:trPr>
          <w:trHeight w:val="417"/>
          <w:jc w:val="center"/>
        </w:trPr>
        <w:tc>
          <w:tcPr>
            <w:tcW w:w="2839" w:type="pct"/>
            <w:shd w:val="clear" w:color="auto" w:fill="D9D9D9"/>
            <w:vAlign w:val="center"/>
          </w:tcPr>
          <w:p w14:paraId="0CDED5A3"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t>Studimi paraprak i fizibilitetit</w:t>
            </w:r>
          </w:p>
        </w:tc>
        <w:tc>
          <w:tcPr>
            <w:tcW w:w="800" w:type="pct"/>
            <w:vAlign w:val="center"/>
          </w:tcPr>
          <w:p w14:paraId="5BB68EF4" w14:textId="77777777" w:rsidR="00337F92" w:rsidRPr="003A0CA1" w:rsidRDefault="00337F92" w:rsidP="0014474C">
            <w:pPr>
              <w:spacing w:line="240" w:lineRule="auto"/>
              <w:jc w:val="center"/>
              <w:rPr>
                <w:rFonts w:ascii="Arial" w:hAnsi="Arial" w:cs="Arial"/>
                <w:sz w:val="20"/>
                <w:szCs w:val="20"/>
                <w:lang w:val="en-GB"/>
              </w:rPr>
            </w:pPr>
          </w:p>
        </w:tc>
        <w:tc>
          <w:tcPr>
            <w:tcW w:w="712" w:type="pct"/>
            <w:vAlign w:val="center"/>
          </w:tcPr>
          <w:p w14:paraId="0596FE16" w14:textId="77777777" w:rsidR="00337F92" w:rsidRPr="003A0CA1" w:rsidRDefault="00337F92" w:rsidP="0014474C">
            <w:pPr>
              <w:spacing w:after="0" w:line="240" w:lineRule="auto"/>
              <w:jc w:val="center"/>
              <w:rPr>
                <w:rFonts w:ascii="Arial" w:hAnsi="Arial" w:cs="Arial"/>
                <w:sz w:val="20"/>
                <w:szCs w:val="20"/>
                <w:lang w:val="en-GB"/>
              </w:rPr>
            </w:pPr>
          </w:p>
        </w:tc>
        <w:tc>
          <w:tcPr>
            <w:tcW w:w="649" w:type="pct"/>
            <w:vAlign w:val="center"/>
          </w:tcPr>
          <w:p w14:paraId="0C9E447F" w14:textId="77777777" w:rsidR="00337F92" w:rsidRPr="003A0CA1" w:rsidRDefault="00337F92" w:rsidP="0014474C">
            <w:pPr>
              <w:spacing w:after="0" w:line="240" w:lineRule="auto"/>
              <w:jc w:val="center"/>
              <w:rPr>
                <w:rFonts w:ascii="Arial" w:hAnsi="Arial" w:cs="Arial"/>
                <w:sz w:val="20"/>
                <w:szCs w:val="20"/>
              </w:rPr>
            </w:pPr>
            <w:r>
              <w:rPr>
                <w:rFonts w:ascii="Arial" w:hAnsi="Arial"/>
                <w:sz w:val="20"/>
              </w:rPr>
              <w:t>X</w:t>
            </w:r>
          </w:p>
        </w:tc>
      </w:tr>
      <w:tr w:rsidR="00337F92" w:rsidRPr="003A0CA1" w14:paraId="77094EC5" w14:textId="77777777" w:rsidTr="006A62C5">
        <w:trPr>
          <w:trHeight w:val="417"/>
          <w:jc w:val="center"/>
        </w:trPr>
        <w:tc>
          <w:tcPr>
            <w:tcW w:w="2839" w:type="pct"/>
            <w:shd w:val="clear" w:color="auto" w:fill="D9D9D9"/>
            <w:vAlign w:val="center"/>
          </w:tcPr>
          <w:p w14:paraId="2A574F84"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t>Projektimi konceptual</w:t>
            </w:r>
          </w:p>
        </w:tc>
        <w:tc>
          <w:tcPr>
            <w:tcW w:w="800" w:type="pct"/>
            <w:vAlign w:val="center"/>
          </w:tcPr>
          <w:p w14:paraId="7292444E" w14:textId="2C72B0E6" w:rsidR="00337F92" w:rsidRPr="003A0CA1" w:rsidRDefault="00337F92" w:rsidP="0014474C">
            <w:pPr>
              <w:spacing w:line="240" w:lineRule="auto"/>
              <w:jc w:val="center"/>
              <w:rPr>
                <w:rFonts w:ascii="Arial" w:hAnsi="Arial" w:cs="Arial"/>
                <w:sz w:val="20"/>
                <w:szCs w:val="20"/>
                <w:lang w:val="en-GB"/>
              </w:rPr>
            </w:pPr>
          </w:p>
        </w:tc>
        <w:tc>
          <w:tcPr>
            <w:tcW w:w="712" w:type="pct"/>
            <w:vAlign w:val="center"/>
          </w:tcPr>
          <w:p w14:paraId="70535DDE" w14:textId="77777777" w:rsidR="00337F92" w:rsidRPr="003A0CA1" w:rsidRDefault="00337F92" w:rsidP="0014474C">
            <w:pPr>
              <w:spacing w:after="0" w:line="240" w:lineRule="auto"/>
              <w:jc w:val="center"/>
              <w:rPr>
                <w:rFonts w:ascii="Arial" w:hAnsi="Arial" w:cs="Arial"/>
                <w:sz w:val="20"/>
                <w:szCs w:val="20"/>
                <w:lang w:val="en-GB"/>
              </w:rPr>
            </w:pPr>
          </w:p>
        </w:tc>
        <w:tc>
          <w:tcPr>
            <w:tcW w:w="649" w:type="pct"/>
            <w:vAlign w:val="center"/>
          </w:tcPr>
          <w:p w14:paraId="4944FF77" w14:textId="0593CC47" w:rsidR="00337F92" w:rsidRPr="003A0CA1" w:rsidRDefault="00C66AD3" w:rsidP="0014474C">
            <w:pPr>
              <w:spacing w:after="0" w:line="240" w:lineRule="auto"/>
              <w:jc w:val="center"/>
              <w:rPr>
                <w:rFonts w:ascii="Arial" w:hAnsi="Arial" w:cs="Arial"/>
                <w:sz w:val="20"/>
                <w:szCs w:val="20"/>
              </w:rPr>
            </w:pPr>
            <w:r>
              <w:rPr>
                <w:rFonts w:ascii="Arial" w:hAnsi="Arial"/>
                <w:sz w:val="20"/>
              </w:rPr>
              <w:t>X</w:t>
            </w:r>
          </w:p>
        </w:tc>
      </w:tr>
      <w:tr w:rsidR="00337F92" w:rsidRPr="003A0CA1" w14:paraId="58834831" w14:textId="77777777" w:rsidTr="006A62C5">
        <w:trPr>
          <w:trHeight w:val="417"/>
          <w:jc w:val="center"/>
        </w:trPr>
        <w:tc>
          <w:tcPr>
            <w:tcW w:w="2839" w:type="pct"/>
            <w:shd w:val="clear" w:color="auto" w:fill="D9D9D9"/>
            <w:vAlign w:val="center"/>
          </w:tcPr>
          <w:p w14:paraId="3B1FD3E7"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t>Studimi i fizibilitetit + AKP</w:t>
            </w:r>
          </w:p>
        </w:tc>
        <w:tc>
          <w:tcPr>
            <w:tcW w:w="800" w:type="pct"/>
            <w:vAlign w:val="center"/>
          </w:tcPr>
          <w:p w14:paraId="4F1113F7" w14:textId="77777777" w:rsidR="00337F92" w:rsidRPr="003A0CA1" w:rsidRDefault="00337F92" w:rsidP="007D01BD">
            <w:pPr>
              <w:spacing w:line="240" w:lineRule="auto"/>
              <w:jc w:val="both"/>
              <w:rPr>
                <w:rFonts w:ascii="Arial" w:hAnsi="Arial" w:cs="Arial"/>
                <w:sz w:val="20"/>
                <w:szCs w:val="20"/>
                <w:lang w:val="en-GB"/>
              </w:rPr>
            </w:pPr>
          </w:p>
        </w:tc>
        <w:tc>
          <w:tcPr>
            <w:tcW w:w="712" w:type="pct"/>
            <w:vAlign w:val="center"/>
          </w:tcPr>
          <w:p w14:paraId="5D37DCC5" w14:textId="77777777" w:rsidR="00337F92" w:rsidRPr="003A0CA1" w:rsidRDefault="00337F92" w:rsidP="0014474C">
            <w:pPr>
              <w:spacing w:after="0" w:line="240" w:lineRule="auto"/>
              <w:jc w:val="center"/>
              <w:rPr>
                <w:rFonts w:ascii="Arial" w:hAnsi="Arial" w:cs="Arial"/>
                <w:sz w:val="20"/>
                <w:szCs w:val="20"/>
                <w:lang w:val="en-GB"/>
              </w:rPr>
            </w:pPr>
          </w:p>
        </w:tc>
        <w:tc>
          <w:tcPr>
            <w:tcW w:w="649" w:type="pct"/>
            <w:vAlign w:val="center"/>
          </w:tcPr>
          <w:p w14:paraId="431D5CF0" w14:textId="77777777" w:rsidR="00337F92" w:rsidRPr="003A0CA1" w:rsidRDefault="00337F92" w:rsidP="0014474C">
            <w:pPr>
              <w:spacing w:after="0" w:line="240" w:lineRule="auto"/>
              <w:jc w:val="center"/>
              <w:rPr>
                <w:rFonts w:ascii="Arial" w:hAnsi="Arial" w:cs="Arial"/>
                <w:sz w:val="20"/>
                <w:szCs w:val="20"/>
              </w:rPr>
            </w:pPr>
            <w:r>
              <w:rPr>
                <w:rFonts w:ascii="Arial" w:hAnsi="Arial"/>
                <w:sz w:val="20"/>
              </w:rPr>
              <w:t>X</w:t>
            </w:r>
          </w:p>
        </w:tc>
      </w:tr>
      <w:tr w:rsidR="002D19CE" w:rsidRPr="003A0CA1" w14:paraId="14F3898C" w14:textId="77777777" w:rsidTr="006A62C5">
        <w:trPr>
          <w:trHeight w:val="417"/>
          <w:jc w:val="center"/>
        </w:trPr>
        <w:tc>
          <w:tcPr>
            <w:tcW w:w="2839" w:type="pct"/>
            <w:shd w:val="clear" w:color="auto" w:fill="D9D9D9"/>
            <w:vAlign w:val="center"/>
          </w:tcPr>
          <w:p w14:paraId="3F7553F2" w14:textId="77777777" w:rsidR="002D19CE" w:rsidRPr="003A0CA1" w:rsidRDefault="002D19CE" w:rsidP="007D01BD">
            <w:pPr>
              <w:spacing w:after="0" w:line="240" w:lineRule="auto"/>
              <w:jc w:val="both"/>
              <w:rPr>
                <w:rFonts w:ascii="Arial" w:hAnsi="Arial" w:cs="Arial"/>
                <w:sz w:val="20"/>
                <w:szCs w:val="20"/>
              </w:rPr>
            </w:pPr>
            <w:r>
              <w:rPr>
                <w:rFonts w:ascii="Arial" w:hAnsi="Arial"/>
                <w:sz w:val="20"/>
              </w:rPr>
              <w:t>Studimi i VNM (nëse nevojitet)</w:t>
            </w:r>
          </w:p>
        </w:tc>
        <w:tc>
          <w:tcPr>
            <w:tcW w:w="800" w:type="pct"/>
            <w:vAlign w:val="center"/>
          </w:tcPr>
          <w:p w14:paraId="13224415" w14:textId="46F9304F" w:rsidR="002D19CE" w:rsidRPr="003A0CA1" w:rsidRDefault="002D19CE" w:rsidP="007D01BD">
            <w:pPr>
              <w:spacing w:line="240" w:lineRule="auto"/>
              <w:jc w:val="both"/>
              <w:rPr>
                <w:rFonts w:ascii="Arial" w:hAnsi="Arial" w:cs="Arial"/>
                <w:sz w:val="20"/>
                <w:szCs w:val="20"/>
                <w:lang w:val="en-GB"/>
              </w:rPr>
            </w:pPr>
          </w:p>
        </w:tc>
        <w:tc>
          <w:tcPr>
            <w:tcW w:w="712" w:type="pct"/>
            <w:vAlign w:val="center"/>
          </w:tcPr>
          <w:p w14:paraId="249A92F3" w14:textId="77777777" w:rsidR="002D19CE" w:rsidRPr="003A0CA1" w:rsidRDefault="002D19CE" w:rsidP="0014474C">
            <w:pPr>
              <w:spacing w:after="0" w:line="240" w:lineRule="auto"/>
              <w:jc w:val="center"/>
              <w:rPr>
                <w:rFonts w:ascii="Arial" w:hAnsi="Arial" w:cs="Arial"/>
                <w:sz w:val="20"/>
                <w:szCs w:val="20"/>
                <w:lang w:val="en-GB"/>
              </w:rPr>
            </w:pPr>
          </w:p>
        </w:tc>
        <w:tc>
          <w:tcPr>
            <w:tcW w:w="649" w:type="pct"/>
            <w:vAlign w:val="center"/>
          </w:tcPr>
          <w:p w14:paraId="59044C64" w14:textId="05A68429" w:rsidR="002D19CE" w:rsidRPr="003A0CA1" w:rsidRDefault="002D19CE" w:rsidP="0014474C">
            <w:pPr>
              <w:spacing w:after="0" w:line="240" w:lineRule="auto"/>
              <w:jc w:val="center"/>
              <w:rPr>
                <w:rFonts w:ascii="Arial" w:hAnsi="Arial" w:cs="Arial"/>
                <w:sz w:val="20"/>
                <w:szCs w:val="20"/>
              </w:rPr>
            </w:pPr>
            <w:r>
              <w:rPr>
                <w:rFonts w:ascii="Arial" w:hAnsi="Arial"/>
                <w:sz w:val="20"/>
              </w:rPr>
              <w:t>X</w:t>
            </w:r>
          </w:p>
        </w:tc>
      </w:tr>
      <w:tr w:rsidR="002D19CE" w:rsidRPr="003A0CA1" w14:paraId="4B6FC59F" w14:textId="77777777" w:rsidTr="006A62C5">
        <w:trPr>
          <w:trHeight w:val="417"/>
          <w:jc w:val="center"/>
        </w:trPr>
        <w:tc>
          <w:tcPr>
            <w:tcW w:w="2839" w:type="pct"/>
            <w:shd w:val="clear" w:color="auto" w:fill="D9D9D9"/>
            <w:vAlign w:val="center"/>
          </w:tcPr>
          <w:p w14:paraId="5DF084F1" w14:textId="77777777" w:rsidR="002D19CE" w:rsidRPr="003A0CA1" w:rsidRDefault="002D19CE" w:rsidP="007D01BD">
            <w:pPr>
              <w:spacing w:after="0" w:line="240" w:lineRule="auto"/>
              <w:jc w:val="both"/>
              <w:rPr>
                <w:rFonts w:ascii="Arial" w:hAnsi="Arial" w:cs="Arial"/>
                <w:sz w:val="20"/>
                <w:szCs w:val="20"/>
              </w:rPr>
            </w:pPr>
            <w:r>
              <w:rPr>
                <w:rFonts w:ascii="Arial" w:hAnsi="Arial"/>
                <w:sz w:val="20"/>
              </w:rPr>
              <w:t>Dokumentet e vlefshme të planifikimit hapësinor</w:t>
            </w:r>
          </w:p>
        </w:tc>
        <w:tc>
          <w:tcPr>
            <w:tcW w:w="800" w:type="pct"/>
            <w:vAlign w:val="center"/>
          </w:tcPr>
          <w:p w14:paraId="6F28FD85" w14:textId="60BF2ED9" w:rsidR="002D19CE" w:rsidRPr="003A0CA1" w:rsidRDefault="002D19CE" w:rsidP="007D01BD">
            <w:pPr>
              <w:spacing w:line="240" w:lineRule="auto"/>
              <w:jc w:val="both"/>
              <w:rPr>
                <w:rFonts w:ascii="Arial" w:hAnsi="Arial" w:cs="Arial"/>
                <w:sz w:val="20"/>
                <w:szCs w:val="20"/>
                <w:lang w:val="en-GB"/>
              </w:rPr>
            </w:pPr>
          </w:p>
        </w:tc>
        <w:tc>
          <w:tcPr>
            <w:tcW w:w="712" w:type="pct"/>
            <w:vAlign w:val="center"/>
          </w:tcPr>
          <w:p w14:paraId="1292CDB5" w14:textId="77777777" w:rsidR="002D19CE" w:rsidRPr="003A0CA1" w:rsidRDefault="002D19CE" w:rsidP="0014474C">
            <w:pPr>
              <w:spacing w:after="0" w:line="240" w:lineRule="auto"/>
              <w:jc w:val="center"/>
              <w:rPr>
                <w:rFonts w:ascii="Arial" w:hAnsi="Arial" w:cs="Arial"/>
                <w:sz w:val="20"/>
                <w:szCs w:val="20"/>
                <w:lang w:val="en-GB"/>
              </w:rPr>
            </w:pPr>
          </w:p>
        </w:tc>
        <w:tc>
          <w:tcPr>
            <w:tcW w:w="649" w:type="pct"/>
            <w:vAlign w:val="center"/>
          </w:tcPr>
          <w:p w14:paraId="24EA4BEF" w14:textId="6028B990" w:rsidR="002D19CE" w:rsidRPr="003A0CA1" w:rsidRDefault="002D19CE" w:rsidP="0014474C">
            <w:pPr>
              <w:spacing w:after="0" w:line="240" w:lineRule="auto"/>
              <w:jc w:val="center"/>
              <w:rPr>
                <w:rFonts w:ascii="Arial" w:hAnsi="Arial" w:cs="Arial"/>
                <w:sz w:val="20"/>
                <w:szCs w:val="20"/>
              </w:rPr>
            </w:pPr>
            <w:r>
              <w:rPr>
                <w:rFonts w:ascii="Arial" w:hAnsi="Arial"/>
                <w:sz w:val="20"/>
              </w:rPr>
              <w:t>X</w:t>
            </w:r>
          </w:p>
        </w:tc>
      </w:tr>
      <w:tr w:rsidR="002D19CE" w:rsidRPr="003A0CA1" w14:paraId="56F86963" w14:textId="77777777" w:rsidTr="006A62C5">
        <w:trPr>
          <w:trHeight w:val="417"/>
          <w:jc w:val="center"/>
        </w:trPr>
        <w:tc>
          <w:tcPr>
            <w:tcW w:w="2839" w:type="pct"/>
            <w:shd w:val="clear" w:color="auto" w:fill="D9D9D9"/>
            <w:vAlign w:val="center"/>
          </w:tcPr>
          <w:p w14:paraId="19FD4EA3" w14:textId="77777777" w:rsidR="002D19CE" w:rsidRPr="003A0CA1" w:rsidRDefault="002D19CE" w:rsidP="007D01BD">
            <w:pPr>
              <w:spacing w:after="0" w:line="240" w:lineRule="auto"/>
              <w:jc w:val="both"/>
              <w:rPr>
                <w:rFonts w:ascii="Arial" w:hAnsi="Arial" w:cs="Arial"/>
                <w:sz w:val="20"/>
                <w:szCs w:val="20"/>
              </w:rPr>
            </w:pPr>
            <w:r>
              <w:rPr>
                <w:rFonts w:ascii="Arial" w:hAnsi="Arial"/>
                <w:sz w:val="20"/>
              </w:rPr>
              <w:t>Prona tokë e zgjidhur</w:t>
            </w:r>
          </w:p>
        </w:tc>
        <w:tc>
          <w:tcPr>
            <w:tcW w:w="800" w:type="pct"/>
            <w:vAlign w:val="center"/>
          </w:tcPr>
          <w:p w14:paraId="25BE8FF1" w14:textId="662127EB" w:rsidR="002D19CE" w:rsidRPr="003A0CA1" w:rsidRDefault="002D19CE" w:rsidP="007D01BD">
            <w:pPr>
              <w:spacing w:line="240" w:lineRule="auto"/>
              <w:jc w:val="both"/>
              <w:rPr>
                <w:rFonts w:ascii="Arial" w:hAnsi="Arial" w:cs="Arial"/>
                <w:sz w:val="20"/>
                <w:szCs w:val="20"/>
                <w:lang w:val="en-GB"/>
              </w:rPr>
            </w:pPr>
          </w:p>
        </w:tc>
        <w:tc>
          <w:tcPr>
            <w:tcW w:w="712" w:type="pct"/>
            <w:vAlign w:val="center"/>
          </w:tcPr>
          <w:p w14:paraId="1AA4EA64" w14:textId="1D091D57" w:rsidR="002D19CE" w:rsidRPr="003A0CA1" w:rsidRDefault="00D520E3" w:rsidP="0014474C">
            <w:pPr>
              <w:spacing w:after="0" w:line="240" w:lineRule="auto"/>
              <w:jc w:val="center"/>
              <w:rPr>
                <w:rFonts w:ascii="Arial" w:hAnsi="Arial" w:cs="Arial"/>
                <w:sz w:val="20"/>
                <w:szCs w:val="20"/>
              </w:rPr>
            </w:pPr>
            <w:r>
              <w:rPr>
                <w:rFonts w:ascii="Arial" w:hAnsi="Arial"/>
                <w:sz w:val="20"/>
              </w:rPr>
              <w:t>X</w:t>
            </w:r>
          </w:p>
        </w:tc>
        <w:tc>
          <w:tcPr>
            <w:tcW w:w="649" w:type="pct"/>
            <w:vAlign w:val="center"/>
          </w:tcPr>
          <w:p w14:paraId="43C0D000" w14:textId="6E2B9A8B" w:rsidR="002D19CE" w:rsidRPr="003A0CA1" w:rsidRDefault="002D19CE" w:rsidP="0014474C">
            <w:pPr>
              <w:spacing w:after="0" w:line="240" w:lineRule="auto"/>
              <w:jc w:val="center"/>
              <w:rPr>
                <w:rFonts w:ascii="Arial" w:hAnsi="Arial" w:cs="Arial"/>
                <w:sz w:val="20"/>
                <w:szCs w:val="20"/>
                <w:lang w:val="en-GB"/>
              </w:rPr>
            </w:pPr>
          </w:p>
        </w:tc>
      </w:tr>
      <w:tr w:rsidR="002D19CE" w:rsidRPr="003A0CA1" w14:paraId="23CC439C" w14:textId="77777777" w:rsidTr="006A62C5">
        <w:trPr>
          <w:trHeight w:val="417"/>
          <w:jc w:val="center"/>
        </w:trPr>
        <w:tc>
          <w:tcPr>
            <w:tcW w:w="2839" w:type="pct"/>
            <w:shd w:val="clear" w:color="auto" w:fill="D9D9D9"/>
            <w:vAlign w:val="center"/>
          </w:tcPr>
          <w:p w14:paraId="12EFEF8E" w14:textId="77777777" w:rsidR="002D19CE" w:rsidRPr="003A0CA1" w:rsidRDefault="002D19CE" w:rsidP="007D01BD">
            <w:pPr>
              <w:spacing w:after="0" w:line="240" w:lineRule="auto"/>
              <w:jc w:val="both"/>
              <w:rPr>
                <w:rFonts w:ascii="Arial" w:hAnsi="Arial" w:cs="Arial"/>
                <w:sz w:val="20"/>
                <w:szCs w:val="20"/>
              </w:rPr>
            </w:pPr>
            <w:r>
              <w:rPr>
                <w:rFonts w:ascii="Arial" w:hAnsi="Arial"/>
                <w:sz w:val="20"/>
              </w:rPr>
              <w:t>Projektimi paraprak</w:t>
            </w:r>
          </w:p>
        </w:tc>
        <w:tc>
          <w:tcPr>
            <w:tcW w:w="800" w:type="pct"/>
            <w:vAlign w:val="center"/>
          </w:tcPr>
          <w:p w14:paraId="19C5E657" w14:textId="2175271B" w:rsidR="002D19CE" w:rsidRPr="003A0CA1" w:rsidRDefault="002D19CE" w:rsidP="007D01BD">
            <w:pPr>
              <w:spacing w:line="240" w:lineRule="auto"/>
              <w:jc w:val="both"/>
              <w:rPr>
                <w:rFonts w:ascii="Arial" w:hAnsi="Arial" w:cs="Arial"/>
                <w:sz w:val="20"/>
                <w:szCs w:val="20"/>
                <w:lang w:val="en-GB"/>
              </w:rPr>
            </w:pPr>
          </w:p>
        </w:tc>
        <w:tc>
          <w:tcPr>
            <w:tcW w:w="712" w:type="pct"/>
            <w:vAlign w:val="center"/>
          </w:tcPr>
          <w:p w14:paraId="58226395" w14:textId="77777777" w:rsidR="002D19CE" w:rsidRPr="003A0CA1" w:rsidRDefault="002D19CE" w:rsidP="0014474C">
            <w:pPr>
              <w:spacing w:after="0" w:line="240" w:lineRule="auto"/>
              <w:jc w:val="center"/>
              <w:rPr>
                <w:rFonts w:ascii="Arial" w:hAnsi="Arial" w:cs="Arial"/>
                <w:sz w:val="20"/>
                <w:szCs w:val="20"/>
                <w:lang w:val="en-GB"/>
              </w:rPr>
            </w:pPr>
          </w:p>
        </w:tc>
        <w:tc>
          <w:tcPr>
            <w:tcW w:w="649" w:type="pct"/>
            <w:vAlign w:val="center"/>
          </w:tcPr>
          <w:p w14:paraId="3A532C03" w14:textId="2B9653E9" w:rsidR="002D19CE" w:rsidRPr="003A0CA1" w:rsidRDefault="002D19CE" w:rsidP="0014474C">
            <w:pPr>
              <w:spacing w:after="0" w:line="240" w:lineRule="auto"/>
              <w:jc w:val="center"/>
              <w:rPr>
                <w:rFonts w:ascii="Arial" w:hAnsi="Arial" w:cs="Arial"/>
                <w:sz w:val="20"/>
                <w:szCs w:val="20"/>
              </w:rPr>
            </w:pPr>
            <w:r>
              <w:rPr>
                <w:rFonts w:ascii="Arial" w:hAnsi="Arial"/>
                <w:sz w:val="20"/>
              </w:rPr>
              <w:t>X</w:t>
            </w:r>
          </w:p>
        </w:tc>
      </w:tr>
      <w:tr w:rsidR="00337F92" w:rsidRPr="003A0CA1" w14:paraId="4EFE86EA" w14:textId="77777777" w:rsidTr="006A62C5">
        <w:trPr>
          <w:trHeight w:val="417"/>
          <w:jc w:val="center"/>
        </w:trPr>
        <w:tc>
          <w:tcPr>
            <w:tcW w:w="2839" w:type="pct"/>
            <w:shd w:val="clear" w:color="auto" w:fill="D9D9D9"/>
            <w:vAlign w:val="center"/>
          </w:tcPr>
          <w:p w14:paraId="6E4A8D50"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t>Projektimi kryesor/projektimi i detajuar</w:t>
            </w:r>
          </w:p>
        </w:tc>
        <w:tc>
          <w:tcPr>
            <w:tcW w:w="800" w:type="pct"/>
            <w:vAlign w:val="center"/>
          </w:tcPr>
          <w:p w14:paraId="3D1C2781" w14:textId="77777777" w:rsidR="00337F92" w:rsidRPr="003A0CA1" w:rsidRDefault="00337F92" w:rsidP="007D01BD">
            <w:pPr>
              <w:spacing w:line="240" w:lineRule="auto"/>
              <w:jc w:val="both"/>
              <w:rPr>
                <w:rFonts w:ascii="Arial" w:hAnsi="Arial" w:cs="Arial"/>
                <w:sz w:val="20"/>
                <w:szCs w:val="20"/>
                <w:lang w:val="en-GB"/>
              </w:rPr>
            </w:pPr>
          </w:p>
        </w:tc>
        <w:tc>
          <w:tcPr>
            <w:tcW w:w="712" w:type="pct"/>
            <w:vAlign w:val="center"/>
          </w:tcPr>
          <w:p w14:paraId="7C245A00" w14:textId="77777777" w:rsidR="00337F92" w:rsidRPr="003A0CA1" w:rsidRDefault="00337F92" w:rsidP="0014474C">
            <w:pPr>
              <w:spacing w:after="0" w:line="240" w:lineRule="auto"/>
              <w:jc w:val="center"/>
              <w:rPr>
                <w:rFonts w:ascii="Arial" w:hAnsi="Arial" w:cs="Arial"/>
                <w:sz w:val="20"/>
                <w:szCs w:val="20"/>
                <w:lang w:val="en-GB"/>
              </w:rPr>
            </w:pPr>
          </w:p>
        </w:tc>
        <w:tc>
          <w:tcPr>
            <w:tcW w:w="649" w:type="pct"/>
            <w:vAlign w:val="center"/>
          </w:tcPr>
          <w:p w14:paraId="199D9F8C" w14:textId="77777777" w:rsidR="00337F92" w:rsidRPr="003A0CA1" w:rsidRDefault="00337F92" w:rsidP="0014474C">
            <w:pPr>
              <w:spacing w:after="0" w:line="240" w:lineRule="auto"/>
              <w:jc w:val="center"/>
              <w:rPr>
                <w:rFonts w:ascii="Arial" w:hAnsi="Arial" w:cs="Arial"/>
                <w:sz w:val="20"/>
                <w:szCs w:val="20"/>
              </w:rPr>
            </w:pPr>
            <w:r>
              <w:rPr>
                <w:rFonts w:ascii="Arial" w:hAnsi="Arial"/>
                <w:sz w:val="20"/>
              </w:rPr>
              <w:t>X</w:t>
            </w:r>
          </w:p>
        </w:tc>
      </w:tr>
      <w:tr w:rsidR="00337F92" w:rsidRPr="003A0CA1" w14:paraId="2BA55A24" w14:textId="77777777" w:rsidTr="006A62C5">
        <w:trPr>
          <w:trHeight w:val="417"/>
          <w:jc w:val="center"/>
        </w:trPr>
        <w:tc>
          <w:tcPr>
            <w:tcW w:w="2839" w:type="pct"/>
            <w:shd w:val="clear" w:color="auto" w:fill="D9D9D9"/>
            <w:vAlign w:val="center"/>
          </w:tcPr>
          <w:p w14:paraId="158A9CAC"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t>Dokumentacioni i tenderit</w:t>
            </w:r>
          </w:p>
        </w:tc>
        <w:tc>
          <w:tcPr>
            <w:tcW w:w="800" w:type="pct"/>
            <w:vAlign w:val="center"/>
          </w:tcPr>
          <w:p w14:paraId="01A927EA" w14:textId="77777777" w:rsidR="00337F92" w:rsidRPr="003A0CA1" w:rsidRDefault="00337F92" w:rsidP="007D01BD">
            <w:pPr>
              <w:spacing w:line="240" w:lineRule="auto"/>
              <w:jc w:val="both"/>
              <w:rPr>
                <w:rFonts w:ascii="Arial" w:hAnsi="Arial" w:cs="Arial"/>
                <w:sz w:val="20"/>
                <w:szCs w:val="20"/>
                <w:lang w:val="en-GB"/>
              </w:rPr>
            </w:pPr>
          </w:p>
        </w:tc>
        <w:tc>
          <w:tcPr>
            <w:tcW w:w="712" w:type="pct"/>
            <w:vAlign w:val="center"/>
          </w:tcPr>
          <w:p w14:paraId="516CDCAD" w14:textId="77777777" w:rsidR="00337F92" w:rsidRPr="003A0CA1" w:rsidRDefault="00337F92" w:rsidP="0014474C">
            <w:pPr>
              <w:spacing w:after="0" w:line="240" w:lineRule="auto"/>
              <w:jc w:val="center"/>
              <w:rPr>
                <w:rFonts w:ascii="Arial" w:hAnsi="Arial" w:cs="Arial"/>
                <w:sz w:val="20"/>
                <w:szCs w:val="20"/>
                <w:lang w:val="en-GB"/>
              </w:rPr>
            </w:pPr>
          </w:p>
        </w:tc>
        <w:tc>
          <w:tcPr>
            <w:tcW w:w="649" w:type="pct"/>
            <w:vAlign w:val="center"/>
          </w:tcPr>
          <w:p w14:paraId="585ABA2E" w14:textId="77777777" w:rsidR="00337F92" w:rsidRPr="003A0CA1" w:rsidRDefault="00337F92" w:rsidP="0014474C">
            <w:pPr>
              <w:spacing w:after="0" w:line="240" w:lineRule="auto"/>
              <w:jc w:val="center"/>
              <w:rPr>
                <w:rFonts w:ascii="Arial" w:hAnsi="Arial" w:cs="Arial"/>
                <w:sz w:val="20"/>
                <w:szCs w:val="20"/>
              </w:rPr>
            </w:pPr>
            <w:r>
              <w:rPr>
                <w:rFonts w:ascii="Arial" w:hAnsi="Arial"/>
                <w:sz w:val="20"/>
              </w:rPr>
              <w:t>X</w:t>
            </w:r>
          </w:p>
        </w:tc>
      </w:tr>
      <w:tr w:rsidR="00337F92" w:rsidRPr="003A0CA1" w14:paraId="6E3FC3D3" w14:textId="77777777" w:rsidTr="006A62C5">
        <w:trPr>
          <w:trHeight w:val="417"/>
          <w:jc w:val="center"/>
        </w:trPr>
        <w:tc>
          <w:tcPr>
            <w:tcW w:w="2839" w:type="pct"/>
            <w:shd w:val="clear" w:color="auto" w:fill="D9D9D9"/>
            <w:vAlign w:val="center"/>
          </w:tcPr>
          <w:p w14:paraId="017FF258"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t>Lejet e ndërtimit dhe të tjera</w:t>
            </w:r>
          </w:p>
        </w:tc>
        <w:tc>
          <w:tcPr>
            <w:tcW w:w="800" w:type="pct"/>
            <w:vAlign w:val="center"/>
          </w:tcPr>
          <w:p w14:paraId="2480D696" w14:textId="77777777" w:rsidR="00337F92" w:rsidRPr="003A0CA1" w:rsidRDefault="00337F92" w:rsidP="007D01BD">
            <w:pPr>
              <w:spacing w:line="240" w:lineRule="auto"/>
              <w:jc w:val="both"/>
              <w:rPr>
                <w:rFonts w:ascii="Arial" w:hAnsi="Arial" w:cs="Arial"/>
                <w:sz w:val="20"/>
                <w:szCs w:val="20"/>
                <w:lang w:val="en-GB"/>
              </w:rPr>
            </w:pPr>
          </w:p>
        </w:tc>
        <w:tc>
          <w:tcPr>
            <w:tcW w:w="712" w:type="pct"/>
            <w:vAlign w:val="center"/>
          </w:tcPr>
          <w:p w14:paraId="7DB5104E" w14:textId="77777777" w:rsidR="00337F92" w:rsidRPr="003A0CA1" w:rsidRDefault="00337F92" w:rsidP="0014474C">
            <w:pPr>
              <w:spacing w:after="0" w:line="240" w:lineRule="auto"/>
              <w:jc w:val="center"/>
              <w:rPr>
                <w:rFonts w:ascii="Arial" w:hAnsi="Arial" w:cs="Arial"/>
                <w:sz w:val="20"/>
                <w:szCs w:val="20"/>
                <w:lang w:val="en-GB"/>
              </w:rPr>
            </w:pPr>
          </w:p>
        </w:tc>
        <w:tc>
          <w:tcPr>
            <w:tcW w:w="649" w:type="pct"/>
            <w:vAlign w:val="center"/>
          </w:tcPr>
          <w:p w14:paraId="263F878C" w14:textId="77777777" w:rsidR="00337F92" w:rsidRPr="003A0CA1" w:rsidRDefault="00337F92" w:rsidP="0014474C">
            <w:pPr>
              <w:spacing w:after="0" w:line="240" w:lineRule="auto"/>
              <w:jc w:val="center"/>
              <w:rPr>
                <w:rFonts w:ascii="Arial" w:hAnsi="Arial" w:cs="Arial"/>
                <w:sz w:val="20"/>
                <w:szCs w:val="20"/>
              </w:rPr>
            </w:pPr>
            <w:r>
              <w:rPr>
                <w:rFonts w:ascii="Arial" w:hAnsi="Arial"/>
                <w:sz w:val="20"/>
              </w:rPr>
              <w:t>X</w:t>
            </w:r>
          </w:p>
        </w:tc>
      </w:tr>
      <w:tr w:rsidR="00337F92" w:rsidRPr="003A0CA1" w14:paraId="276EE8EE" w14:textId="77777777" w:rsidTr="006A62C5">
        <w:trPr>
          <w:trHeight w:val="417"/>
          <w:jc w:val="center"/>
        </w:trPr>
        <w:tc>
          <w:tcPr>
            <w:tcW w:w="2839" w:type="pct"/>
            <w:shd w:val="clear" w:color="auto" w:fill="D9D9D9"/>
            <w:vAlign w:val="center"/>
          </w:tcPr>
          <w:p w14:paraId="1F4857D0"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t>Kontrata e ndërtimit është nënshkruar</w:t>
            </w:r>
          </w:p>
        </w:tc>
        <w:tc>
          <w:tcPr>
            <w:tcW w:w="800" w:type="pct"/>
            <w:vAlign w:val="center"/>
          </w:tcPr>
          <w:p w14:paraId="355D783E" w14:textId="77777777" w:rsidR="00337F92" w:rsidRPr="003A0CA1" w:rsidRDefault="00337F92" w:rsidP="007D01BD">
            <w:pPr>
              <w:spacing w:line="240" w:lineRule="auto"/>
              <w:jc w:val="both"/>
              <w:rPr>
                <w:rFonts w:ascii="Arial" w:hAnsi="Arial" w:cs="Arial"/>
                <w:sz w:val="20"/>
                <w:szCs w:val="20"/>
                <w:lang w:val="en-GB"/>
              </w:rPr>
            </w:pPr>
          </w:p>
        </w:tc>
        <w:tc>
          <w:tcPr>
            <w:tcW w:w="712" w:type="pct"/>
            <w:vAlign w:val="center"/>
          </w:tcPr>
          <w:p w14:paraId="5DDAA668" w14:textId="77777777" w:rsidR="00337F92" w:rsidRPr="003A0CA1" w:rsidRDefault="00337F92" w:rsidP="0014474C">
            <w:pPr>
              <w:spacing w:after="0" w:line="240" w:lineRule="auto"/>
              <w:jc w:val="center"/>
              <w:rPr>
                <w:rFonts w:ascii="Arial" w:hAnsi="Arial" w:cs="Arial"/>
                <w:sz w:val="20"/>
                <w:szCs w:val="20"/>
                <w:lang w:val="en-GB"/>
              </w:rPr>
            </w:pPr>
          </w:p>
        </w:tc>
        <w:tc>
          <w:tcPr>
            <w:tcW w:w="649" w:type="pct"/>
            <w:vAlign w:val="center"/>
          </w:tcPr>
          <w:p w14:paraId="282ED35A" w14:textId="77777777" w:rsidR="00337F92" w:rsidRPr="003A0CA1" w:rsidRDefault="00337F92" w:rsidP="0014474C">
            <w:pPr>
              <w:spacing w:after="0" w:line="240" w:lineRule="auto"/>
              <w:jc w:val="center"/>
              <w:rPr>
                <w:rFonts w:ascii="Arial" w:hAnsi="Arial" w:cs="Arial"/>
                <w:sz w:val="20"/>
                <w:szCs w:val="20"/>
              </w:rPr>
            </w:pPr>
            <w:r>
              <w:rPr>
                <w:rFonts w:ascii="Arial" w:hAnsi="Arial"/>
                <w:sz w:val="20"/>
              </w:rPr>
              <w:t>X</w:t>
            </w:r>
          </w:p>
        </w:tc>
      </w:tr>
    </w:tbl>
    <w:p w14:paraId="64EAC601" w14:textId="77777777" w:rsidR="00337F92" w:rsidRPr="003A0CA1" w:rsidRDefault="00337F92" w:rsidP="007D01BD">
      <w:pPr>
        <w:spacing w:after="120"/>
        <w:jc w:val="both"/>
        <w:rPr>
          <w:rFonts w:ascii="Arial" w:hAnsi="Arial" w:cs="Arial"/>
          <w:b/>
          <w:sz w:val="20"/>
          <w:szCs w:val="20"/>
          <w:lang w:val="en-GB"/>
        </w:rPr>
      </w:pPr>
    </w:p>
    <w:p w14:paraId="1DBB0283" w14:textId="77777777" w:rsidR="00337F92" w:rsidRPr="003A0CA1" w:rsidRDefault="00337F92" w:rsidP="007D01BD">
      <w:pPr>
        <w:pStyle w:val="ListParagraph"/>
        <w:numPr>
          <w:ilvl w:val="0"/>
          <w:numId w:val="2"/>
        </w:numPr>
        <w:spacing w:after="120"/>
        <w:jc w:val="both"/>
        <w:rPr>
          <w:rFonts w:ascii="Arial" w:hAnsi="Arial" w:cs="Arial"/>
          <w:b/>
          <w:sz w:val="20"/>
          <w:szCs w:val="20"/>
        </w:rPr>
      </w:pPr>
      <w:r>
        <w:rPr>
          <w:rFonts w:ascii="Arial" w:hAnsi="Arial"/>
          <w:b/>
          <w:sz w:val="20"/>
        </w:rPr>
        <w:t>PËRCAKTIMI I BURIMIT TË FINANCIMIT</w:t>
      </w:r>
    </w:p>
    <w:tbl>
      <w:tblPr>
        <w:tblW w:w="4947"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160"/>
        <w:gridCol w:w="636"/>
        <w:gridCol w:w="3926"/>
        <w:gridCol w:w="529"/>
      </w:tblGrid>
      <w:tr w:rsidR="00337F92" w:rsidRPr="003A0CA1" w14:paraId="69F17ECA" w14:textId="77777777" w:rsidTr="0005785C">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5C0F84" w14:textId="77777777" w:rsidR="00337F92" w:rsidRPr="003A0CA1" w:rsidRDefault="00337F92" w:rsidP="007D01BD">
            <w:pPr>
              <w:spacing w:after="0" w:line="240" w:lineRule="auto"/>
              <w:jc w:val="both"/>
              <w:rPr>
                <w:rFonts w:ascii="Arial" w:hAnsi="Arial" w:cs="Arial"/>
                <w:b/>
                <w:sz w:val="20"/>
                <w:szCs w:val="20"/>
                <w:lang w:val="en-GB"/>
              </w:rPr>
            </w:pPr>
          </w:p>
        </w:tc>
        <w:tc>
          <w:tcPr>
            <w:tcW w:w="3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CC1013" w14:textId="77777777" w:rsidR="00337F92" w:rsidRPr="003A0CA1" w:rsidRDefault="00337F92" w:rsidP="007D01BD">
            <w:pPr>
              <w:spacing w:after="0" w:line="240" w:lineRule="auto"/>
              <w:jc w:val="both"/>
              <w:rPr>
                <w:rFonts w:ascii="Arial" w:hAnsi="Arial" w:cs="Arial"/>
                <w:b/>
                <w:sz w:val="20"/>
                <w:szCs w:val="20"/>
              </w:rPr>
            </w:pPr>
            <w:r>
              <w:rPr>
                <w:rFonts w:ascii="Arial" w:hAnsi="Arial"/>
                <w:b/>
                <w:sz w:val="20"/>
              </w:rPr>
              <w:t>Po</w:t>
            </w:r>
          </w:p>
        </w:tc>
        <w:tc>
          <w:tcPr>
            <w:tcW w:w="212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916991" w14:textId="77777777" w:rsidR="00337F92" w:rsidRPr="003A0CA1" w:rsidRDefault="00337F92" w:rsidP="007D01BD">
            <w:pPr>
              <w:spacing w:after="0" w:line="240" w:lineRule="auto"/>
              <w:jc w:val="both"/>
              <w:rPr>
                <w:rFonts w:ascii="Arial" w:hAnsi="Arial" w:cs="Arial"/>
                <w:b/>
                <w:sz w:val="20"/>
                <w:szCs w:val="20"/>
              </w:rPr>
            </w:pPr>
            <w:r>
              <w:rPr>
                <w:rFonts w:ascii="Arial" w:hAnsi="Arial"/>
                <w:b/>
                <w:sz w:val="20"/>
              </w:rPr>
              <w:t>Arsyetimi</w:t>
            </w:r>
          </w:p>
        </w:tc>
        <w:tc>
          <w:tcPr>
            <w:tcW w:w="2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BB026" w14:textId="77777777" w:rsidR="00337F92" w:rsidRPr="003A0CA1" w:rsidRDefault="00337F92" w:rsidP="007D01BD">
            <w:pPr>
              <w:spacing w:after="0" w:line="240" w:lineRule="auto"/>
              <w:jc w:val="both"/>
              <w:rPr>
                <w:rFonts w:ascii="Arial" w:hAnsi="Arial" w:cs="Arial"/>
                <w:b/>
                <w:sz w:val="20"/>
                <w:szCs w:val="20"/>
              </w:rPr>
            </w:pPr>
            <w:r>
              <w:rPr>
                <w:rFonts w:ascii="Arial" w:hAnsi="Arial"/>
                <w:b/>
                <w:sz w:val="20"/>
              </w:rPr>
              <w:t>Jo</w:t>
            </w:r>
          </w:p>
        </w:tc>
      </w:tr>
      <w:tr w:rsidR="00337F92" w:rsidRPr="003A0CA1" w14:paraId="06EBFCB9" w14:textId="77777777" w:rsidTr="0005785C">
        <w:trPr>
          <w:trHeight w:val="26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7099F52E" w14:textId="77777777" w:rsidR="00337F92" w:rsidRPr="003A0CA1" w:rsidRDefault="00337F92" w:rsidP="007D01BD">
            <w:pPr>
              <w:spacing w:before="60" w:after="60" w:line="260" w:lineRule="atLeast"/>
              <w:jc w:val="both"/>
              <w:rPr>
                <w:rFonts w:ascii="Arial" w:hAnsi="Arial" w:cs="Arial"/>
                <w:sz w:val="20"/>
                <w:szCs w:val="20"/>
              </w:rPr>
            </w:pPr>
            <w:r>
              <w:rPr>
                <w:rFonts w:ascii="Arial" w:hAnsi="Arial"/>
                <w:sz w:val="20"/>
              </w:rPr>
              <w:t>A e përmirëson projekti lidhjen?</w:t>
            </w:r>
          </w:p>
        </w:tc>
        <w:tc>
          <w:tcPr>
            <w:tcW w:w="344" w:type="pct"/>
            <w:tcBorders>
              <w:top w:val="single" w:sz="4" w:space="0" w:color="auto"/>
              <w:left w:val="single" w:sz="4" w:space="0" w:color="auto"/>
              <w:bottom w:val="single" w:sz="4" w:space="0" w:color="auto"/>
              <w:right w:val="single" w:sz="4" w:space="0" w:color="auto"/>
            </w:tcBorders>
            <w:vAlign w:val="center"/>
          </w:tcPr>
          <w:p w14:paraId="5D5FD1D5" w14:textId="77777777" w:rsidR="00337F92" w:rsidRPr="003A0CA1" w:rsidRDefault="00337F92" w:rsidP="007D01BD">
            <w:pPr>
              <w:spacing w:before="60" w:after="60" w:line="260" w:lineRule="atLeast"/>
              <w:jc w:val="both"/>
              <w:rPr>
                <w:rFonts w:ascii="Arial" w:hAnsi="Arial" w:cs="Arial"/>
                <w:sz w:val="20"/>
                <w:szCs w:val="20"/>
                <w:lang w:val="en-GB"/>
              </w:rPr>
            </w:pPr>
          </w:p>
        </w:tc>
        <w:tc>
          <w:tcPr>
            <w:tcW w:w="2122" w:type="pct"/>
            <w:tcBorders>
              <w:top w:val="single" w:sz="4" w:space="0" w:color="auto"/>
              <w:left w:val="single" w:sz="4" w:space="0" w:color="auto"/>
              <w:bottom w:val="single" w:sz="4" w:space="0" w:color="auto"/>
              <w:right w:val="single" w:sz="4" w:space="0" w:color="auto"/>
            </w:tcBorders>
            <w:vAlign w:val="center"/>
          </w:tcPr>
          <w:p w14:paraId="4001B66A" w14:textId="77777777" w:rsidR="00337F92" w:rsidRPr="003A0CA1" w:rsidRDefault="00337F92" w:rsidP="007D01BD">
            <w:pPr>
              <w:spacing w:before="60" w:after="60" w:line="260" w:lineRule="atLeast"/>
              <w:jc w:val="both"/>
              <w:rPr>
                <w:rFonts w:ascii="Arial" w:hAnsi="Arial" w:cs="Arial"/>
                <w:sz w:val="20"/>
                <w:szCs w:val="20"/>
                <w:lang w:val="en-GB"/>
              </w:rPr>
            </w:pPr>
          </w:p>
        </w:tc>
        <w:tc>
          <w:tcPr>
            <w:tcW w:w="286" w:type="pct"/>
            <w:tcBorders>
              <w:top w:val="single" w:sz="4" w:space="0" w:color="auto"/>
              <w:left w:val="single" w:sz="4" w:space="0" w:color="auto"/>
              <w:bottom w:val="single" w:sz="4" w:space="0" w:color="auto"/>
              <w:right w:val="single" w:sz="4" w:space="0" w:color="auto"/>
            </w:tcBorders>
            <w:vAlign w:val="center"/>
          </w:tcPr>
          <w:p w14:paraId="1CBFD8C7" w14:textId="77777777" w:rsidR="00337F92" w:rsidRPr="003A0CA1" w:rsidRDefault="00337F92" w:rsidP="0014474C">
            <w:pPr>
              <w:spacing w:before="60" w:after="60" w:line="260" w:lineRule="atLeast"/>
              <w:jc w:val="center"/>
              <w:rPr>
                <w:rFonts w:ascii="Arial" w:hAnsi="Arial" w:cs="Arial"/>
                <w:sz w:val="20"/>
                <w:szCs w:val="20"/>
              </w:rPr>
            </w:pPr>
            <w:r>
              <w:rPr>
                <w:rFonts w:ascii="Arial" w:hAnsi="Arial"/>
                <w:sz w:val="20"/>
              </w:rPr>
              <w:t>X</w:t>
            </w:r>
          </w:p>
        </w:tc>
      </w:tr>
      <w:tr w:rsidR="00337F92" w:rsidRPr="003A0CA1" w14:paraId="1F80E7B2" w14:textId="77777777" w:rsidTr="0005785C">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264B020D" w14:textId="77777777" w:rsidR="00337F92" w:rsidRPr="003A0CA1" w:rsidRDefault="00337F92" w:rsidP="007D01BD">
            <w:pPr>
              <w:spacing w:after="0" w:line="240" w:lineRule="auto"/>
              <w:jc w:val="both"/>
              <w:rPr>
                <w:rFonts w:ascii="Arial" w:hAnsi="Arial" w:cs="Arial"/>
                <w:sz w:val="20"/>
                <w:szCs w:val="20"/>
              </w:rPr>
            </w:pPr>
            <w:r>
              <w:rPr>
                <w:rFonts w:ascii="Arial" w:hAnsi="Arial"/>
                <w:sz w:val="20"/>
              </w:rPr>
              <w:t>A ka projekti ndikim ndërkufitar apo në vendet e tjera të rajonit?</w:t>
            </w:r>
          </w:p>
        </w:tc>
        <w:tc>
          <w:tcPr>
            <w:tcW w:w="344" w:type="pct"/>
            <w:tcBorders>
              <w:top w:val="single" w:sz="4" w:space="0" w:color="auto"/>
              <w:left w:val="single" w:sz="4" w:space="0" w:color="auto"/>
              <w:bottom w:val="single" w:sz="4" w:space="0" w:color="auto"/>
              <w:right w:val="single" w:sz="4" w:space="0" w:color="auto"/>
            </w:tcBorders>
            <w:vAlign w:val="center"/>
          </w:tcPr>
          <w:p w14:paraId="269A7315" w14:textId="4C258544" w:rsidR="00337F92" w:rsidRPr="003A0CA1" w:rsidRDefault="00A2261F" w:rsidP="0014474C">
            <w:pPr>
              <w:spacing w:after="0" w:line="240" w:lineRule="auto"/>
              <w:jc w:val="center"/>
              <w:rPr>
                <w:rFonts w:ascii="Arial" w:hAnsi="Arial" w:cs="Arial"/>
                <w:sz w:val="20"/>
                <w:szCs w:val="20"/>
              </w:rPr>
            </w:pPr>
            <w:r>
              <w:rPr>
                <w:rFonts w:ascii="Arial" w:hAnsi="Arial"/>
                <w:sz w:val="20"/>
              </w:rPr>
              <w:t>X</w:t>
            </w:r>
          </w:p>
        </w:tc>
        <w:tc>
          <w:tcPr>
            <w:tcW w:w="2122" w:type="pct"/>
            <w:tcBorders>
              <w:top w:val="single" w:sz="4" w:space="0" w:color="auto"/>
              <w:left w:val="single" w:sz="4" w:space="0" w:color="auto"/>
              <w:bottom w:val="single" w:sz="4" w:space="0" w:color="auto"/>
              <w:right w:val="single" w:sz="4" w:space="0" w:color="auto"/>
            </w:tcBorders>
            <w:vAlign w:val="center"/>
          </w:tcPr>
          <w:p w14:paraId="0E3DB59D" w14:textId="41C09D86" w:rsidR="00337F92" w:rsidRPr="003A0CA1" w:rsidRDefault="008862B8" w:rsidP="007D01BD">
            <w:pPr>
              <w:spacing w:before="60" w:after="60" w:line="260" w:lineRule="atLeast"/>
              <w:jc w:val="both"/>
              <w:rPr>
                <w:rFonts w:ascii="Arial" w:hAnsi="Arial" w:cs="Arial"/>
                <w:sz w:val="20"/>
                <w:szCs w:val="20"/>
              </w:rPr>
            </w:pPr>
            <w:r>
              <w:rPr>
                <w:rFonts w:ascii="Arial" w:hAnsi="Arial"/>
                <w:sz w:val="20"/>
              </w:rPr>
              <w:t>Asgjësimi i kontrolluar i mbeturinave të rrezikshme do të ndikojë në karakteristikat fizike, kimike dhe biologjike të ekosistemeve të lumit Sitnica dhe rrjedhimisht të lumit Ibër, duke reduktuar ndotjen ndërkufitare (d.m.th., lumin Ibër, pas kalimit nëpër Kosovë dhe grumbullimit të rrjedhave të ujërave të kontaminuara në Moravën Perëndimore në Serbi).</w:t>
            </w:r>
          </w:p>
        </w:tc>
        <w:tc>
          <w:tcPr>
            <w:tcW w:w="286" w:type="pct"/>
            <w:tcBorders>
              <w:top w:val="single" w:sz="4" w:space="0" w:color="auto"/>
              <w:left w:val="single" w:sz="4" w:space="0" w:color="auto"/>
              <w:bottom w:val="single" w:sz="4" w:space="0" w:color="auto"/>
              <w:right w:val="single" w:sz="4" w:space="0" w:color="auto"/>
            </w:tcBorders>
            <w:vAlign w:val="center"/>
          </w:tcPr>
          <w:p w14:paraId="706CF85C" w14:textId="142F619A" w:rsidR="00337F92" w:rsidRPr="003A0CA1" w:rsidRDefault="00337F92" w:rsidP="007D01BD">
            <w:pPr>
              <w:spacing w:after="0" w:line="240" w:lineRule="auto"/>
              <w:jc w:val="both"/>
              <w:rPr>
                <w:rFonts w:ascii="Arial" w:hAnsi="Arial" w:cs="Arial"/>
                <w:sz w:val="20"/>
                <w:szCs w:val="20"/>
                <w:lang w:val="en-GB"/>
              </w:rPr>
            </w:pPr>
          </w:p>
        </w:tc>
      </w:tr>
      <w:tr w:rsidR="004F67C0" w:rsidRPr="003A0CA1" w14:paraId="1079818E" w14:textId="77777777" w:rsidTr="0005785C">
        <w:trPr>
          <w:trHeight w:val="417"/>
          <w:jc w:val="center"/>
        </w:trPr>
        <w:tc>
          <w:tcPr>
            <w:tcW w:w="2248" w:type="pct"/>
            <w:tcBorders>
              <w:top w:val="single" w:sz="4" w:space="0" w:color="auto"/>
              <w:left w:val="single" w:sz="4" w:space="0" w:color="auto"/>
              <w:bottom w:val="single" w:sz="4" w:space="0" w:color="auto"/>
              <w:right w:val="single" w:sz="4" w:space="0" w:color="auto"/>
            </w:tcBorders>
            <w:shd w:val="clear" w:color="auto" w:fill="D9D9D9"/>
            <w:vAlign w:val="center"/>
          </w:tcPr>
          <w:p w14:paraId="2F455E53" w14:textId="77777777" w:rsidR="004F67C0" w:rsidRPr="003A0CA1" w:rsidRDefault="004F67C0" w:rsidP="007D01BD">
            <w:pPr>
              <w:spacing w:after="0" w:line="240" w:lineRule="auto"/>
              <w:jc w:val="both"/>
              <w:rPr>
                <w:rFonts w:ascii="Arial" w:hAnsi="Arial" w:cs="Arial"/>
                <w:sz w:val="20"/>
                <w:szCs w:val="20"/>
              </w:rPr>
            </w:pPr>
            <w:r>
              <w:rPr>
                <w:rFonts w:ascii="Arial" w:hAnsi="Arial"/>
                <w:sz w:val="20"/>
              </w:rPr>
              <w:lastRenderedPageBreak/>
              <w:t>A mundet projekti në ndonjë mënyrë tjetër të caktohet si projekt rajonal?</w:t>
            </w:r>
          </w:p>
        </w:tc>
        <w:tc>
          <w:tcPr>
            <w:tcW w:w="344" w:type="pct"/>
            <w:tcBorders>
              <w:top w:val="single" w:sz="4" w:space="0" w:color="auto"/>
              <w:left w:val="single" w:sz="4" w:space="0" w:color="auto"/>
              <w:bottom w:val="single" w:sz="4" w:space="0" w:color="auto"/>
              <w:right w:val="single" w:sz="4" w:space="0" w:color="auto"/>
            </w:tcBorders>
            <w:vAlign w:val="center"/>
          </w:tcPr>
          <w:p w14:paraId="134054A5" w14:textId="07CDAE40" w:rsidR="004F67C0" w:rsidRPr="003A0CA1" w:rsidRDefault="004F67C0" w:rsidP="0014474C">
            <w:pPr>
              <w:spacing w:after="0" w:line="240" w:lineRule="auto"/>
              <w:jc w:val="center"/>
              <w:rPr>
                <w:rFonts w:ascii="Arial" w:hAnsi="Arial" w:cs="Arial"/>
                <w:sz w:val="20"/>
                <w:szCs w:val="20"/>
              </w:rPr>
            </w:pPr>
            <w:r>
              <w:rPr>
                <w:rFonts w:ascii="Arial" w:hAnsi="Arial"/>
                <w:sz w:val="20"/>
              </w:rPr>
              <w:t>X</w:t>
            </w:r>
          </w:p>
        </w:tc>
        <w:tc>
          <w:tcPr>
            <w:tcW w:w="2122" w:type="pct"/>
            <w:tcBorders>
              <w:top w:val="single" w:sz="4" w:space="0" w:color="auto"/>
              <w:left w:val="single" w:sz="4" w:space="0" w:color="auto"/>
              <w:bottom w:val="single" w:sz="4" w:space="0" w:color="auto"/>
              <w:right w:val="single" w:sz="4" w:space="0" w:color="auto"/>
            </w:tcBorders>
            <w:vAlign w:val="center"/>
          </w:tcPr>
          <w:p w14:paraId="25FC0427" w14:textId="6C483DDE" w:rsidR="004F67C0" w:rsidRPr="003A0CA1" w:rsidRDefault="004F67C0" w:rsidP="007D01BD">
            <w:pPr>
              <w:spacing w:before="60" w:after="60" w:line="260" w:lineRule="atLeast"/>
              <w:jc w:val="both"/>
              <w:rPr>
                <w:rFonts w:ascii="Arial" w:hAnsi="Arial" w:cs="Arial"/>
                <w:sz w:val="20"/>
                <w:szCs w:val="20"/>
              </w:rPr>
            </w:pPr>
            <w:r>
              <w:rPr>
                <w:rFonts w:ascii="Arial" w:hAnsi="Arial"/>
                <w:sz w:val="20"/>
              </w:rPr>
              <w:t>Projekti gjithashtu mund të caktohet si projekt rajonal nëse sasia e llojeve të ndryshme të mbeturinave të rrezikshme të prodhuara në Kosovë nuk duhet të jetë e mjaftueshme për të justifikuar ekonomikisht sistemin e trajtimit dhe riciklimit dhe produktet e ndërlidhura nga ripërdorimi/riciklimi i mbeturinave duhet të zgjerojnë tregun në një qasje të koordinuar ndërkufitare.</w:t>
            </w:r>
          </w:p>
        </w:tc>
        <w:tc>
          <w:tcPr>
            <w:tcW w:w="286" w:type="pct"/>
            <w:tcBorders>
              <w:top w:val="single" w:sz="4" w:space="0" w:color="auto"/>
              <w:left w:val="single" w:sz="4" w:space="0" w:color="auto"/>
              <w:bottom w:val="single" w:sz="4" w:space="0" w:color="auto"/>
              <w:right w:val="single" w:sz="4" w:space="0" w:color="auto"/>
            </w:tcBorders>
            <w:vAlign w:val="center"/>
          </w:tcPr>
          <w:p w14:paraId="50380736" w14:textId="10396552" w:rsidR="004F67C0" w:rsidRPr="003A0CA1" w:rsidRDefault="004F67C0" w:rsidP="007D01BD">
            <w:pPr>
              <w:spacing w:after="0" w:line="240" w:lineRule="auto"/>
              <w:jc w:val="both"/>
              <w:rPr>
                <w:rFonts w:ascii="Arial" w:hAnsi="Arial" w:cs="Arial"/>
                <w:sz w:val="20"/>
                <w:szCs w:val="20"/>
                <w:lang w:val="en-GB"/>
              </w:rPr>
            </w:pPr>
          </w:p>
        </w:tc>
      </w:tr>
    </w:tbl>
    <w:p w14:paraId="206BDD62" w14:textId="77777777" w:rsidR="00337F92" w:rsidRPr="003A0CA1" w:rsidRDefault="00337F92" w:rsidP="007D01BD">
      <w:pPr>
        <w:jc w:val="both"/>
        <w:rPr>
          <w:rFonts w:ascii="Arial" w:hAnsi="Arial" w:cs="Arial"/>
          <w:b/>
          <w:sz w:val="20"/>
          <w:szCs w:val="20"/>
          <w:lang w:val="en-GB"/>
        </w:rPr>
      </w:pPr>
    </w:p>
    <w:p w14:paraId="6518C64D" w14:textId="7FB497B5" w:rsidR="00337F92" w:rsidRPr="003A0CA1" w:rsidRDefault="00337F92" w:rsidP="007D01BD">
      <w:pPr>
        <w:pStyle w:val="ListParagraph"/>
        <w:numPr>
          <w:ilvl w:val="0"/>
          <w:numId w:val="2"/>
        </w:numPr>
        <w:spacing w:after="120"/>
        <w:jc w:val="both"/>
        <w:rPr>
          <w:rFonts w:ascii="Arial" w:hAnsi="Arial" w:cs="Arial"/>
          <w:b/>
          <w:sz w:val="20"/>
          <w:szCs w:val="20"/>
        </w:rPr>
      </w:pPr>
      <w:r>
        <w:rPr>
          <w:rFonts w:ascii="Arial" w:hAnsi="Arial"/>
          <w:b/>
          <w:sz w:val="20"/>
        </w:rPr>
        <w:t>PLANIFIKIMI I SHPENZIM</w:t>
      </w:r>
      <w:r w:rsidR="00B21BDE">
        <w:rPr>
          <w:rFonts w:ascii="Arial" w:hAnsi="Arial"/>
          <w:b/>
          <w:sz w:val="20"/>
        </w:rPr>
        <w:t>EVE</w:t>
      </w:r>
    </w:p>
    <w:tbl>
      <w:tblPr>
        <w:tblW w:w="496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9"/>
        <w:gridCol w:w="1054"/>
        <w:gridCol w:w="1054"/>
        <w:gridCol w:w="1143"/>
        <w:gridCol w:w="1230"/>
        <w:gridCol w:w="1232"/>
        <w:gridCol w:w="965"/>
        <w:gridCol w:w="1230"/>
      </w:tblGrid>
      <w:tr w:rsidR="007A2C04" w:rsidRPr="003A0CA1" w14:paraId="0836713B" w14:textId="77777777" w:rsidTr="00E33D0C">
        <w:tc>
          <w:tcPr>
            <w:tcW w:w="738" w:type="pct"/>
            <w:shd w:val="clear" w:color="auto" w:fill="D9D9D9" w:themeFill="background1" w:themeFillShade="D9"/>
          </w:tcPr>
          <w:p w14:paraId="027C5FAD" w14:textId="77777777" w:rsidR="007A2C04" w:rsidRPr="003A0CA1" w:rsidRDefault="007A2C04" w:rsidP="007D01BD">
            <w:pPr>
              <w:spacing w:after="0" w:line="260" w:lineRule="atLeast"/>
              <w:jc w:val="both"/>
              <w:rPr>
                <w:rFonts w:ascii="Arial" w:hAnsi="Arial" w:cs="Arial"/>
                <w:sz w:val="20"/>
                <w:szCs w:val="20"/>
                <w:lang w:val="en-GB"/>
              </w:rPr>
            </w:pPr>
          </w:p>
        </w:tc>
        <w:tc>
          <w:tcPr>
            <w:tcW w:w="568" w:type="pct"/>
            <w:shd w:val="clear" w:color="auto" w:fill="D9D9D9" w:themeFill="background1" w:themeFillShade="D9"/>
          </w:tcPr>
          <w:p w14:paraId="131B6141" w14:textId="06346B5B" w:rsidR="007A2C04" w:rsidRPr="003A0CA1" w:rsidRDefault="007A2C04" w:rsidP="007D01BD">
            <w:pPr>
              <w:spacing w:after="0" w:line="260" w:lineRule="atLeast"/>
              <w:jc w:val="both"/>
              <w:rPr>
                <w:rFonts w:ascii="Arial" w:hAnsi="Arial" w:cs="Arial"/>
                <w:sz w:val="20"/>
                <w:szCs w:val="20"/>
              </w:rPr>
            </w:pPr>
            <w:r>
              <w:rPr>
                <w:rFonts w:ascii="Arial" w:hAnsi="Arial"/>
                <w:sz w:val="20"/>
              </w:rPr>
              <w:t>2021</w:t>
            </w:r>
          </w:p>
        </w:tc>
        <w:tc>
          <w:tcPr>
            <w:tcW w:w="568" w:type="pct"/>
            <w:shd w:val="clear" w:color="auto" w:fill="D9D9D9" w:themeFill="background1" w:themeFillShade="D9"/>
          </w:tcPr>
          <w:p w14:paraId="1C6EC4F2" w14:textId="24072DD2" w:rsidR="007A2C04" w:rsidRPr="003A0CA1" w:rsidRDefault="007A2C04" w:rsidP="007D01BD">
            <w:pPr>
              <w:spacing w:after="0" w:line="260" w:lineRule="atLeast"/>
              <w:jc w:val="both"/>
              <w:rPr>
                <w:rFonts w:ascii="Arial" w:hAnsi="Arial" w:cs="Arial"/>
                <w:sz w:val="20"/>
                <w:szCs w:val="20"/>
              </w:rPr>
            </w:pPr>
            <w:r>
              <w:rPr>
                <w:rFonts w:ascii="Arial" w:hAnsi="Arial"/>
                <w:sz w:val="20"/>
              </w:rPr>
              <w:t>2022</w:t>
            </w:r>
          </w:p>
        </w:tc>
        <w:tc>
          <w:tcPr>
            <w:tcW w:w="616" w:type="pct"/>
            <w:shd w:val="clear" w:color="auto" w:fill="D9D9D9" w:themeFill="background1" w:themeFillShade="D9"/>
          </w:tcPr>
          <w:p w14:paraId="60863295" w14:textId="427587C3" w:rsidR="007A2C04" w:rsidRPr="003A0CA1" w:rsidRDefault="007A2C04" w:rsidP="007D01BD">
            <w:pPr>
              <w:spacing w:after="0" w:line="260" w:lineRule="atLeast"/>
              <w:jc w:val="both"/>
              <w:rPr>
                <w:rFonts w:ascii="Arial" w:hAnsi="Arial" w:cs="Arial"/>
                <w:sz w:val="20"/>
                <w:szCs w:val="20"/>
              </w:rPr>
            </w:pPr>
            <w:r>
              <w:rPr>
                <w:rFonts w:ascii="Arial" w:hAnsi="Arial"/>
                <w:sz w:val="20"/>
              </w:rPr>
              <w:t>2023</w:t>
            </w:r>
          </w:p>
        </w:tc>
        <w:tc>
          <w:tcPr>
            <w:tcW w:w="663" w:type="pct"/>
            <w:shd w:val="clear" w:color="auto" w:fill="D9D9D9" w:themeFill="background1" w:themeFillShade="D9"/>
          </w:tcPr>
          <w:p w14:paraId="174F6096" w14:textId="31E61FB4" w:rsidR="007A2C04" w:rsidRPr="003A0CA1" w:rsidRDefault="007A2C04" w:rsidP="007D01BD">
            <w:pPr>
              <w:spacing w:after="0" w:line="260" w:lineRule="atLeast"/>
              <w:jc w:val="both"/>
              <w:rPr>
                <w:rFonts w:ascii="Arial" w:hAnsi="Arial" w:cs="Arial"/>
                <w:sz w:val="20"/>
                <w:szCs w:val="20"/>
              </w:rPr>
            </w:pPr>
            <w:r>
              <w:rPr>
                <w:rFonts w:ascii="Arial" w:hAnsi="Arial"/>
                <w:sz w:val="20"/>
              </w:rPr>
              <w:t>2024</w:t>
            </w:r>
          </w:p>
        </w:tc>
        <w:tc>
          <w:tcPr>
            <w:tcW w:w="664" w:type="pct"/>
            <w:shd w:val="clear" w:color="auto" w:fill="D9D9D9" w:themeFill="background1" w:themeFillShade="D9"/>
          </w:tcPr>
          <w:p w14:paraId="5B3927E4" w14:textId="645B0A64" w:rsidR="007A2C04" w:rsidRPr="003A0CA1" w:rsidRDefault="007A2C04" w:rsidP="007D01BD">
            <w:pPr>
              <w:spacing w:after="0" w:line="260" w:lineRule="atLeast"/>
              <w:jc w:val="both"/>
              <w:rPr>
                <w:rFonts w:ascii="Arial" w:hAnsi="Arial" w:cs="Arial"/>
                <w:sz w:val="20"/>
                <w:szCs w:val="20"/>
              </w:rPr>
            </w:pPr>
            <w:r>
              <w:rPr>
                <w:rFonts w:ascii="Arial" w:hAnsi="Arial"/>
                <w:sz w:val="20"/>
              </w:rPr>
              <w:t>2025</w:t>
            </w:r>
          </w:p>
        </w:tc>
        <w:tc>
          <w:tcPr>
            <w:tcW w:w="520" w:type="pct"/>
            <w:shd w:val="clear" w:color="auto" w:fill="D9D9D9" w:themeFill="background1" w:themeFillShade="D9"/>
          </w:tcPr>
          <w:p w14:paraId="3ABC4805" w14:textId="13AA7B8B" w:rsidR="007A2C04" w:rsidRPr="003A0CA1" w:rsidRDefault="007A2C04" w:rsidP="007D01BD">
            <w:pPr>
              <w:spacing w:after="0" w:line="260" w:lineRule="atLeast"/>
              <w:jc w:val="both"/>
              <w:rPr>
                <w:rFonts w:ascii="Arial" w:hAnsi="Arial" w:cs="Arial"/>
                <w:sz w:val="20"/>
                <w:szCs w:val="20"/>
              </w:rPr>
            </w:pPr>
            <w:r>
              <w:rPr>
                <w:rFonts w:ascii="Arial" w:hAnsi="Arial"/>
                <w:sz w:val="20"/>
              </w:rPr>
              <w:t>2026</w:t>
            </w:r>
          </w:p>
        </w:tc>
        <w:tc>
          <w:tcPr>
            <w:tcW w:w="663" w:type="pct"/>
            <w:shd w:val="clear" w:color="auto" w:fill="D9D9D9" w:themeFill="background1" w:themeFillShade="D9"/>
          </w:tcPr>
          <w:p w14:paraId="6423BAC3" w14:textId="0E52357A" w:rsidR="007A2C04" w:rsidRPr="003A0CA1" w:rsidRDefault="007A2C04" w:rsidP="007D01BD">
            <w:pPr>
              <w:spacing w:after="0" w:line="260" w:lineRule="atLeast"/>
              <w:jc w:val="both"/>
              <w:rPr>
                <w:rFonts w:ascii="Arial" w:hAnsi="Arial" w:cs="Arial"/>
                <w:sz w:val="20"/>
                <w:szCs w:val="20"/>
              </w:rPr>
            </w:pPr>
            <w:r>
              <w:rPr>
                <w:rFonts w:ascii="Arial" w:hAnsi="Arial"/>
                <w:sz w:val="20"/>
              </w:rPr>
              <w:t>2027</w:t>
            </w:r>
          </w:p>
        </w:tc>
      </w:tr>
      <w:tr w:rsidR="000E3476" w:rsidRPr="003A0CA1" w14:paraId="2589B894" w14:textId="77777777" w:rsidTr="00E33D0C">
        <w:tc>
          <w:tcPr>
            <w:tcW w:w="738" w:type="pct"/>
            <w:shd w:val="clear" w:color="auto" w:fill="D9D9D9" w:themeFill="background1" w:themeFillShade="D9"/>
          </w:tcPr>
          <w:p w14:paraId="2BA29AE8" w14:textId="77777777" w:rsidR="000E3476" w:rsidRPr="003A0CA1" w:rsidRDefault="000E3476" w:rsidP="000E3476">
            <w:pPr>
              <w:spacing w:after="0" w:line="260" w:lineRule="atLeast"/>
              <w:jc w:val="both"/>
              <w:rPr>
                <w:rFonts w:ascii="Arial" w:hAnsi="Arial" w:cs="Arial"/>
                <w:b/>
                <w:sz w:val="20"/>
                <w:szCs w:val="20"/>
              </w:rPr>
            </w:pPr>
            <w:r>
              <w:rPr>
                <w:rFonts w:ascii="Arial" w:hAnsi="Arial"/>
                <w:b/>
                <w:sz w:val="20"/>
              </w:rPr>
              <w:t>Kostot (në euro) të:</w:t>
            </w:r>
          </w:p>
        </w:tc>
        <w:tc>
          <w:tcPr>
            <w:tcW w:w="568" w:type="pct"/>
            <w:shd w:val="clear" w:color="auto" w:fill="auto"/>
            <w:vAlign w:val="center"/>
          </w:tcPr>
          <w:p w14:paraId="5BFFC343" w14:textId="3FECBB74" w:rsidR="000E3476" w:rsidRPr="003A0CA1" w:rsidRDefault="000E3476" w:rsidP="000E3476">
            <w:pPr>
              <w:spacing w:after="0" w:line="260" w:lineRule="atLeast"/>
              <w:jc w:val="both"/>
              <w:rPr>
                <w:rFonts w:ascii="Arial" w:hAnsi="Arial" w:cs="Arial"/>
                <w:b/>
                <w:sz w:val="20"/>
                <w:szCs w:val="20"/>
                <w:lang w:val="en-GB"/>
              </w:rPr>
            </w:pPr>
          </w:p>
        </w:tc>
        <w:tc>
          <w:tcPr>
            <w:tcW w:w="568" w:type="pct"/>
            <w:shd w:val="clear" w:color="auto" w:fill="auto"/>
            <w:vAlign w:val="center"/>
          </w:tcPr>
          <w:p w14:paraId="7DF2B9AD" w14:textId="483EBCD3" w:rsidR="000E3476" w:rsidRPr="003A0CA1" w:rsidRDefault="000E3476" w:rsidP="000E3476">
            <w:pPr>
              <w:spacing w:after="0" w:line="260" w:lineRule="atLeast"/>
              <w:jc w:val="both"/>
              <w:rPr>
                <w:rFonts w:ascii="Arial" w:hAnsi="Arial" w:cs="Arial"/>
                <w:b/>
                <w:sz w:val="20"/>
                <w:szCs w:val="20"/>
                <w:lang w:val="en-GB"/>
              </w:rPr>
            </w:pPr>
          </w:p>
        </w:tc>
        <w:tc>
          <w:tcPr>
            <w:tcW w:w="616" w:type="pct"/>
            <w:shd w:val="clear" w:color="auto" w:fill="auto"/>
            <w:vAlign w:val="center"/>
          </w:tcPr>
          <w:p w14:paraId="63CA27F8" w14:textId="65FA2BE4" w:rsidR="000E3476" w:rsidRPr="008767D3" w:rsidRDefault="000E3476" w:rsidP="000E3476">
            <w:pPr>
              <w:spacing w:after="0" w:line="260" w:lineRule="atLeast"/>
              <w:jc w:val="both"/>
              <w:rPr>
                <w:rFonts w:ascii="Arial" w:hAnsi="Arial" w:cs="Arial"/>
                <w:sz w:val="20"/>
                <w:szCs w:val="20"/>
              </w:rPr>
            </w:pPr>
            <w:r w:rsidRPr="008767D3">
              <w:rPr>
                <w:rFonts w:ascii="Arial" w:hAnsi="Arial"/>
                <w:sz w:val="20"/>
              </w:rPr>
              <w:t>1,120,000</w:t>
            </w:r>
          </w:p>
        </w:tc>
        <w:tc>
          <w:tcPr>
            <w:tcW w:w="663" w:type="pct"/>
            <w:shd w:val="clear" w:color="auto" w:fill="auto"/>
            <w:vAlign w:val="center"/>
          </w:tcPr>
          <w:p w14:paraId="5D6C3453" w14:textId="3011EA4B" w:rsidR="000E3476" w:rsidRPr="008767D3" w:rsidRDefault="000E3476" w:rsidP="000E3476">
            <w:pPr>
              <w:spacing w:after="0" w:line="260" w:lineRule="atLeast"/>
              <w:jc w:val="both"/>
              <w:rPr>
                <w:rFonts w:ascii="Arial" w:hAnsi="Arial" w:cs="Arial"/>
                <w:sz w:val="20"/>
                <w:szCs w:val="20"/>
              </w:rPr>
            </w:pPr>
            <w:r w:rsidRPr="008767D3">
              <w:rPr>
                <w:rFonts w:ascii="Arial" w:hAnsi="Arial"/>
                <w:sz w:val="20"/>
              </w:rPr>
              <w:t>4,800,000</w:t>
            </w:r>
          </w:p>
        </w:tc>
        <w:tc>
          <w:tcPr>
            <w:tcW w:w="664" w:type="pct"/>
            <w:shd w:val="clear" w:color="auto" w:fill="auto"/>
            <w:vAlign w:val="center"/>
          </w:tcPr>
          <w:p w14:paraId="1B204F30" w14:textId="3A560F6C" w:rsidR="000E3476" w:rsidRPr="003A0CA1" w:rsidRDefault="000E3476" w:rsidP="000E3476">
            <w:pPr>
              <w:spacing w:after="0" w:line="260" w:lineRule="atLeast"/>
              <w:jc w:val="both"/>
              <w:rPr>
                <w:rFonts w:ascii="Arial" w:hAnsi="Arial" w:cs="Arial"/>
                <w:b/>
                <w:sz w:val="20"/>
                <w:szCs w:val="20"/>
              </w:rPr>
            </w:pPr>
            <w:r>
              <w:rPr>
                <w:rFonts w:ascii="Arial" w:hAnsi="Arial"/>
                <w:sz w:val="20"/>
              </w:rPr>
              <w:t>4,800,000</w:t>
            </w:r>
          </w:p>
        </w:tc>
        <w:tc>
          <w:tcPr>
            <w:tcW w:w="520" w:type="pct"/>
            <w:shd w:val="clear" w:color="auto" w:fill="auto"/>
            <w:vAlign w:val="center"/>
          </w:tcPr>
          <w:p w14:paraId="418AA1A7" w14:textId="47E22140" w:rsidR="000E3476" w:rsidRPr="003A0CA1" w:rsidRDefault="000E3476" w:rsidP="000E3476">
            <w:pPr>
              <w:spacing w:after="0" w:line="260" w:lineRule="atLeast"/>
              <w:jc w:val="both"/>
              <w:rPr>
                <w:rFonts w:ascii="Arial" w:hAnsi="Arial" w:cs="Arial"/>
                <w:b/>
                <w:sz w:val="20"/>
                <w:szCs w:val="20"/>
              </w:rPr>
            </w:pPr>
            <w:r>
              <w:rPr>
                <w:rFonts w:ascii="Arial" w:hAnsi="Arial"/>
                <w:sz w:val="20"/>
              </w:rPr>
              <w:t>4,800,000</w:t>
            </w:r>
          </w:p>
        </w:tc>
        <w:tc>
          <w:tcPr>
            <w:tcW w:w="663" w:type="pct"/>
            <w:shd w:val="clear" w:color="auto" w:fill="auto"/>
            <w:vAlign w:val="center"/>
          </w:tcPr>
          <w:p w14:paraId="7E686CDD" w14:textId="07F2743A" w:rsidR="000E3476" w:rsidRPr="003A0CA1" w:rsidRDefault="000E3476" w:rsidP="000E3476">
            <w:pPr>
              <w:spacing w:after="0" w:line="260" w:lineRule="atLeast"/>
              <w:jc w:val="both"/>
              <w:rPr>
                <w:rFonts w:ascii="Arial" w:hAnsi="Arial" w:cs="Arial"/>
                <w:b/>
                <w:sz w:val="20"/>
                <w:szCs w:val="20"/>
                <w:lang w:val="en-GB"/>
              </w:rPr>
            </w:pPr>
          </w:p>
        </w:tc>
      </w:tr>
      <w:tr w:rsidR="000E3476" w:rsidRPr="003A0CA1" w14:paraId="477AEB44" w14:textId="77777777" w:rsidTr="00E33D0C">
        <w:tc>
          <w:tcPr>
            <w:tcW w:w="738" w:type="pct"/>
            <w:shd w:val="clear" w:color="auto" w:fill="D9D9D9" w:themeFill="background1" w:themeFillShade="D9"/>
          </w:tcPr>
          <w:p w14:paraId="2F7AD45E" w14:textId="77777777" w:rsidR="000E3476" w:rsidRPr="003A0CA1" w:rsidRDefault="000E3476" w:rsidP="000E3476">
            <w:pPr>
              <w:spacing w:after="0" w:line="260" w:lineRule="atLeast"/>
              <w:jc w:val="both"/>
              <w:rPr>
                <w:rFonts w:ascii="Arial" w:hAnsi="Arial" w:cs="Arial"/>
                <w:sz w:val="20"/>
                <w:szCs w:val="20"/>
              </w:rPr>
            </w:pPr>
            <w:r>
              <w:rPr>
                <w:rFonts w:ascii="Arial" w:hAnsi="Arial"/>
                <w:sz w:val="20"/>
              </w:rPr>
              <w:t>Përgatitja e projektit (TA)</w:t>
            </w:r>
          </w:p>
        </w:tc>
        <w:tc>
          <w:tcPr>
            <w:tcW w:w="568" w:type="pct"/>
            <w:shd w:val="clear" w:color="auto" w:fill="auto"/>
            <w:vAlign w:val="center"/>
          </w:tcPr>
          <w:p w14:paraId="644EB336" w14:textId="645E0DD6" w:rsidR="000E3476" w:rsidRPr="003A0CA1" w:rsidRDefault="000E3476" w:rsidP="000E3476">
            <w:pPr>
              <w:spacing w:after="0" w:line="260" w:lineRule="atLeast"/>
              <w:jc w:val="both"/>
              <w:rPr>
                <w:rFonts w:ascii="Arial" w:hAnsi="Arial" w:cs="Arial"/>
                <w:sz w:val="20"/>
                <w:szCs w:val="20"/>
                <w:lang w:val="en-GB"/>
              </w:rPr>
            </w:pPr>
          </w:p>
        </w:tc>
        <w:tc>
          <w:tcPr>
            <w:tcW w:w="568" w:type="pct"/>
            <w:shd w:val="clear" w:color="auto" w:fill="auto"/>
            <w:vAlign w:val="center"/>
          </w:tcPr>
          <w:p w14:paraId="3A3E07E4" w14:textId="29B27D3F" w:rsidR="000E3476" w:rsidRPr="003A0CA1" w:rsidRDefault="000E3476" w:rsidP="000E3476">
            <w:pPr>
              <w:spacing w:after="0" w:line="260" w:lineRule="atLeast"/>
              <w:jc w:val="both"/>
              <w:rPr>
                <w:rFonts w:ascii="Arial" w:hAnsi="Arial" w:cs="Arial"/>
                <w:sz w:val="20"/>
                <w:szCs w:val="20"/>
                <w:lang w:val="en-GB"/>
              </w:rPr>
            </w:pPr>
          </w:p>
        </w:tc>
        <w:tc>
          <w:tcPr>
            <w:tcW w:w="616" w:type="pct"/>
            <w:shd w:val="clear" w:color="auto" w:fill="auto"/>
            <w:vAlign w:val="center"/>
          </w:tcPr>
          <w:p w14:paraId="78C19788" w14:textId="3812E6A6" w:rsidR="000E3476" w:rsidRPr="003A0CA1" w:rsidRDefault="000E3476" w:rsidP="000E3476">
            <w:pPr>
              <w:spacing w:after="0" w:line="260" w:lineRule="atLeast"/>
              <w:jc w:val="both"/>
              <w:rPr>
                <w:rFonts w:ascii="Arial" w:hAnsi="Arial" w:cs="Arial"/>
                <w:sz w:val="20"/>
                <w:szCs w:val="20"/>
              </w:rPr>
            </w:pPr>
            <w:r>
              <w:rPr>
                <w:rFonts w:ascii="Arial" w:hAnsi="Arial"/>
                <w:sz w:val="20"/>
              </w:rPr>
              <w:t>1,120,000</w:t>
            </w:r>
          </w:p>
        </w:tc>
        <w:tc>
          <w:tcPr>
            <w:tcW w:w="663" w:type="pct"/>
            <w:shd w:val="clear" w:color="auto" w:fill="auto"/>
            <w:vAlign w:val="center"/>
          </w:tcPr>
          <w:p w14:paraId="35DF3737" w14:textId="493BCB72" w:rsidR="000E3476" w:rsidRPr="003A0CA1" w:rsidRDefault="000E3476" w:rsidP="000E3476">
            <w:pPr>
              <w:spacing w:after="0" w:line="260" w:lineRule="atLeast"/>
              <w:jc w:val="both"/>
              <w:rPr>
                <w:rFonts w:ascii="Arial" w:hAnsi="Arial" w:cs="Arial"/>
                <w:sz w:val="20"/>
                <w:szCs w:val="20"/>
                <w:lang w:val="en-GB"/>
              </w:rPr>
            </w:pPr>
          </w:p>
        </w:tc>
        <w:tc>
          <w:tcPr>
            <w:tcW w:w="664" w:type="pct"/>
            <w:shd w:val="clear" w:color="auto" w:fill="auto"/>
            <w:vAlign w:val="center"/>
          </w:tcPr>
          <w:p w14:paraId="4F5607BB" w14:textId="505CFA34" w:rsidR="000E3476" w:rsidRPr="003A0CA1" w:rsidRDefault="000E3476" w:rsidP="000E3476">
            <w:pPr>
              <w:spacing w:after="0" w:line="260" w:lineRule="atLeast"/>
              <w:jc w:val="both"/>
              <w:rPr>
                <w:rFonts w:ascii="Arial" w:hAnsi="Arial" w:cs="Arial"/>
                <w:sz w:val="20"/>
                <w:szCs w:val="20"/>
                <w:lang w:val="en-GB"/>
              </w:rPr>
            </w:pPr>
          </w:p>
        </w:tc>
        <w:tc>
          <w:tcPr>
            <w:tcW w:w="520" w:type="pct"/>
            <w:shd w:val="clear" w:color="auto" w:fill="auto"/>
            <w:vAlign w:val="center"/>
          </w:tcPr>
          <w:p w14:paraId="3273671A" w14:textId="68D9E7DB" w:rsidR="000E3476" w:rsidRPr="003A0CA1" w:rsidRDefault="000E3476" w:rsidP="000E3476">
            <w:pPr>
              <w:spacing w:after="0" w:line="260" w:lineRule="atLeast"/>
              <w:jc w:val="both"/>
              <w:rPr>
                <w:rFonts w:ascii="Arial" w:hAnsi="Arial" w:cs="Arial"/>
                <w:sz w:val="20"/>
                <w:szCs w:val="20"/>
                <w:lang w:val="en-GB"/>
              </w:rPr>
            </w:pPr>
          </w:p>
        </w:tc>
        <w:tc>
          <w:tcPr>
            <w:tcW w:w="663" w:type="pct"/>
            <w:shd w:val="clear" w:color="auto" w:fill="auto"/>
            <w:vAlign w:val="center"/>
          </w:tcPr>
          <w:p w14:paraId="104725F1" w14:textId="09D532EC" w:rsidR="000E3476" w:rsidRPr="003A0CA1" w:rsidRDefault="000E3476" w:rsidP="000E3476">
            <w:pPr>
              <w:spacing w:after="0" w:line="260" w:lineRule="atLeast"/>
              <w:jc w:val="both"/>
              <w:rPr>
                <w:rFonts w:ascii="Arial" w:hAnsi="Arial" w:cs="Arial"/>
                <w:sz w:val="20"/>
                <w:szCs w:val="20"/>
                <w:lang w:val="en-GB"/>
              </w:rPr>
            </w:pPr>
          </w:p>
        </w:tc>
      </w:tr>
      <w:tr w:rsidR="000E3476" w:rsidRPr="003A0CA1" w14:paraId="4E6D61DA" w14:textId="77777777" w:rsidTr="00E33D0C">
        <w:tc>
          <w:tcPr>
            <w:tcW w:w="738" w:type="pct"/>
            <w:shd w:val="clear" w:color="auto" w:fill="D9D9D9" w:themeFill="background1" w:themeFillShade="D9"/>
          </w:tcPr>
          <w:p w14:paraId="51A067E5" w14:textId="77777777" w:rsidR="000E3476" w:rsidRPr="003A0CA1" w:rsidRDefault="000E3476" w:rsidP="000E3476">
            <w:pPr>
              <w:spacing w:after="0" w:line="260" w:lineRule="atLeast"/>
              <w:jc w:val="both"/>
              <w:rPr>
                <w:rFonts w:ascii="Arial" w:hAnsi="Arial" w:cs="Arial"/>
                <w:sz w:val="20"/>
                <w:szCs w:val="20"/>
              </w:rPr>
            </w:pPr>
            <w:r>
              <w:rPr>
                <w:rFonts w:ascii="Arial" w:hAnsi="Arial"/>
                <w:sz w:val="20"/>
              </w:rPr>
              <w:t xml:space="preserve">Investimi </w:t>
            </w:r>
          </w:p>
        </w:tc>
        <w:tc>
          <w:tcPr>
            <w:tcW w:w="568" w:type="pct"/>
            <w:shd w:val="clear" w:color="auto" w:fill="auto"/>
            <w:vAlign w:val="center"/>
          </w:tcPr>
          <w:p w14:paraId="79C5FEDA" w14:textId="7E7EFC12" w:rsidR="000E3476" w:rsidRPr="003A0CA1" w:rsidRDefault="000E3476" w:rsidP="000E3476">
            <w:pPr>
              <w:spacing w:after="0" w:line="260" w:lineRule="atLeast"/>
              <w:jc w:val="both"/>
              <w:rPr>
                <w:rFonts w:ascii="Arial" w:hAnsi="Arial" w:cs="Arial"/>
                <w:sz w:val="20"/>
                <w:szCs w:val="20"/>
                <w:lang w:val="en-GB"/>
              </w:rPr>
            </w:pPr>
          </w:p>
        </w:tc>
        <w:tc>
          <w:tcPr>
            <w:tcW w:w="568" w:type="pct"/>
            <w:shd w:val="clear" w:color="auto" w:fill="auto"/>
            <w:vAlign w:val="center"/>
          </w:tcPr>
          <w:p w14:paraId="3BCEE410" w14:textId="24AFEE39" w:rsidR="000E3476" w:rsidRPr="003A0CA1" w:rsidRDefault="000E3476" w:rsidP="000E3476">
            <w:pPr>
              <w:spacing w:after="0" w:line="260" w:lineRule="atLeast"/>
              <w:jc w:val="both"/>
              <w:rPr>
                <w:rFonts w:ascii="Arial" w:hAnsi="Arial" w:cs="Arial"/>
                <w:sz w:val="20"/>
                <w:szCs w:val="20"/>
                <w:lang w:val="en-GB"/>
              </w:rPr>
            </w:pPr>
          </w:p>
        </w:tc>
        <w:tc>
          <w:tcPr>
            <w:tcW w:w="616" w:type="pct"/>
            <w:shd w:val="clear" w:color="auto" w:fill="auto"/>
            <w:vAlign w:val="center"/>
          </w:tcPr>
          <w:p w14:paraId="0B0FFED3" w14:textId="0013C75C" w:rsidR="000E3476" w:rsidRPr="003A0CA1" w:rsidRDefault="000E3476" w:rsidP="000E3476">
            <w:pPr>
              <w:spacing w:after="0" w:line="260" w:lineRule="atLeast"/>
              <w:jc w:val="both"/>
              <w:rPr>
                <w:rFonts w:ascii="Arial" w:hAnsi="Arial" w:cs="Arial"/>
                <w:sz w:val="20"/>
                <w:szCs w:val="20"/>
                <w:lang w:val="en-GB"/>
              </w:rPr>
            </w:pPr>
          </w:p>
        </w:tc>
        <w:tc>
          <w:tcPr>
            <w:tcW w:w="663" w:type="pct"/>
            <w:shd w:val="clear" w:color="auto" w:fill="auto"/>
            <w:vAlign w:val="center"/>
          </w:tcPr>
          <w:p w14:paraId="7FAFA34A" w14:textId="13F4C880" w:rsidR="000E3476" w:rsidRPr="003A0CA1" w:rsidRDefault="000E3476" w:rsidP="000E3476">
            <w:pPr>
              <w:spacing w:after="0" w:line="260" w:lineRule="atLeast"/>
              <w:jc w:val="both"/>
              <w:rPr>
                <w:rFonts w:ascii="Arial" w:hAnsi="Arial" w:cs="Arial"/>
                <w:sz w:val="20"/>
                <w:szCs w:val="20"/>
              </w:rPr>
            </w:pPr>
            <w:r>
              <w:rPr>
                <w:rFonts w:ascii="Arial" w:hAnsi="Arial"/>
                <w:sz w:val="20"/>
              </w:rPr>
              <w:t>4,800,000</w:t>
            </w:r>
          </w:p>
        </w:tc>
        <w:tc>
          <w:tcPr>
            <w:tcW w:w="664" w:type="pct"/>
            <w:shd w:val="clear" w:color="auto" w:fill="auto"/>
            <w:vAlign w:val="center"/>
          </w:tcPr>
          <w:p w14:paraId="10184865" w14:textId="48D76633" w:rsidR="000E3476" w:rsidRPr="003A0CA1" w:rsidRDefault="000E3476" w:rsidP="000E3476">
            <w:pPr>
              <w:spacing w:after="0" w:line="260" w:lineRule="atLeast"/>
              <w:jc w:val="both"/>
              <w:rPr>
                <w:rFonts w:ascii="Arial" w:hAnsi="Arial" w:cs="Arial"/>
                <w:sz w:val="20"/>
                <w:szCs w:val="20"/>
              </w:rPr>
            </w:pPr>
            <w:r>
              <w:rPr>
                <w:rFonts w:ascii="Arial" w:hAnsi="Arial"/>
                <w:sz w:val="20"/>
              </w:rPr>
              <w:t>4,800,000</w:t>
            </w:r>
          </w:p>
        </w:tc>
        <w:tc>
          <w:tcPr>
            <w:tcW w:w="520" w:type="pct"/>
            <w:shd w:val="clear" w:color="auto" w:fill="auto"/>
            <w:vAlign w:val="center"/>
          </w:tcPr>
          <w:p w14:paraId="0E9DFD92" w14:textId="1108350F" w:rsidR="000E3476" w:rsidRPr="003A0CA1" w:rsidRDefault="000E3476" w:rsidP="000E3476">
            <w:pPr>
              <w:spacing w:after="0" w:line="260" w:lineRule="atLeast"/>
              <w:jc w:val="both"/>
              <w:rPr>
                <w:rFonts w:ascii="Arial" w:hAnsi="Arial" w:cs="Arial"/>
                <w:sz w:val="20"/>
                <w:szCs w:val="20"/>
              </w:rPr>
            </w:pPr>
            <w:r>
              <w:rPr>
                <w:rFonts w:ascii="Arial" w:hAnsi="Arial"/>
                <w:sz w:val="20"/>
              </w:rPr>
              <w:t>4,800,000</w:t>
            </w:r>
          </w:p>
        </w:tc>
        <w:tc>
          <w:tcPr>
            <w:tcW w:w="663" w:type="pct"/>
            <w:shd w:val="clear" w:color="auto" w:fill="auto"/>
            <w:vAlign w:val="center"/>
          </w:tcPr>
          <w:p w14:paraId="5E158A53" w14:textId="02F967A1" w:rsidR="000E3476" w:rsidRPr="003A0CA1" w:rsidRDefault="000E3476" w:rsidP="000E3476">
            <w:pPr>
              <w:spacing w:after="0" w:line="260" w:lineRule="atLeast"/>
              <w:jc w:val="both"/>
              <w:rPr>
                <w:rFonts w:ascii="Arial" w:hAnsi="Arial" w:cs="Arial"/>
                <w:sz w:val="20"/>
                <w:szCs w:val="20"/>
                <w:lang w:val="en-GB"/>
              </w:rPr>
            </w:pPr>
          </w:p>
        </w:tc>
      </w:tr>
    </w:tbl>
    <w:p w14:paraId="28730123" w14:textId="5EFF5CD3" w:rsidR="00E33D0C" w:rsidRPr="003A0CA1" w:rsidRDefault="00E33D0C" w:rsidP="007D01BD">
      <w:pPr>
        <w:spacing w:before="200" w:after="120" w:line="240" w:lineRule="auto"/>
        <w:jc w:val="both"/>
        <w:rPr>
          <w:rFonts w:ascii="Arial" w:hAnsi="Arial" w:cs="Arial"/>
          <w:b/>
          <w:sz w:val="20"/>
          <w:szCs w:val="20"/>
          <w:lang w:val="en-GB"/>
        </w:rPr>
      </w:pPr>
    </w:p>
    <w:p w14:paraId="6F77A914" w14:textId="77777777" w:rsidR="00337F92" w:rsidRPr="003A0CA1" w:rsidRDefault="00337F92" w:rsidP="007D01BD">
      <w:pPr>
        <w:pStyle w:val="ListParagraph"/>
        <w:numPr>
          <w:ilvl w:val="0"/>
          <w:numId w:val="2"/>
        </w:numPr>
        <w:spacing w:after="120"/>
        <w:jc w:val="both"/>
        <w:rPr>
          <w:rFonts w:ascii="Arial" w:hAnsi="Arial" w:cs="Arial"/>
          <w:b/>
          <w:sz w:val="20"/>
          <w:szCs w:val="20"/>
        </w:rPr>
      </w:pPr>
      <w:r>
        <w:rPr>
          <w:rFonts w:ascii="Arial" w:hAnsi="Arial"/>
          <w:b/>
          <w:sz w:val="20"/>
        </w:rPr>
        <w:t>ASPEKTE TË TJERA</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820"/>
        <w:gridCol w:w="5530"/>
      </w:tblGrid>
      <w:tr w:rsidR="00337F92" w:rsidRPr="003A0CA1" w14:paraId="29DBAD34" w14:textId="77777777" w:rsidTr="00FB2373">
        <w:trPr>
          <w:trHeight w:val="1133"/>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5C9E4E70" w14:textId="77777777" w:rsidR="00337F92" w:rsidRPr="003A0CA1" w:rsidRDefault="00337F92" w:rsidP="007D01BD">
            <w:pPr>
              <w:spacing w:before="60" w:after="60" w:line="260" w:lineRule="atLeast"/>
              <w:jc w:val="both"/>
              <w:rPr>
                <w:rFonts w:ascii="Arial" w:hAnsi="Arial" w:cs="Arial"/>
                <w:sz w:val="20"/>
                <w:szCs w:val="20"/>
              </w:rPr>
            </w:pPr>
            <w:r>
              <w:rPr>
                <w:rFonts w:ascii="Arial" w:hAnsi="Arial"/>
                <w:sz w:val="20"/>
              </w:rPr>
              <w:t>A janë konsultuar IFN-të ose donatorë të tjerë për projektin? Kur? Cili ishte gjykimi i tyre?</w:t>
            </w:r>
          </w:p>
        </w:tc>
        <w:tc>
          <w:tcPr>
            <w:tcW w:w="2957" w:type="pct"/>
            <w:tcBorders>
              <w:top w:val="single" w:sz="4" w:space="0" w:color="auto"/>
              <w:left w:val="single" w:sz="4" w:space="0" w:color="auto"/>
              <w:bottom w:val="single" w:sz="4" w:space="0" w:color="auto"/>
              <w:right w:val="single" w:sz="4" w:space="0" w:color="auto"/>
            </w:tcBorders>
            <w:vAlign w:val="center"/>
          </w:tcPr>
          <w:p w14:paraId="10871920" w14:textId="607A0505" w:rsidR="00337F92" w:rsidRPr="00FB2373" w:rsidRDefault="00FB2373" w:rsidP="00FB2373">
            <w:r>
              <w:rPr>
                <w:rFonts w:ascii="Arial" w:hAnsi="Arial"/>
                <w:sz w:val="20"/>
              </w:rPr>
              <w:t>Një takim konsultimi me donatorët u zhvillua më 23 janar 2024, ku IFN-të dhe donatorët e tjerë u ftuan të merrnin pjesë në një diskutim të përgjithshëm mbi projektet në sektorin e Mjedisit SPP përpara validimit dhe miratimit të tij.</w:t>
            </w:r>
          </w:p>
        </w:tc>
      </w:tr>
      <w:tr w:rsidR="00337F92" w:rsidRPr="003A0CA1" w14:paraId="4D766409" w14:textId="77777777" w:rsidTr="006B495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6B906FCA" w14:textId="6C292ABE" w:rsidR="00337F92" w:rsidRPr="003A0CA1" w:rsidRDefault="00337F92" w:rsidP="007D01BD">
            <w:pPr>
              <w:spacing w:before="60" w:after="60" w:line="260" w:lineRule="atLeast"/>
              <w:jc w:val="both"/>
              <w:rPr>
                <w:rFonts w:ascii="Arial" w:hAnsi="Arial" w:cs="Arial"/>
                <w:sz w:val="20"/>
                <w:szCs w:val="20"/>
              </w:rPr>
            </w:pPr>
            <w:r>
              <w:rPr>
                <w:rFonts w:ascii="Arial" w:hAnsi="Arial"/>
                <w:sz w:val="20"/>
              </w:rPr>
              <w:t xml:space="preserve">Mbështetja ekzistuese </w:t>
            </w:r>
            <w:r w:rsidR="00642CF9">
              <w:rPr>
                <w:rFonts w:ascii="Arial" w:hAnsi="Arial"/>
                <w:sz w:val="20"/>
              </w:rPr>
              <w:t>e BE-së ose WBIF</w:t>
            </w:r>
            <w:r>
              <w:rPr>
                <w:rFonts w:ascii="Arial" w:hAnsi="Arial"/>
                <w:sz w:val="20"/>
              </w:rPr>
              <w:t xml:space="preserve"> (TA): shuma, qëllimi</w:t>
            </w:r>
          </w:p>
        </w:tc>
        <w:tc>
          <w:tcPr>
            <w:tcW w:w="2957" w:type="pct"/>
            <w:tcBorders>
              <w:top w:val="single" w:sz="4" w:space="0" w:color="auto"/>
              <w:left w:val="single" w:sz="4" w:space="0" w:color="auto"/>
              <w:bottom w:val="single" w:sz="4" w:space="0" w:color="auto"/>
              <w:right w:val="single" w:sz="4" w:space="0" w:color="auto"/>
            </w:tcBorders>
            <w:vAlign w:val="center"/>
          </w:tcPr>
          <w:p w14:paraId="1F1D98AA" w14:textId="681CC399" w:rsidR="00337F92" w:rsidRPr="003A0CA1" w:rsidRDefault="00E970E5" w:rsidP="007D01BD">
            <w:pPr>
              <w:spacing w:before="60" w:after="60" w:line="260" w:lineRule="atLeast"/>
              <w:jc w:val="both"/>
              <w:rPr>
                <w:rFonts w:ascii="Arial" w:hAnsi="Arial" w:cs="Arial"/>
                <w:sz w:val="20"/>
                <w:szCs w:val="20"/>
              </w:rPr>
            </w:pPr>
            <w:r>
              <w:rPr>
                <w:rFonts w:ascii="Arial" w:hAnsi="Arial"/>
                <w:sz w:val="20"/>
              </w:rPr>
              <w:t>Jo</w:t>
            </w:r>
          </w:p>
        </w:tc>
      </w:tr>
      <w:tr w:rsidR="00337F92" w:rsidRPr="003A0CA1" w14:paraId="64431287" w14:textId="77777777" w:rsidTr="006B4951">
        <w:trPr>
          <w:trHeight w:val="245"/>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51E8828A" w14:textId="77777777" w:rsidR="00337F92" w:rsidRPr="003A0CA1" w:rsidRDefault="00337F92" w:rsidP="007D01BD">
            <w:pPr>
              <w:spacing w:before="60" w:after="60" w:line="260" w:lineRule="atLeast"/>
              <w:jc w:val="both"/>
              <w:rPr>
                <w:rFonts w:ascii="Arial" w:hAnsi="Arial" w:cs="Arial"/>
                <w:sz w:val="20"/>
                <w:szCs w:val="20"/>
              </w:rPr>
            </w:pPr>
            <w:r>
              <w:rPr>
                <w:rFonts w:ascii="Arial" w:hAnsi="Arial"/>
                <w:sz w:val="20"/>
              </w:rPr>
              <w:t>A është konsultuar Ministria e Financave për projektin? Përshkruani reagimet.</w:t>
            </w:r>
          </w:p>
        </w:tc>
        <w:tc>
          <w:tcPr>
            <w:tcW w:w="2957" w:type="pct"/>
            <w:tcBorders>
              <w:top w:val="single" w:sz="4" w:space="0" w:color="auto"/>
              <w:left w:val="single" w:sz="4" w:space="0" w:color="auto"/>
              <w:bottom w:val="single" w:sz="4" w:space="0" w:color="auto"/>
              <w:right w:val="single" w:sz="4" w:space="0" w:color="auto"/>
            </w:tcBorders>
            <w:vAlign w:val="center"/>
          </w:tcPr>
          <w:p w14:paraId="5FE4B6BB" w14:textId="4DB274EC" w:rsidR="00337F92" w:rsidRPr="003A0CA1" w:rsidRDefault="00E970E5" w:rsidP="007D01BD">
            <w:pPr>
              <w:spacing w:before="60" w:after="60" w:line="260" w:lineRule="atLeast"/>
              <w:jc w:val="both"/>
              <w:rPr>
                <w:rFonts w:ascii="Arial" w:hAnsi="Arial" w:cs="Arial"/>
                <w:sz w:val="20"/>
                <w:szCs w:val="20"/>
              </w:rPr>
            </w:pPr>
            <w:r>
              <w:rPr>
                <w:rFonts w:ascii="Arial" w:hAnsi="Arial"/>
                <w:sz w:val="20"/>
              </w:rPr>
              <w:t>Jo</w:t>
            </w:r>
          </w:p>
        </w:tc>
      </w:tr>
      <w:tr w:rsidR="00337F92" w:rsidRPr="003A0CA1" w14:paraId="2583A8C9" w14:textId="77777777" w:rsidTr="006B495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7C2AA2C6" w14:textId="77777777" w:rsidR="00337F92" w:rsidRPr="003A0CA1" w:rsidRDefault="00337F92" w:rsidP="007D01BD">
            <w:pPr>
              <w:spacing w:before="60" w:after="60" w:line="260" w:lineRule="atLeast"/>
              <w:jc w:val="both"/>
              <w:rPr>
                <w:rFonts w:ascii="Arial" w:hAnsi="Arial" w:cs="Arial"/>
                <w:sz w:val="20"/>
                <w:szCs w:val="20"/>
              </w:rPr>
            </w:pPr>
            <w:r>
              <w:rPr>
                <w:rFonts w:ascii="Arial" w:hAnsi="Arial"/>
                <w:sz w:val="20"/>
              </w:rPr>
              <w:t>A gjeneron projekti të ardhura nga përdoruesit fundorë?</w:t>
            </w:r>
          </w:p>
        </w:tc>
        <w:tc>
          <w:tcPr>
            <w:tcW w:w="2957" w:type="pct"/>
            <w:tcBorders>
              <w:top w:val="single" w:sz="4" w:space="0" w:color="auto"/>
              <w:left w:val="single" w:sz="4" w:space="0" w:color="auto"/>
              <w:bottom w:val="single" w:sz="4" w:space="0" w:color="auto"/>
              <w:right w:val="single" w:sz="4" w:space="0" w:color="auto"/>
            </w:tcBorders>
            <w:vAlign w:val="center"/>
          </w:tcPr>
          <w:p w14:paraId="0AB38F0D" w14:textId="77777777" w:rsidR="00337F92" w:rsidRPr="003A0CA1" w:rsidRDefault="00337F92" w:rsidP="007D01BD">
            <w:pPr>
              <w:spacing w:before="60" w:after="60" w:line="260" w:lineRule="atLeast"/>
              <w:jc w:val="both"/>
              <w:rPr>
                <w:rFonts w:ascii="Arial" w:hAnsi="Arial" w:cs="Arial"/>
                <w:sz w:val="20"/>
                <w:szCs w:val="20"/>
              </w:rPr>
            </w:pPr>
            <w:r>
              <w:rPr>
                <w:rFonts w:ascii="Arial" w:hAnsi="Arial"/>
                <w:sz w:val="20"/>
              </w:rPr>
              <w:t>Po (sipas parimit ndotësi paguan).</w:t>
            </w:r>
          </w:p>
        </w:tc>
      </w:tr>
      <w:tr w:rsidR="00337F92" w:rsidRPr="003A0CA1" w14:paraId="38793BC6" w14:textId="77777777" w:rsidTr="006B4951">
        <w:trPr>
          <w:trHeight w:val="348"/>
          <w:jc w:val="center"/>
        </w:trPr>
        <w:tc>
          <w:tcPr>
            <w:tcW w:w="2043" w:type="pct"/>
            <w:tcBorders>
              <w:top w:val="single" w:sz="4" w:space="0" w:color="auto"/>
              <w:left w:val="single" w:sz="4" w:space="0" w:color="auto"/>
              <w:bottom w:val="single" w:sz="4" w:space="0" w:color="auto"/>
              <w:right w:val="single" w:sz="4" w:space="0" w:color="auto"/>
            </w:tcBorders>
            <w:shd w:val="clear" w:color="auto" w:fill="D9D9D9"/>
            <w:vAlign w:val="center"/>
          </w:tcPr>
          <w:p w14:paraId="46EEF04D" w14:textId="77777777" w:rsidR="00337F92" w:rsidRPr="003A0CA1" w:rsidRDefault="00337F92" w:rsidP="007D01BD">
            <w:pPr>
              <w:spacing w:before="60" w:after="60" w:line="260" w:lineRule="atLeast"/>
              <w:jc w:val="both"/>
              <w:rPr>
                <w:rFonts w:ascii="Arial" w:hAnsi="Arial" w:cs="Arial"/>
                <w:sz w:val="20"/>
                <w:szCs w:val="20"/>
              </w:rPr>
            </w:pPr>
            <w:r>
              <w:rPr>
                <w:rFonts w:ascii="Arial" w:hAnsi="Arial"/>
                <w:sz w:val="20"/>
              </w:rPr>
              <w:t>Përshkrimi i ekipit të projektit për zbatim</w:t>
            </w:r>
          </w:p>
        </w:tc>
        <w:tc>
          <w:tcPr>
            <w:tcW w:w="2957" w:type="pct"/>
            <w:tcBorders>
              <w:top w:val="single" w:sz="4" w:space="0" w:color="auto"/>
              <w:left w:val="single" w:sz="4" w:space="0" w:color="auto"/>
              <w:bottom w:val="single" w:sz="4" w:space="0" w:color="auto"/>
              <w:right w:val="single" w:sz="4" w:space="0" w:color="auto"/>
            </w:tcBorders>
            <w:vAlign w:val="center"/>
          </w:tcPr>
          <w:p w14:paraId="5785862C" w14:textId="2C3101E3" w:rsidR="00337F92" w:rsidRPr="003A0CA1" w:rsidRDefault="00337F92" w:rsidP="007D01BD">
            <w:pPr>
              <w:spacing w:before="60" w:after="60" w:line="260" w:lineRule="atLeast"/>
              <w:jc w:val="both"/>
              <w:rPr>
                <w:rFonts w:ascii="Arial" w:hAnsi="Arial" w:cs="Arial"/>
                <w:sz w:val="20"/>
                <w:szCs w:val="20"/>
              </w:rPr>
            </w:pPr>
            <w:r>
              <w:rPr>
                <w:rFonts w:ascii="Arial" w:hAnsi="Arial"/>
                <w:sz w:val="20"/>
              </w:rPr>
              <w:t>MMPHI dhe ME do të krijojnë një NjZP për këtë projekt.</w:t>
            </w:r>
          </w:p>
        </w:tc>
      </w:tr>
    </w:tbl>
    <w:p w14:paraId="70A45413" w14:textId="77777777" w:rsidR="00BA367E" w:rsidRPr="003A0CA1" w:rsidRDefault="00BA367E" w:rsidP="00506B25">
      <w:pPr>
        <w:rPr>
          <w:rFonts w:ascii="Arial" w:hAnsi="Arial" w:cs="Arial"/>
          <w:b/>
        </w:rPr>
      </w:pPr>
    </w:p>
    <w:p w14:paraId="1DF6E317" w14:textId="77777777" w:rsidR="00337F92" w:rsidRPr="003A0CA1" w:rsidRDefault="00337F92" w:rsidP="007D01BD">
      <w:pPr>
        <w:spacing w:after="0" w:line="240" w:lineRule="auto"/>
        <w:jc w:val="both"/>
        <w:rPr>
          <w:rFonts w:ascii="Arial" w:hAnsi="Arial" w:cs="Arial"/>
          <w:sz w:val="20"/>
          <w:szCs w:val="20"/>
          <w:lang w:val="en-GB"/>
        </w:rPr>
      </w:pPr>
    </w:p>
    <w:sectPr w:rsidR="00337F92" w:rsidRPr="003A0CA1" w:rsidSect="00DC520F">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25111B" w14:textId="77777777" w:rsidR="0081549E" w:rsidRDefault="0081549E" w:rsidP="00030676">
      <w:pPr>
        <w:spacing w:after="0" w:line="240" w:lineRule="auto"/>
      </w:pPr>
      <w:r>
        <w:separator/>
      </w:r>
    </w:p>
  </w:endnote>
  <w:endnote w:type="continuationSeparator" w:id="0">
    <w:p w14:paraId="14532E79" w14:textId="77777777" w:rsidR="0081549E" w:rsidRDefault="0081549E" w:rsidP="00030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umin Pro Semibold">
    <w:altName w:val="Calibri"/>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56390" w14:textId="77777777" w:rsidR="0081549E" w:rsidRDefault="0081549E" w:rsidP="00030676">
      <w:pPr>
        <w:spacing w:after="0" w:line="240" w:lineRule="auto"/>
      </w:pPr>
      <w:r>
        <w:separator/>
      </w:r>
    </w:p>
  </w:footnote>
  <w:footnote w:type="continuationSeparator" w:id="0">
    <w:p w14:paraId="039D856F" w14:textId="77777777" w:rsidR="0081549E" w:rsidRDefault="0081549E" w:rsidP="00030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49F2"/>
    <w:multiLevelType w:val="hybridMultilevel"/>
    <w:tmpl w:val="90CED5D2"/>
    <w:lvl w:ilvl="0" w:tplc="B9322CEA">
      <w:start w:val="2"/>
      <w:numFmt w:val="bullet"/>
      <w:lvlText w:val="-"/>
      <w:lvlJc w:val="left"/>
      <w:pPr>
        <w:ind w:left="450" w:hanging="360"/>
      </w:pPr>
      <w:rPr>
        <w:rFonts w:ascii="Arial" w:eastAsiaTheme="minorHAnsi" w:hAnsi="Arial" w:cs="Aria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1" w15:restartNumberingAfterBreak="0">
    <w:nsid w:val="0C4D09BC"/>
    <w:multiLevelType w:val="hybridMultilevel"/>
    <w:tmpl w:val="7B560B40"/>
    <w:lvl w:ilvl="0" w:tplc="B3AA0A18">
      <w:start w:val="2"/>
      <w:numFmt w:val="bullet"/>
      <w:lvlText w:val="-"/>
      <w:lvlJc w:val="left"/>
      <w:pPr>
        <w:ind w:left="360" w:hanging="360"/>
      </w:pPr>
      <w:rPr>
        <w:rFonts w:ascii="Arial" w:eastAsiaTheme="minorHAnsi" w:hAnsi="Arial" w:cs="Aria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 w15:restartNumberingAfterBreak="0">
    <w:nsid w:val="2D055A1A"/>
    <w:multiLevelType w:val="hybridMultilevel"/>
    <w:tmpl w:val="B7525860"/>
    <w:lvl w:ilvl="0" w:tplc="94D41A48">
      <w:start w:val="1"/>
      <w:numFmt w:val="decimal"/>
      <w:lvlText w:val="R%1."/>
      <w:lvlJc w:val="left"/>
      <w:pPr>
        <w:ind w:left="720" w:hanging="360"/>
      </w:pPr>
      <w:rPr>
        <w:rFonts w:ascii="Arial" w:hAnsi="Arial"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D97EBC"/>
    <w:multiLevelType w:val="hybridMultilevel"/>
    <w:tmpl w:val="9D3E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FE3FCC"/>
    <w:multiLevelType w:val="multilevel"/>
    <w:tmpl w:val="4C06E0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2CD6207"/>
    <w:multiLevelType w:val="hybridMultilevel"/>
    <w:tmpl w:val="26C0D990"/>
    <w:lvl w:ilvl="0" w:tplc="8E12C91A">
      <w:start w:val="1"/>
      <w:numFmt w:val="decimal"/>
      <w:lvlText w:val="%1."/>
      <w:lvlJc w:val="center"/>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927C31"/>
    <w:multiLevelType w:val="hybridMultilevel"/>
    <w:tmpl w:val="2E90B4BA"/>
    <w:lvl w:ilvl="0" w:tplc="0809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C12DB3"/>
    <w:multiLevelType w:val="hybridMultilevel"/>
    <w:tmpl w:val="BDD2CBB0"/>
    <w:lvl w:ilvl="0" w:tplc="04090005">
      <w:start w:val="1"/>
      <w:numFmt w:val="bullet"/>
      <w:lvlText w:val=""/>
      <w:lvlJc w:val="left"/>
      <w:pPr>
        <w:ind w:left="720" w:hanging="360"/>
      </w:pPr>
      <w:rPr>
        <w:rFonts w:ascii="Wingdings" w:hAnsi="Wingdings" w:hint="default"/>
        <w:b w:val="0"/>
        <w:i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1"/>
  </w:num>
  <w:num w:numId="5">
    <w:abstractNumId w:val="0"/>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F92"/>
    <w:rsid w:val="0000026C"/>
    <w:rsid w:val="00005CF1"/>
    <w:rsid w:val="000120B8"/>
    <w:rsid w:val="00030676"/>
    <w:rsid w:val="0003506F"/>
    <w:rsid w:val="00040EFD"/>
    <w:rsid w:val="00055EC2"/>
    <w:rsid w:val="00067210"/>
    <w:rsid w:val="00067E77"/>
    <w:rsid w:val="00081510"/>
    <w:rsid w:val="00082745"/>
    <w:rsid w:val="000861C8"/>
    <w:rsid w:val="000914CE"/>
    <w:rsid w:val="0009472C"/>
    <w:rsid w:val="000A11E3"/>
    <w:rsid w:val="000A253F"/>
    <w:rsid w:val="000D2023"/>
    <w:rsid w:val="000D5894"/>
    <w:rsid w:val="000E3476"/>
    <w:rsid w:val="000E4841"/>
    <w:rsid w:val="000F1749"/>
    <w:rsid w:val="00114FE1"/>
    <w:rsid w:val="00115B53"/>
    <w:rsid w:val="00121E61"/>
    <w:rsid w:val="00135625"/>
    <w:rsid w:val="001415FF"/>
    <w:rsid w:val="0014474C"/>
    <w:rsid w:val="001464F8"/>
    <w:rsid w:val="00147B25"/>
    <w:rsid w:val="00152216"/>
    <w:rsid w:val="00190249"/>
    <w:rsid w:val="001A1D6A"/>
    <w:rsid w:val="001A5ABC"/>
    <w:rsid w:val="001C484F"/>
    <w:rsid w:val="001D11CC"/>
    <w:rsid w:val="001D5312"/>
    <w:rsid w:val="001D668C"/>
    <w:rsid w:val="001E28DE"/>
    <w:rsid w:val="001F32D6"/>
    <w:rsid w:val="00203154"/>
    <w:rsid w:val="002033E0"/>
    <w:rsid w:val="00206DD2"/>
    <w:rsid w:val="00216CC7"/>
    <w:rsid w:val="00242057"/>
    <w:rsid w:val="0024356F"/>
    <w:rsid w:val="00260D55"/>
    <w:rsid w:val="00282456"/>
    <w:rsid w:val="002833F0"/>
    <w:rsid w:val="00285D7C"/>
    <w:rsid w:val="002905C6"/>
    <w:rsid w:val="0029507C"/>
    <w:rsid w:val="00296D5C"/>
    <w:rsid w:val="002A2D02"/>
    <w:rsid w:val="002A5F26"/>
    <w:rsid w:val="002B4D5C"/>
    <w:rsid w:val="002C0C16"/>
    <w:rsid w:val="002D19CE"/>
    <w:rsid w:val="002E5B3D"/>
    <w:rsid w:val="002E699B"/>
    <w:rsid w:val="002F0C28"/>
    <w:rsid w:val="002F2C52"/>
    <w:rsid w:val="00312E92"/>
    <w:rsid w:val="003313B9"/>
    <w:rsid w:val="00334982"/>
    <w:rsid w:val="00337F92"/>
    <w:rsid w:val="00340419"/>
    <w:rsid w:val="00341362"/>
    <w:rsid w:val="00346E29"/>
    <w:rsid w:val="0035529C"/>
    <w:rsid w:val="0037281D"/>
    <w:rsid w:val="0038220C"/>
    <w:rsid w:val="00383425"/>
    <w:rsid w:val="00396D9D"/>
    <w:rsid w:val="003A0CA1"/>
    <w:rsid w:val="003A147D"/>
    <w:rsid w:val="003B0BE2"/>
    <w:rsid w:val="003B23E3"/>
    <w:rsid w:val="003B24DD"/>
    <w:rsid w:val="003B6B69"/>
    <w:rsid w:val="003D0903"/>
    <w:rsid w:val="003E109F"/>
    <w:rsid w:val="003E361E"/>
    <w:rsid w:val="003F4F08"/>
    <w:rsid w:val="00401A2A"/>
    <w:rsid w:val="00415798"/>
    <w:rsid w:val="0042149E"/>
    <w:rsid w:val="00433BF2"/>
    <w:rsid w:val="00436F0A"/>
    <w:rsid w:val="004474E8"/>
    <w:rsid w:val="00450355"/>
    <w:rsid w:val="0046184E"/>
    <w:rsid w:val="00466C4F"/>
    <w:rsid w:val="00494765"/>
    <w:rsid w:val="004B0D7A"/>
    <w:rsid w:val="004B10B3"/>
    <w:rsid w:val="004B5040"/>
    <w:rsid w:val="004B6363"/>
    <w:rsid w:val="004B6CB7"/>
    <w:rsid w:val="004C42AA"/>
    <w:rsid w:val="004E2D2C"/>
    <w:rsid w:val="004E4423"/>
    <w:rsid w:val="004F2662"/>
    <w:rsid w:val="004F67C0"/>
    <w:rsid w:val="00506B25"/>
    <w:rsid w:val="00516884"/>
    <w:rsid w:val="00522425"/>
    <w:rsid w:val="00531E3D"/>
    <w:rsid w:val="00532A50"/>
    <w:rsid w:val="00547CD6"/>
    <w:rsid w:val="00550011"/>
    <w:rsid w:val="005575DD"/>
    <w:rsid w:val="0056012C"/>
    <w:rsid w:val="005607D3"/>
    <w:rsid w:val="0056249B"/>
    <w:rsid w:val="00566DD2"/>
    <w:rsid w:val="00567420"/>
    <w:rsid w:val="00572CF5"/>
    <w:rsid w:val="0058782E"/>
    <w:rsid w:val="005A74B2"/>
    <w:rsid w:val="005B00C9"/>
    <w:rsid w:val="005C0B4C"/>
    <w:rsid w:val="005D384A"/>
    <w:rsid w:val="005E755E"/>
    <w:rsid w:val="005F5ECD"/>
    <w:rsid w:val="00614C0C"/>
    <w:rsid w:val="00626304"/>
    <w:rsid w:val="0063530D"/>
    <w:rsid w:val="00642CF9"/>
    <w:rsid w:val="00644A4A"/>
    <w:rsid w:val="00645B82"/>
    <w:rsid w:val="0064658D"/>
    <w:rsid w:val="006526BB"/>
    <w:rsid w:val="00654FD3"/>
    <w:rsid w:val="00680DDF"/>
    <w:rsid w:val="00682FB3"/>
    <w:rsid w:val="006833B8"/>
    <w:rsid w:val="0069145B"/>
    <w:rsid w:val="0069357B"/>
    <w:rsid w:val="006947AD"/>
    <w:rsid w:val="006A62C5"/>
    <w:rsid w:val="006B078E"/>
    <w:rsid w:val="006B4951"/>
    <w:rsid w:val="006D1245"/>
    <w:rsid w:val="006E7F8E"/>
    <w:rsid w:val="006F358F"/>
    <w:rsid w:val="007015B0"/>
    <w:rsid w:val="007037C6"/>
    <w:rsid w:val="00711C0F"/>
    <w:rsid w:val="0071452E"/>
    <w:rsid w:val="0071718B"/>
    <w:rsid w:val="00723832"/>
    <w:rsid w:val="00747F72"/>
    <w:rsid w:val="00751AD3"/>
    <w:rsid w:val="00755013"/>
    <w:rsid w:val="007645E4"/>
    <w:rsid w:val="00774DCE"/>
    <w:rsid w:val="00792371"/>
    <w:rsid w:val="00792AB5"/>
    <w:rsid w:val="00794DAA"/>
    <w:rsid w:val="007A16B4"/>
    <w:rsid w:val="007A2C04"/>
    <w:rsid w:val="007B6B20"/>
    <w:rsid w:val="007C1549"/>
    <w:rsid w:val="007D01BD"/>
    <w:rsid w:val="007D4198"/>
    <w:rsid w:val="007E0805"/>
    <w:rsid w:val="007F5E72"/>
    <w:rsid w:val="0080627C"/>
    <w:rsid w:val="0081549E"/>
    <w:rsid w:val="00815F00"/>
    <w:rsid w:val="00816E0E"/>
    <w:rsid w:val="008274D7"/>
    <w:rsid w:val="0084664D"/>
    <w:rsid w:val="008469DD"/>
    <w:rsid w:val="008662FA"/>
    <w:rsid w:val="008755EF"/>
    <w:rsid w:val="00875BC0"/>
    <w:rsid w:val="008767D3"/>
    <w:rsid w:val="00882FEF"/>
    <w:rsid w:val="00883065"/>
    <w:rsid w:val="008862B8"/>
    <w:rsid w:val="008B35D0"/>
    <w:rsid w:val="008B58DE"/>
    <w:rsid w:val="00905AFD"/>
    <w:rsid w:val="00917182"/>
    <w:rsid w:val="00925BC9"/>
    <w:rsid w:val="00941273"/>
    <w:rsid w:val="00945F4B"/>
    <w:rsid w:val="009541F1"/>
    <w:rsid w:val="00961ABC"/>
    <w:rsid w:val="00962652"/>
    <w:rsid w:val="009627E3"/>
    <w:rsid w:val="00976E63"/>
    <w:rsid w:val="009A175C"/>
    <w:rsid w:val="009A6A7A"/>
    <w:rsid w:val="009A7312"/>
    <w:rsid w:val="009B34F5"/>
    <w:rsid w:val="009B4E8A"/>
    <w:rsid w:val="009C7080"/>
    <w:rsid w:val="009E5BF8"/>
    <w:rsid w:val="009F18DE"/>
    <w:rsid w:val="009F33B6"/>
    <w:rsid w:val="00A03B19"/>
    <w:rsid w:val="00A17AF3"/>
    <w:rsid w:val="00A2261F"/>
    <w:rsid w:val="00A477A6"/>
    <w:rsid w:val="00A57384"/>
    <w:rsid w:val="00A611A0"/>
    <w:rsid w:val="00A67FFD"/>
    <w:rsid w:val="00A75AE4"/>
    <w:rsid w:val="00A775F8"/>
    <w:rsid w:val="00A80EE4"/>
    <w:rsid w:val="00A90E07"/>
    <w:rsid w:val="00A93667"/>
    <w:rsid w:val="00AA29EA"/>
    <w:rsid w:val="00AA7717"/>
    <w:rsid w:val="00AB78EF"/>
    <w:rsid w:val="00AD3BE4"/>
    <w:rsid w:val="00AD5572"/>
    <w:rsid w:val="00AE2618"/>
    <w:rsid w:val="00AF294A"/>
    <w:rsid w:val="00AF5B44"/>
    <w:rsid w:val="00B17FA8"/>
    <w:rsid w:val="00B21BDE"/>
    <w:rsid w:val="00B23342"/>
    <w:rsid w:val="00B3402D"/>
    <w:rsid w:val="00B37917"/>
    <w:rsid w:val="00B445F5"/>
    <w:rsid w:val="00B45745"/>
    <w:rsid w:val="00B45E20"/>
    <w:rsid w:val="00B46CE2"/>
    <w:rsid w:val="00B53B4A"/>
    <w:rsid w:val="00B53F5F"/>
    <w:rsid w:val="00B5461A"/>
    <w:rsid w:val="00B56192"/>
    <w:rsid w:val="00B6481A"/>
    <w:rsid w:val="00B721E5"/>
    <w:rsid w:val="00B974BD"/>
    <w:rsid w:val="00BA367E"/>
    <w:rsid w:val="00BA451D"/>
    <w:rsid w:val="00BB4715"/>
    <w:rsid w:val="00BC221F"/>
    <w:rsid w:val="00BD131F"/>
    <w:rsid w:val="00BD344C"/>
    <w:rsid w:val="00BD43C3"/>
    <w:rsid w:val="00BD54EA"/>
    <w:rsid w:val="00BD6B23"/>
    <w:rsid w:val="00BF480A"/>
    <w:rsid w:val="00BF5923"/>
    <w:rsid w:val="00BF5BB0"/>
    <w:rsid w:val="00C00E9A"/>
    <w:rsid w:val="00C12BC3"/>
    <w:rsid w:val="00C23E37"/>
    <w:rsid w:val="00C27AA7"/>
    <w:rsid w:val="00C3355E"/>
    <w:rsid w:val="00C46D4B"/>
    <w:rsid w:val="00C478AC"/>
    <w:rsid w:val="00C63066"/>
    <w:rsid w:val="00C66AD3"/>
    <w:rsid w:val="00C6797F"/>
    <w:rsid w:val="00C73E6B"/>
    <w:rsid w:val="00C8537B"/>
    <w:rsid w:val="00CA04B3"/>
    <w:rsid w:val="00CB51DD"/>
    <w:rsid w:val="00CC67E6"/>
    <w:rsid w:val="00CC6D19"/>
    <w:rsid w:val="00CD3D65"/>
    <w:rsid w:val="00CE0D73"/>
    <w:rsid w:val="00CF6B32"/>
    <w:rsid w:val="00D034D7"/>
    <w:rsid w:val="00D108E6"/>
    <w:rsid w:val="00D21EE7"/>
    <w:rsid w:val="00D346AA"/>
    <w:rsid w:val="00D412F4"/>
    <w:rsid w:val="00D520E3"/>
    <w:rsid w:val="00D548CC"/>
    <w:rsid w:val="00D65F30"/>
    <w:rsid w:val="00D715F7"/>
    <w:rsid w:val="00D717EA"/>
    <w:rsid w:val="00D92F3C"/>
    <w:rsid w:val="00DA45BA"/>
    <w:rsid w:val="00DA4658"/>
    <w:rsid w:val="00DB1E95"/>
    <w:rsid w:val="00DB59F0"/>
    <w:rsid w:val="00DB6283"/>
    <w:rsid w:val="00DC520F"/>
    <w:rsid w:val="00DC561C"/>
    <w:rsid w:val="00DD77EE"/>
    <w:rsid w:val="00DE0892"/>
    <w:rsid w:val="00DE74D0"/>
    <w:rsid w:val="00DF26CC"/>
    <w:rsid w:val="00DF48CD"/>
    <w:rsid w:val="00DF55C5"/>
    <w:rsid w:val="00E01211"/>
    <w:rsid w:val="00E03126"/>
    <w:rsid w:val="00E33D0C"/>
    <w:rsid w:val="00E47C3B"/>
    <w:rsid w:val="00E83D86"/>
    <w:rsid w:val="00E91761"/>
    <w:rsid w:val="00E94412"/>
    <w:rsid w:val="00E970E5"/>
    <w:rsid w:val="00EB42DB"/>
    <w:rsid w:val="00EC56F4"/>
    <w:rsid w:val="00EE3828"/>
    <w:rsid w:val="00EE79EB"/>
    <w:rsid w:val="00EF57E2"/>
    <w:rsid w:val="00F078B9"/>
    <w:rsid w:val="00F10E19"/>
    <w:rsid w:val="00F17643"/>
    <w:rsid w:val="00F230E1"/>
    <w:rsid w:val="00F467A7"/>
    <w:rsid w:val="00F52175"/>
    <w:rsid w:val="00F7563B"/>
    <w:rsid w:val="00F832F1"/>
    <w:rsid w:val="00F85618"/>
    <w:rsid w:val="00F85984"/>
    <w:rsid w:val="00F96B34"/>
    <w:rsid w:val="00FB2373"/>
    <w:rsid w:val="00FF5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13C44"/>
  <w15:docId w15:val="{135E207F-ECB1-49A2-AE54-18E20DC6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F92"/>
    <w:pPr>
      <w:spacing w:after="200" w:line="276" w:lineRule="auto"/>
    </w:pPr>
  </w:style>
  <w:style w:type="paragraph" w:styleId="Heading1">
    <w:name w:val="heading 1"/>
    <w:aliases w:val="~SectionHeading"/>
    <w:basedOn w:val="Normal"/>
    <w:next w:val="Normal"/>
    <w:link w:val="Heading1Char"/>
    <w:uiPriority w:val="9"/>
    <w:qFormat/>
    <w:rsid w:val="00337F9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Heading Char"/>
    <w:basedOn w:val="DefaultParagraphFont"/>
    <w:link w:val="Heading1"/>
    <w:uiPriority w:val="9"/>
    <w:rsid w:val="00337F92"/>
    <w:rPr>
      <w:rFonts w:asciiTheme="majorHAnsi" w:eastAsiaTheme="majorEastAsia" w:hAnsiTheme="majorHAnsi" w:cstheme="majorBidi"/>
      <w:b/>
      <w:bCs/>
      <w:color w:val="2E74B5" w:themeColor="accent1" w:themeShade="BF"/>
      <w:sz w:val="28"/>
      <w:szCs w:val="28"/>
      <w:lang w:val="sq-AL"/>
    </w:rPr>
  </w:style>
  <w:style w:type="character" w:styleId="Hyperlink">
    <w:name w:val="Hyperlink"/>
    <w:basedOn w:val="DefaultParagraphFont"/>
    <w:uiPriority w:val="99"/>
    <w:unhideWhenUsed/>
    <w:rsid w:val="00337F92"/>
    <w:rPr>
      <w:color w:val="0563C1" w:themeColor="hyperlink"/>
      <w:u w:val="single"/>
    </w:rPr>
  </w:style>
  <w:style w:type="paragraph" w:styleId="ListParagraph">
    <w:name w:val="List Paragraph"/>
    <w:basedOn w:val="Normal"/>
    <w:link w:val="ListParagraphChar"/>
    <w:uiPriority w:val="34"/>
    <w:qFormat/>
    <w:rsid w:val="00337F92"/>
    <w:pPr>
      <w:ind w:left="720"/>
      <w:contextualSpacing/>
    </w:pPr>
  </w:style>
  <w:style w:type="character" w:customStyle="1" w:styleId="ListParagraphChar">
    <w:name w:val="List Paragraph Char"/>
    <w:link w:val="ListParagraph"/>
    <w:uiPriority w:val="34"/>
    <w:rsid w:val="00337F92"/>
    <w:rPr>
      <w:lang w:val="sq-AL"/>
    </w:rPr>
  </w:style>
  <w:style w:type="paragraph" w:styleId="Title">
    <w:name w:val="Title"/>
    <w:basedOn w:val="Normal"/>
    <w:next w:val="Normal"/>
    <w:link w:val="TitleChar"/>
    <w:uiPriority w:val="10"/>
    <w:qFormat/>
    <w:rsid w:val="00337F92"/>
    <w:pPr>
      <w:pBdr>
        <w:bottom w:val="single" w:sz="8" w:space="4" w:color="5B9BD5"/>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TitleChar">
    <w:name w:val="Title Char"/>
    <w:basedOn w:val="DefaultParagraphFont"/>
    <w:link w:val="Title"/>
    <w:uiPriority w:val="10"/>
    <w:rsid w:val="00337F92"/>
    <w:rPr>
      <w:rFonts w:ascii="Calibri Light" w:eastAsia="Times New Roman" w:hAnsi="Calibri Light" w:cs="Times New Roman"/>
      <w:color w:val="323E4F"/>
      <w:spacing w:val="5"/>
      <w:sz w:val="52"/>
      <w:szCs w:val="52"/>
      <w:lang w:val="sq-AL"/>
    </w:rPr>
  </w:style>
  <w:style w:type="character" w:customStyle="1" w:styleId="hps">
    <w:name w:val="hps"/>
    <w:basedOn w:val="DefaultParagraphFont"/>
    <w:rsid w:val="00337F92"/>
  </w:style>
  <w:style w:type="paragraph" w:customStyle="1" w:styleId="Default">
    <w:name w:val="Default"/>
    <w:rsid w:val="00337F9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
    <w:name w:val="st"/>
    <w:rsid w:val="00337F92"/>
  </w:style>
  <w:style w:type="paragraph" w:styleId="CommentText">
    <w:name w:val="annotation text"/>
    <w:basedOn w:val="Normal"/>
    <w:link w:val="CommentTextChar"/>
    <w:uiPriority w:val="99"/>
    <w:rsid w:val="00337F9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37F92"/>
    <w:rPr>
      <w:rFonts w:ascii="Times New Roman" w:eastAsia="Times New Roman" w:hAnsi="Times New Roman" w:cs="Times New Roman"/>
      <w:sz w:val="20"/>
      <w:szCs w:val="20"/>
      <w:lang w:val="sq-AL"/>
    </w:rPr>
  </w:style>
  <w:style w:type="table" w:customStyle="1" w:styleId="GridTable1Light-Accent512">
    <w:name w:val="Grid Table 1 Light - Accent 512"/>
    <w:basedOn w:val="TableNormal"/>
    <w:uiPriority w:val="46"/>
    <w:rsid w:val="00337F92"/>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GridTable1Light-Accent111">
    <w:name w:val="Grid Table 1 Light - Accent 111"/>
    <w:basedOn w:val="TableNormal"/>
    <w:uiPriority w:val="46"/>
    <w:rsid w:val="00337F92"/>
    <w:pPr>
      <w:spacing w:after="0" w:line="240" w:lineRule="auto"/>
    </w:pPr>
    <w:rPr>
      <w:rFonts w:ascii="Calibri" w:eastAsia="Calibri" w:hAnsi="Calibri" w:cs="Times New Roman"/>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1Light-Accent513">
    <w:name w:val="Grid Table 1 Light - Accent 513"/>
    <w:basedOn w:val="TableNormal"/>
    <w:uiPriority w:val="46"/>
    <w:rsid w:val="00337F92"/>
    <w:pPr>
      <w:spacing w:after="0" w:line="240" w:lineRule="auto"/>
    </w:pPr>
    <w:rPr>
      <w:rFonts w:ascii="Calibri" w:eastAsia="Calibri" w:hAnsi="Calibri" w:cs="Times New Roman"/>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0002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26C"/>
    <w:rPr>
      <w:rFonts w:ascii="Segoe UI" w:hAnsi="Segoe UI" w:cs="Segoe UI"/>
      <w:sz w:val="18"/>
      <w:szCs w:val="18"/>
      <w:lang w:val="sq-AL"/>
    </w:rPr>
  </w:style>
  <w:style w:type="character" w:styleId="CommentReference">
    <w:name w:val="annotation reference"/>
    <w:basedOn w:val="DefaultParagraphFont"/>
    <w:uiPriority w:val="99"/>
    <w:semiHidden/>
    <w:unhideWhenUsed/>
    <w:rsid w:val="0056249B"/>
    <w:rPr>
      <w:sz w:val="16"/>
      <w:szCs w:val="16"/>
    </w:rPr>
  </w:style>
  <w:style w:type="paragraph" w:styleId="CommentSubject">
    <w:name w:val="annotation subject"/>
    <w:basedOn w:val="CommentText"/>
    <w:next w:val="CommentText"/>
    <w:link w:val="CommentSubjectChar"/>
    <w:uiPriority w:val="99"/>
    <w:semiHidden/>
    <w:unhideWhenUsed/>
    <w:rsid w:val="0056249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6249B"/>
    <w:rPr>
      <w:rFonts w:ascii="Times New Roman" w:eastAsia="Times New Roman" w:hAnsi="Times New Roman" w:cs="Times New Roman"/>
      <w:b/>
      <w:bCs/>
      <w:sz w:val="20"/>
      <w:szCs w:val="20"/>
      <w:lang w:val="sq-AL"/>
    </w:rPr>
  </w:style>
  <w:style w:type="paragraph" w:styleId="Header">
    <w:name w:val="header"/>
    <w:basedOn w:val="Normal"/>
    <w:link w:val="HeaderChar"/>
    <w:uiPriority w:val="99"/>
    <w:unhideWhenUsed/>
    <w:rsid w:val="000306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76"/>
    <w:rPr>
      <w:lang w:val="sq-AL"/>
    </w:rPr>
  </w:style>
  <w:style w:type="paragraph" w:styleId="Footer">
    <w:name w:val="footer"/>
    <w:basedOn w:val="Normal"/>
    <w:link w:val="FooterChar"/>
    <w:uiPriority w:val="99"/>
    <w:unhideWhenUsed/>
    <w:rsid w:val="000306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76"/>
    <w:rPr>
      <w:lang w:val="sq-AL"/>
    </w:rPr>
  </w:style>
  <w:style w:type="character" w:customStyle="1" w:styleId="A4">
    <w:name w:val="A4"/>
    <w:uiPriority w:val="99"/>
    <w:rsid w:val="003313B9"/>
    <w:rPr>
      <w:rFonts w:cs="Acumin Pro Semibold"/>
      <w:b/>
      <w:bCs/>
      <w:color w:val="3A393B"/>
      <w:sz w:val="18"/>
      <w:szCs w:val="18"/>
    </w:rPr>
  </w:style>
  <w:style w:type="paragraph" w:styleId="BodyText">
    <w:name w:val="Body Text"/>
    <w:basedOn w:val="Normal"/>
    <w:link w:val="BodyTextChar"/>
    <w:uiPriority w:val="1"/>
    <w:qFormat/>
    <w:rsid w:val="0046184E"/>
    <w:pPr>
      <w:widowControl w:val="0"/>
      <w:spacing w:after="0" w:line="240" w:lineRule="auto"/>
      <w:ind w:left="471" w:hanging="356"/>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6184E"/>
    <w:rPr>
      <w:rFonts w:ascii="Times New Roman" w:eastAsia="Times New Roman" w:hAnsi="Times New Roman" w:cs="Times New Roman"/>
      <w:sz w:val="24"/>
      <w:szCs w:val="24"/>
    </w:rPr>
  </w:style>
  <w:style w:type="table" w:styleId="TableGrid">
    <w:name w:val="Table Grid"/>
    <w:basedOn w:val="TableNormal"/>
    <w:uiPriority w:val="39"/>
    <w:rsid w:val="00506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E38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0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on.prebreza@rks-gov.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lorije.tahiri@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3CB1A-B4ED-4383-A901-ABE0F9B7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3114</Words>
  <Characters>17753</Characters>
  <Application>Microsoft Office Word</Application>
  <DocSecurity>0</DocSecurity>
  <Lines>147</Lines>
  <Paragraphs>41</Paragraphs>
  <ScaleCrop>false</ScaleCrop>
  <HeadingPairs>
    <vt:vector size="6" baseType="variant">
      <vt:variant>
        <vt:lpstr>Title</vt:lpstr>
      </vt:variant>
      <vt:variant>
        <vt:i4>1</vt:i4>
      </vt:variant>
      <vt:variant>
        <vt:lpstr>Titolo</vt:lpstr>
      </vt:variant>
      <vt:variant>
        <vt:i4>1</vt:i4>
      </vt:variant>
      <vt:variant>
        <vt:lpstr>Intestazioni</vt:lpstr>
      </vt:variant>
      <vt:variant>
        <vt:i4>3</vt:i4>
      </vt:variant>
    </vt:vector>
  </HeadingPairs>
  <TitlesOfParts>
    <vt:vector size="5" baseType="lpstr">
      <vt:lpstr/>
      <vt:lpstr/>
      <vt:lpstr>Part One</vt:lpstr>
      <vt:lpstr/>
      <vt:lpstr>Part Two</vt:lpstr>
    </vt:vector>
  </TitlesOfParts>
  <Company/>
  <LinksUpToDate>false</LinksUpToDate>
  <CharactersWithSpaces>20826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Shkipe Deda</dc:creator>
  <cp:lastModifiedBy>Tringe Sokoli</cp:lastModifiedBy>
  <cp:revision>16</cp:revision>
  <dcterms:created xsi:type="dcterms:W3CDTF">2024-07-24T12:33:00Z</dcterms:created>
  <dcterms:modified xsi:type="dcterms:W3CDTF">2024-10-28T13:19:00Z</dcterms:modified>
</cp:coreProperties>
</file>