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8BBC9" w14:textId="77777777" w:rsidR="00FC644F" w:rsidRPr="00170C0C" w:rsidRDefault="00170C0C" w:rsidP="00170C0C">
      <w:pPr>
        <w:pStyle w:val="Title"/>
        <w:pBdr>
          <w:bottom w:val="single" w:sz="8" w:space="0" w:color="5B9BD5"/>
        </w:pBdr>
        <w:spacing w:before="120" w:after="0" w:line="276" w:lineRule="auto"/>
        <w:rPr>
          <w:rFonts w:ascii="Arial" w:hAnsi="Arial" w:cs="Arial"/>
          <w:sz w:val="36"/>
          <w:szCs w:val="36"/>
        </w:rPr>
      </w:pPr>
      <w:r>
        <w:rPr>
          <w:rFonts w:ascii="Arial" w:hAnsi="Arial"/>
          <w:sz w:val="36"/>
        </w:rPr>
        <w:t>Formulari i identifikimit të projektit (FIP): Sektori i Energjisë</w:t>
      </w:r>
    </w:p>
    <w:p w14:paraId="54C8BF3F" w14:textId="77777777" w:rsidR="00DA5F0A" w:rsidRDefault="0074067A" w:rsidP="0074067A">
      <w:pPr>
        <w:pStyle w:val="Heading1"/>
        <w:spacing w:before="240" w:after="120"/>
        <w:jc w:val="center"/>
        <w:rPr>
          <w:rFonts w:ascii="Arial" w:hAnsi="Arial" w:cs="Arial"/>
          <w:color w:val="auto"/>
          <w:sz w:val="24"/>
          <w:szCs w:val="24"/>
        </w:rPr>
      </w:pPr>
      <w:r>
        <w:rPr>
          <w:rFonts w:ascii="Arial" w:hAnsi="Arial"/>
          <w:color w:val="auto"/>
          <w:sz w:val="24"/>
        </w:rPr>
        <w:t>Pjesa e parë</w:t>
      </w:r>
    </w:p>
    <w:p w14:paraId="345DBAB0" w14:textId="77777777" w:rsidR="0074067A" w:rsidRPr="0074067A" w:rsidRDefault="0074067A" w:rsidP="003914F0">
      <w:pPr>
        <w:pStyle w:val="ListParagraph"/>
        <w:numPr>
          <w:ilvl w:val="0"/>
          <w:numId w:val="2"/>
        </w:numPr>
        <w:spacing w:before="200" w:after="120"/>
        <w:rPr>
          <w:rFonts w:cs="Arial"/>
          <w:b/>
          <w:szCs w:val="20"/>
        </w:rPr>
      </w:pPr>
      <w:r>
        <w:rPr>
          <w:b/>
          <w:bCs/>
        </w:rPr>
        <w:t>INFORMACIONE TË PËRGJITHSHME</w:t>
      </w:r>
    </w:p>
    <w:tbl>
      <w:tblPr>
        <w:tblW w:w="5000" w:type="pct"/>
        <w:jc w:val="center"/>
        <w:tblLook w:val="01E0" w:firstRow="1" w:lastRow="1" w:firstColumn="1" w:lastColumn="1" w:noHBand="0" w:noVBand="0"/>
      </w:tblPr>
      <w:tblGrid>
        <w:gridCol w:w="3937"/>
        <w:gridCol w:w="5959"/>
      </w:tblGrid>
      <w:tr w:rsidR="0074067A" w:rsidRPr="0074067A" w14:paraId="2E9B2350"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ACFD3DF" w14:textId="7B111F05" w:rsidR="0074067A" w:rsidRPr="0074067A" w:rsidRDefault="004C02A3" w:rsidP="0074067A">
            <w:pPr>
              <w:spacing w:before="60" w:after="60" w:line="260" w:lineRule="atLeast"/>
              <w:rPr>
                <w:rFonts w:ascii="Arial" w:hAnsi="Arial" w:cs="Arial"/>
                <w:b/>
                <w:bCs/>
                <w:sz w:val="20"/>
                <w:szCs w:val="20"/>
              </w:rPr>
            </w:pPr>
            <w:r>
              <w:rPr>
                <w:rFonts w:ascii="Arial" w:hAnsi="Arial"/>
                <w:b/>
                <w:sz w:val="20"/>
              </w:rPr>
              <w:t>Titulli i projektit</w:t>
            </w:r>
          </w:p>
        </w:tc>
        <w:tc>
          <w:tcPr>
            <w:tcW w:w="3011" w:type="pct"/>
            <w:tcBorders>
              <w:top w:val="single" w:sz="4" w:space="0" w:color="auto"/>
              <w:left w:val="single" w:sz="4" w:space="0" w:color="auto"/>
              <w:bottom w:val="single" w:sz="4" w:space="0" w:color="auto"/>
              <w:right w:val="single" w:sz="4" w:space="0" w:color="auto"/>
            </w:tcBorders>
            <w:vAlign w:val="center"/>
          </w:tcPr>
          <w:p w14:paraId="61FFD4FF" w14:textId="17FC90CD" w:rsidR="00BE40E0" w:rsidRPr="00B176DB" w:rsidRDefault="000A7643" w:rsidP="00B176DB">
            <w:pPr>
              <w:spacing w:before="60" w:after="60" w:line="260" w:lineRule="atLeast"/>
              <w:rPr>
                <w:rFonts w:ascii="Arial" w:hAnsi="Arial" w:cs="Arial"/>
                <w:sz w:val="20"/>
                <w:szCs w:val="20"/>
              </w:rPr>
            </w:pPr>
            <w:r>
              <w:rPr>
                <w:rFonts w:ascii="Arial" w:hAnsi="Arial"/>
                <w:sz w:val="20"/>
              </w:rPr>
              <w:t>Përforcimi i rrjetit të transmisionit 400 kV dhe 110 kV</w:t>
            </w:r>
          </w:p>
        </w:tc>
      </w:tr>
      <w:tr w:rsidR="0074067A" w:rsidRPr="0074067A" w14:paraId="0CC7FA22"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10A68464"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Sektori</w:t>
            </w:r>
          </w:p>
        </w:tc>
        <w:tc>
          <w:tcPr>
            <w:tcW w:w="3011" w:type="pct"/>
            <w:tcBorders>
              <w:top w:val="single" w:sz="4" w:space="0" w:color="auto"/>
              <w:left w:val="single" w:sz="4" w:space="0" w:color="auto"/>
              <w:bottom w:val="single" w:sz="4" w:space="0" w:color="auto"/>
              <w:right w:val="single" w:sz="4" w:space="0" w:color="auto"/>
            </w:tcBorders>
            <w:vAlign w:val="center"/>
          </w:tcPr>
          <w:p w14:paraId="5F319903" w14:textId="77777777" w:rsidR="0074067A" w:rsidRPr="0074067A" w:rsidRDefault="00806548" w:rsidP="0074067A">
            <w:pPr>
              <w:spacing w:before="60" w:after="60" w:line="260" w:lineRule="atLeast"/>
              <w:rPr>
                <w:rFonts w:ascii="Arial" w:hAnsi="Arial" w:cs="Arial"/>
                <w:sz w:val="20"/>
                <w:szCs w:val="20"/>
              </w:rPr>
            </w:pPr>
            <w:r>
              <w:rPr>
                <w:rFonts w:ascii="Arial" w:hAnsi="Arial"/>
                <w:sz w:val="20"/>
              </w:rPr>
              <w:t>Energjia/Transmisioni</w:t>
            </w:r>
          </w:p>
        </w:tc>
      </w:tr>
      <w:tr w:rsidR="0074067A" w:rsidRPr="0074067A" w14:paraId="4709C6BE"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6ED3AF5C" w14:textId="4511C6A1" w:rsidR="0074067A" w:rsidRPr="0074067A" w:rsidRDefault="0074067A" w:rsidP="0074067A">
            <w:pPr>
              <w:spacing w:before="60" w:after="60" w:line="260" w:lineRule="atLeast"/>
              <w:rPr>
                <w:rFonts w:ascii="Arial" w:hAnsi="Arial" w:cs="Arial"/>
                <w:bCs/>
                <w:sz w:val="20"/>
                <w:szCs w:val="20"/>
              </w:rPr>
            </w:pPr>
            <w:r>
              <w:rPr>
                <w:rFonts w:ascii="Arial" w:hAnsi="Arial"/>
                <w:sz w:val="20"/>
              </w:rPr>
              <w:t>Përfituesi</w:t>
            </w:r>
            <w:r w:rsidR="004C02A3">
              <w:rPr>
                <w:rFonts w:ascii="Arial" w:hAnsi="Arial"/>
                <w:sz w:val="20"/>
              </w:rPr>
              <w:t>/propozuesi kryesor i projektit</w:t>
            </w:r>
          </w:p>
        </w:tc>
        <w:tc>
          <w:tcPr>
            <w:tcW w:w="3011" w:type="pct"/>
            <w:tcBorders>
              <w:top w:val="single" w:sz="4" w:space="0" w:color="auto"/>
              <w:left w:val="single" w:sz="4" w:space="0" w:color="auto"/>
              <w:bottom w:val="single" w:sz="4" w:space="0" w:color="auto"/>
              <w:right w:val="single" w:sz="4" w:space="0" w:color="auto"/>
            </w:tcBorders>
            <w:vAlign w:val="center"/>
          </w:tcPr>
          <w:p w14:paraId="49FB416D" w14:textId="7919A880" w:rsidR="0074067A" w:rsidRPr="0074067A" w:rsidRDefault="00DA3A69" w:rsidP="0074067A">
            <w:pPr>
              <w:spacing w:before="60" w:after="60" w:line="260" w:lineRule="atLeast"/>
              <w:rPr>
                <w:rFonts w:ascii="Arial" w:hAnsi="Arial" w:cs="Arial"/>
                <w:sz w:val="20"/>
                <w:szCs w:val="20"/>
              </w:rPr>
            </w:pPr>
            <w:r>
              <w:rPr>
                <w:rFonts w:ascii="Arial" w:hAnsi="Arial"/>
                <w:sz w:val="20"/>
              </w:rPr>
              <w:t>Ministria e Ekonomisë / KOSTT - Operatori i Sistemit, Transmisionit dhe Tregut sh.a.</w:t>
            </w:r>
          </w:p>
        </w:tc>
      </w:tr>
      <w:tr w:rsidR="0074067A" w:rsidRPr="0074067A" w14:paraId="7DE9F371"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ED55617"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3011" w:type="pct"/>
            <w:tcBorders>
              <w:top w:val="single" w:sz="4" w:space="0" w:color="auto"/>
              <w:left w:val="single" w:sz="4" w:space="0" w:color="auto"/>
              <w:bottom w:val="single" w:sz="4" w:space="0" w:color="auto"/>
              <w:right w:val="single" w:sz="4" w:space="0" w:color="auto"/>
            </w:tcBorders>
            <w:vAlign w:val="center"/>
          </w:tcPr>
          <w:p w14:paraId="39549BCE" w14:textId="6DBED874" w:rsidR="0074067A" w:rsidRPr="0074067A" w:rsidRDefault="000B6183" w:rsidP="0074067A">
            <w:pPr>
              <w:spacing w:before="60" w:after="60" w:line="260" w:lineRule="atLeast"/>
              <w:rPr>
                <w:rFonts w:ascii="Arial" w:hAnsi="Arial" w:cs="Arial"/>
                <w:sz w:val="20"/>
                <w:szCs w:val="20"/>
              </w:rPr>
            </w:pPr>
            <w:r>
              <w:rPr>
                <w:rFonts w:ascii="Arial" w:hAnsi="Arial"/>
                <w:sz w:val="20"/>
              </w:rPr>
              <w:t>KOSTT - Operatori i Sistemit, Transmisionit dhe Tregut sh.a.</w:t>
            </w:r>
          </w:p>
        </w:tc>
      </w:tr>
      <w:tr w:rsidR="0074067A" w:rsidRPr="0074067A" w14:paraId="15638B6E"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132D2C71"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Vendndodhja/Harta</w:t>
            </w:r>
          </w:p>
        </w:tc>
        <w:tc>
          <w:tcPr>
            <w:tcW w:w="3011" w:type="pct"/>
            <w:tcBorders>
              <w:top w:val="single" w:sz="4" w:space="0" w:color="auto"/>
              <w:left w:val="single" w:sz="4" w:space="0" w:color="auto"/>
              <w:bottom w:val="single" w:sz="4" w:space="0" w:color="auto"/>
              <w:right w:val="single" w:sz="4" w:space="0" w:color="auto"/>
            </w:tcBorders>
            <w:vAlign w:val="center"/>
          </w:tcPr>
          <w:p w14:paraId="470E9E3A" w14:textId="177A475F" w:rsidR="00142311" w:rsidRDefault="009103D6" w:rsidP="0074067A">
            <w:pPr>
              <w:spacing w:before="60" w:after="60" w:line="260" w:lineRule="atLeast"/>
              <w:rPr>
                <w:rFonts w:ascii="Arial" w:hAnsi="Arial" w:cs="Arial"/>
                <w:sz w:val="20"/>
                <w:szCs w:val="20"/>
              </w:rPr>
            </w:pPr>
            <w:r>
              <w:rPr>
                <w:rFonts w:ascii="Arial" w:hAnsi="Arial"/>
                <w:noProof/>
                <w:sz w:val="20"/>
                <w:lang w:val="en-US"/>
              </w:rPr>
              <w:drawing>
                <wp:inline distT="0" distB="0" distL="0" distR="0" wp14:anchorId="117764AC" wp14:editId="71D98EF0">
                  <wp:extent cx="240792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2286000"/>
                          </a:xfrm>
                          <a:prstGeom prst="rect">
                            <a:avLst/>
                          </a:prstGeom>
                          <a:noFill/>
                        </pic:spPr>
                      </pic:pic>
                    </a:graphicData>
                  </a:graphic>
                </wp:inline>
              </w:drawing>
            </w:r>
          </w:p>
          <w:p w14:paraId="16D8F33C" w14:textId="7D9ECD4D" w:rsidR="00AD5F2E" w:rsidRDefault="00AD5F2E" w:rsidP="001F115B">
            <w:pPr>
              <w:spacing w:before="60" w:after="60" w:line="260" w:lineRule="atLeast"/>
              <w:jc w:val="both"/>
              <w:rPr>
                <w:rFonts w:ascii="Arial" w:hAnsi="Arial" w:cs="Arial"/>
                <w:sz w:val="20"/>
                <w:szCs w:val="20"/>
              </w:rPr>
            </w:pPr>
            <w:r>
              <w:rPr>
                <w:rFonts w:ascii="Arial" w:hAnsi="Arial"/>
                <w:sz w:val="20"/>
              </w:rPr>
              <w:t>Fig.1 Harta e rrjetit të transmisionit në territorin e Republikës së Kosovës</w:t>
            </w:r>
          </w:p>
          <w:p w14:paraId="50370FC3" w14:textId="77777777" w:rsidR="00D0393A" w:rsidRDefault="00D0393A" w:rsidP="001F115B">
            <w:pPr>
              <w:spacing w:before="60" w:after="60" w:line="260" w:lineRule="atLeast"/>
              <w:jc w:val="both"/>
              <w:rPr>
                <w:rFonts w:ascii="Arial" w:hAnsi="Arial" w:cs="Arial"/>
                <w:sz w:val="20"/>
                <w:szCs w:val="20"/>
                <w:lang w:val="en-US"/>
              </w:rPr>
            </w:pPr>
          </w:p>
          <w:p w14:paraId="1BF8084F" w14:textId="63EA96D1" w:rsidR="005E58F0" w:rsidRPr="0074067A" w:rsidRDefault="003C6E14" w:rsidP="001F115B">
            <w:pPr>
              <w:spacing w:before="60" w:after="60" w:line="260" w:lineRule="atLeast"/>
              <w:jc w:val="both"/>
              <w:rPr>
                <w:rFonts w:ascii="Arial" w:hAnsi="Arial" w:cs="Arial"/>
                <w:sz w:val="20"/>
                <w:szCs w:val="20"/>
              </w:rPr>
            </w:pPr>
            <w:r>
              <w:rPr>
                <w:rFonts w:ascii="Arial" w:hAnsi="Arial"/>
                <w:sz w:val="20"/>
              </w:rPr>
              <w:t>Projekti përbëhet nga katër komponentë të vendosur në Kosovë dhe Shqipëri.</w:t>
            </w:r>
          </w:p>
        </w:tc>
      </w:tr>
      <w:tr w:rsidR="0074067A" w:rsidRPr="0074067A" w14:paraId="671AE7E2"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26E8AE70"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Investimi total i parashikuar:</w:t>
            </w:r>
          </w:p>
          <w:p w14:paraId="4778D05C" w14:textId="77777777" w:rsidR="0074067A" w:rsidRPr="0074067A" w:rsidRDefault="0074067A" w:rsidP="003914F0">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p>
          <w:p w14:paraId="00DE32D1" w14:textId="77777777" w:rsidR="0074067A" w:rsidRPr="0074067A" w:rsidRDefault="0074067A" w:rsidP="003914F0">
            <w:pPr>
              <w:numPr>
                <w:ilvl w:val="0"/>
                <w:numId w:val="3"/>
              </w:numPr>
              <w:spacing w:before="60" w:after="60" w:line="260" w:lineRule="atLeast"/>
              <w:ind w:left="223" w:hanging="223"/>
              <w:rPr>
                <w:rFonts w:ascii="Arial" w:hAnsi="Arial" w:cs="Arial"/>
                <w:bCs/>
                <w:sz w:val="20"/>
                <w:szCs w:val="20"/>
              </w:rPr>
            </w:pPr>
            <w:r>
              <w:rPr>
                <w:rFonts w:ascii="Arial" w:hAnsi="Arial"/>
                <w:sz w:val="20"/>
              </w:rPr>
              <w:t>Punimet ndërtimore</w:t>
            </w:r>
          </w:p>
          <w:p w14:paraId="675023C9" w14:textId="77777777" w:rsidR="0074067A" w:rsidRPr="0074067A" w:rsidRDefault="0074067A" w:rsidP="003914F0">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Mbikëqyrja </w:t>
            </w:r>
          </w:p>
        </w:tc>
        <w:tc>
          <w:tcPr>
            <w:tcW w:w="3011" w:type="pct"/>
            <w:tcBorders>
              <w:top w:val="single" w:sz="4" w:space="0" w:color="auto"/>
              <w:left w:val="single" w:sz="4" w:space="0" w:color="auto"/>
              <w:bottom w:val="single" w:sz="4" w:space="0" w:color="auto"/>
              <w:right w:val="single" w:sz="4" w:space="0" w:color="auto"/>
            </w:tcBorders>
            <w:vAlign w:val="center"/>
          </w:tcPr>
          <w:p w14:paraId="0879C824" w14:textId="1312643A" w:rsidR="0074067A" w:rsidRDefault="00C91A32" w:rsidP="00A9011E">
            <w:pPr>
              <w:spacing w:before="60" w:after="60" w:line="260" w:lineRule="atLeast"/>
              <w:rPr>
                <w:rFonts w:ascii="Arial" w:hAnsi="Arial" w:cs="Arial"/>
                <w:sz w:val="20"/>
                <w:szCs w:val="20"/>
              </w:rPr>
            </w:pPr>
            <w:r>
              <w:rPr>
                <w:rFonts w:ascii="Arial" w:hAnsi="Arial"/>
                <w:sz w:val="20"/>
              </w:rPr>
              <w:t>Investimi total i parashikuar:     61,641,600.00 Euro</w:t>
            </w:r>
          </w:p>
          <w:p w14:paraId="69CBA432" w14:textId="2C235DE3" w:rsidR="00D0393A" w:rsidRDefault="00D0393A" w:rsidP="00A9011E">
            <w:pPr>
              <w:spacing w:before="60" w:after="60" w:line="260" w:lineRule="atLeast"/>
              <w:rPr>
                <w:rFonts w:ascii="Arial" w:hAnsi="Arial" w:cs="Arial"/>
                <w:sz w:val="20"/>
                <w:szCs w:val="20"/>
              </w:rPr>
            </w:pPr>
            <w:r>
              <w:rPr>
                <w:rFonts w:ascii="Arial" w:hAnsi="Arial"/>
                <w:sz w:val="20"/>
              </w:rPr>
              <w:t>Nga të cilat:</w:t>
            </w:r>
          </w:p>
          <w:p w14:paraId="42FFBE28" w14:textId="239D605F" w:rsidR="00A9011E" w:rsidRPr="00D0393A" w:rsidRDefault="00C91A32" w:rsidP="00D0393A">
            <w:pPr>
              <w:spacing w:before="60" w:after="60" w:line="260" w:lineRule="atLeast"/>
              <w:rPr>
                <w:rFonts w:ascii="Arial" w:hAnsi="Arial" w:cs="Arial"/>
                <w:sz w:val="20"/>
                <w:szCs w:val="20"/>
              </w:rPr>
            </w:pPr>
            <w:r>
              <w:rPr>
                <w:rFonts w:ascii="Arial" w:hAnsi="Arial"/>
                <w:sz w:val="20"/>
              </w:rPr>
              <w:t>Aktivitetet përgatitore dhe mbikëqyrja: 4,281,600.00 Euro</w:t>
            </w:r>
          </w:p>
          <w:p w14:paraId="682EDD65" w14:textId="564820B7" w:rsidR="000F6885" w:rsidRPr="00D0393A" w:rsidRDefault="009103D6" w:rsidP="00C91A32">
            <w:pPr>
              <w:pStyle w:val="ListParagraph"/>
              <w:spacing w:before="60" w:after="60" w:line="260" w:lineRule="atLeast"/>
              <w:rPr>
                <w:rFonts w:eastAsia="Times New Roman" w:cs="Arial"/>
                <w:szCs w:val="20"/>
              </w:rPr>
            </w:pPr>
            <w:r>
              <w:t>LOT 1: Punimet ndërtimore: 53,520,000.00 Euro</w:t>
            </w:r>
          </w:p>
          <w:p w14:paraId="68F055DD" w14:textId="629AB8CD" w:rsidR="008515FF" w:rsidRPr="00A9011E" w:rsidRDefault="009103D6" w:rsidP="00D0393A">
            <w:pPr>
              <w:pStyle w:val="ListParagraph"/>
              <w:spacing w:before="60" w:after="60" w:line="260" w:lineRule="atLeast"/>
              <w:rPr>
                <w:rFonts w:cs="Arial"/>
                <w:szCs w:val="20"/>
              </w:rPr>
            </w:pPr>
            <w:r>
              <w:t>LOT</w:t>
            </w:r>
            <w:r w:rsidR="004C02A3">
              <w:t xml:space="preserve"> </w:t>
            </w:r>
            <w:r>
              <w:t>2: Punimet ndërtimore: 3,840.000.00 Euro</w:t>
            </w:r>
          </w:p>
        </w:tc>
      </w:tr>
      <w:tr w:rsidR="0074067A" w:rsidRPr="0074067A" w14:paraId="526E312B"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E3EB8D3" w14:textId="7B85F640" w:rsidR="0074067A" w:rsidRPr="0074067A" w:rsidRDefault="0074067A" w:rsidP="0074067A">
            <w:pPr>
              <w:spacing w:before="60" w:after="60" w:line="260" w:lineRule="atLeast"/>
              <w:rPr>
                <w:rFonts w:ascii="Arial" w:hAnsi="Arial" w:cs="Arial"/>
                <w:b/>
                <w:sz w:val="20"/>
                <w:szCs w:val="20"/>
              </w:rPr>
            </w:pPr>
            <w:r>
              <w:rPr>
                <w:rFonts w:ascii="Arial" w:hAnsi="Arial"/>
                <w:b/>
                <w:sz w:val="20"/>
              </w:rPr>
              <w:t>Personi përgjegj</w:t>
            </w:r>
            <w:r w:rsidR="004C02A3">
              <w:rPr>
                <w:rFonts w:ascii="Arial" w:hAnsi="Arial"/>
                <w:b/>
                <w:sz w:val="20"/>
              </w:rPr>
              <w:t>ës ose i autorizuar për kontakt</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tcPr>
          <w:p w14:paraId="17452376" w14:textId="0D2EFF5B" w:rsidR="0074067A" w:rsidRPr="00235F29" w:rsidRDefault="003718CE" w:rsidP="0074067A">
            <w:pPr>
              <w:spacing w:before="60" w:after="60" w:line="260" w:lineRule="atLeast"/>
              <w:rPr>
                <w:rFonts w:ascii="Arial" w:hAnsi="Arial" w:cs="Arial"/>
                <w:b/>
                <w:sz w:val="20"/>
                <w:szCs w:val="20"/>
              </w:rPr>
            </w:pPr>
            <w:r>
              <w:rPr>
                <w:rFonts w:ascii="Arial" w:hAnsi="Arial"/>
                <w:sz w:val="20"/>
              </w:rPr>
              <w:t>Alban Imeri</w:t>
            </w:r>
          </w:p>
        </w:tc>
      </w:tr>
      <w:tr w:rsidR="0074067A" w:rsidRPr="0074067A" w14:paraId="12741ACD"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68612D83" w14:textId="116C4C84" w:rsidR="0074067A" w:rsidRPr="0074067A" w:rsidRDefault="004C02A3" w:rsidP="0074067A">
            <w:pPr>
              <w:spacing w:before="60" w:after="60" w:line="260" w:lineRule="atLeast"/>
              <w:rPr>
                <w:rFonts w:ascii="Arial" w:hAnsi="Arial" w:cs="Arial"/>
                <w:bCs/>
                <w:sz w:val="20"/>
                <w:szCs w:val="20"/>
              </w:rPr>
            </w:pPr>
            <w:r>
              <w:rPr>
                <w:rFonts w:ascii="Arial" w:hAnsi="Arial"/>
                <w:sz w:val="20"/>
              </w:rPr>
              <w:t>Emri – Pozita</w:t>
            </w:r>
          </w:p>
        </w:tc>
        <w:tc>
          <w:tcPr>
            <w:tcW w:w="3011" w:type="pct"/>
            <w:tcBorders>
              <w:top w:val="single" w:sz="4" w:space="0" w:color="auto"/>
              <w:left w:val="single" w:sz="4" w:space="0" w:color="auto"/>
              <w:bottom w:val="single" w:sz="4" w:space="0" w:color="auto"/>
              <w:right w:val="single" w:sz="4" w:space="0" w:color="auto"/>
            </w:tcBorders>
            <w:vAlign w:val="center"/>
          </w:tcPr>
          <w:p w14:paraId="731BF432" w14:textId="77777777" w:rsidR="0074067A" w:rsidRPr="0074067A" w:rsidRDefault="00235F29" w:rsidP="0074067A">
            <w:pPr>
              <w:spacing w:before="60" w:after="60" w:line="260" w:lineRule="atLeast"/>
              <w:rPr>
                <w:rFonts w:ascii="Arial" w:hAnsi="Arial" w:cs="Arial"/>
                <w:sz w:val="20"/>
                <w:szCs w:val="20"/>
              </w:rPr>
            </w:pPr>
            <w:r>
              <w:rPr>
                <w:rFonts w:ascii="Arial" w:hAnsi="Arial"/>
                <w:sz w:val="20"/>
              </w:rPr>
              <w:t>Alban Imeri - Drejtor i Departamentit të Zhvillimit të Rrjetit dhe Projekteve</w:t>
            </w:r>
          </w:p>
        </w:tc>
      </w:tr>
      <w:tr w:rsidR="0074067A" w:rsidRPr="0074067A" w14:paraId="383686BD"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B34EF09" w14:textId="74A3CE5A" w:rsidR="0074067A" w:rsidRPr="0074067A" w:rsidRDefault="004C02A3" w:rsidP="0074067A">
            <w:pPr>
              <w:spacing w:before="60" w:after="60" w:line="260" w:lineRule="atLeast"/>
              <w:rPr>
                <w:rFonts w:ascii="Arial" w:hAnsi="Arial" w:cs="Arial"/>
                <w:bCs/>
                <w:sz w:val="20"/>
                <w:szCs w:val="20"/>
              </w:rPr>
            </w:pPr>
            <w:r>
              <w:rPr>
                <w:rFonts w:ascii="Arial" w:hAnsi="Arial"/>
                <w:sz w:val="20"/>
              </w:rPr>
              <w:t>Adresa e emailit - Telefoni</w:t>
            </w:r>
          </w:p>
        </w:tc>
        <w:tc>
          <w:tcPr>
            <w:tcW w:w="3011" w:type="pct"/>
            <w:tcBorders>
              <w:top w:val="single" w:sz="4" w:space="0" w:color="auto"/>
              <w:left w:val="single" w:sz="4" w:space="0" w:color="auto"/>
              <w:bottom w:val="single" w:sz="4" w:space="0" w:color="auto"/>
              <w:right w:val="single" w:sz="4" w:space="0" w:color="auto"/>
            </w:tcBorders>
            <w:vAlign w:val="center"/>
          </w:tcPr>
          <w:p w14:paraId="08C2E777" w14:textId="0233B6BD" w:rsidR="0074067A" w:rsidRPr="0074067A" w:rsidRDefault="000A0025" w:rsidP="0074067A">
            <w:pPr>
              <w:spacing w:before="60" w:after="60" w:line="260" w:lineRule="atLeast"/>
              <w:rPr>
                <w:rFonts w:ascii="Arial" w:hAnsi="Arial" w:cs="Arial"/>
                <w:sz w:val="20"/>
                <w:szCs w:val="20"/>
              </w:rPr>
            </w:pPr>
            <w:hyperlink r:id="rId9" w:history="1">
              <w:r w:rsidR="003718CE">
                <w:rPr>
                  <w:rStyle w:val="Hyperlink"/>
                  <w:rFonts w:ascii="Arial" w:hAnsi="Arial"/>
                  <w:sz w:val="20"/>
                </w:rPr>
                <w:t>alban.imeri@kostt.com</w:t>
              </w:r>
            </w:hyperlink>
            <w:r w:rsidR="003718CE">
              <w:rPr>
                <w:rFonts w:ascii="Arial" w:hAnsi="Arial"/>
                <w:sz w:val="20"/>
              </w:rPr>
              <w:t>, tel: 00383 5016011040</w:t>
            </w:r>
          </w:p>
        </w:tc>
      </w:tr>
    </w:tbl>
    <w:p w14:paraId="72EA1736" w14:textId="77777777" w:rsidR="0083451C" w:rsidRPr="0074067A" w:rsidRDefault="0074067A" w:rsidP="003914F0">
      <w:pPr>
        <w:pStyle w:val="ListParagraph"/>
        <w:numPr>
          <w:ilvl w:val="0"/>
          <w:numId w:val="2"/>
        </w:numPr>
        <w:spacing w:before="200" w:after="120"/>
        <w:jc w:val="both"/>
        <w:rPr>
          <w:rFonts w:cs="Arial"/>
          <w:b/>
          <w:szCs w:val="20"/>
        </w:rPr>
      </w:pPr>
      <w:r>
        <w:rPr>
          <w:b/>
        </w:rPr>
        <w:t>PËRSHKRIMI I PROJEKTIT</w:t>
      </w:r>
    </w:p>
    <w:tbl>
      <w:tblPr>
        <w:tblW w:w="5000" w:type="pct"/>
        <w:tblLook w:val="01E0" w:firstRow="1" w:lastRow="1" w:firstColumn="1" w:lastColumn="1" w:noHBand="0" w:noVBand="0"/>
      </w:tblPr>
      <w:tblGrid>
        <w:gridCol w:w="3685"/>
        <w:gridCol w:w="6211"/>
      </w:tblGrid>
      <w:tr w:rsidR="0074067A" w:rsidRPr="0074067A" w14:paraId="5440218C" w14:textId="77777777" w:rsidTr="0074067A">
        <w:trPr>
          <w:trHeight w:val="346"/>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198979A4"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Qëllimi i projektit infrastrukturor</w:t>
            </w:r>
          </w:p>
        </w:tc>
        <w:tc>
          <w:tcPr>
            <w:tcW w:w="3138" w:type="pct"/>
            <w:tcBorders>
              <w:top w:val="single" w:sz="4" w:space="0" w:color="auto"/>
              <w:left w:val="single" w:sz="4" w:space="0" w:color="auto"/>
              <w:bottom w:val="single" w:sz="4" w:space="0" w:color="auto"/>
              <w:right w:val="single" w:sz="4" w:space="0" w:color="auto"/>
            </w:tcBorders>
          </w:tcPr>
          <w:p w14:paraId="489473B5" w14:textId="7E61CD93" w:rsidR="009A5BBC" w:rsidRDefault="000A7643" w:rsidP="001F115B">
            <w:pPr>
              <w:spacing w:before="60" w:after="60" w:line="260" w:lineRule="atLeast"/>
              <w:jc w:val="both"/>
              <w:rPr>
                <w:rFonts w:ascii="Arial" w:hAnsi="Arial" w:cs="Arial"/>
                <w:bCs/>
                <w:sz w:val="20"/>
                <w:szCs w:val="20"/>
              </w:rPr>
            </w:pPr>
            <w:r>
              <w:rPr>
                <w:rFonts w:ascii="Arial" w:hAnsi="Arial"/>
                <w:sz w:val="20"/>
              </w:rPr>
              <w:t>Projekti përfshin një paketë të investimeve prioritare që dalin nga Plani Zhvillimor i Rrjetit të Transmisionit të Operatorit të Sistemit, Transmisionit dhe Tregut të Kosovës - KOSTT. Masat do të kontribuojnë në sigurinë e furnizimit, rritjen e fleksibilitetit të sistemit të transmisionit dhe integrimin e energjive të ripërtëritshme.</w:t>
            </w:r>
          </w:p>
          <w:p w14:paraId="4A0C4858" w14:textId="6B9BB3AC" w:rsidR="0074067A" w:rsidRPr="0074067A" w:rsidRDefault="00D0393A" w:rsidP="00D0393A">
            <w:pPr>
              <w:spacing w:before="60" w:after="60" w:line="260" w:lineRule="atLeast"/>
              <w:jc w:val="both"/>
              <w:rPr>
                <w:rFonts w:ascii="Arial" w:hAnsi="Arial" w:cs="Arial"/>
                <w:bCs/>
                <w:sz w:val="20"/>
                <w:szCs w:val="20"/>
              </w:rPr>
            </w:pPr>
            <w:r>
              <w:rPr>
                <w:rFonts w:ascii="Arial" w:hAnsi="Arial"/>
                <w:sz w:val="20"/>
              </w:rPr>
              <w:t xml:space="preserve">Projekti do të varet kryesisht nga zhvillimet në sektorin e energjisë në të dy vendet si dhe në rajon gjatë 5 viteve të ardhshme. Integrimi </w:t>
            </w:r>
            <w:r>
              <w:rPr>
                <w:rFonts w:ascii="Arial" w:hAnsi="Arial"/>
                <w:sz w:val="20"/>
              </w:rPr>
              <w:lastRenderedPageBreak/>
              <w:t>i 1400 MW shtesë nga BRE në konfigurimin aktual të rrjetit të transmisionit do të jetë mjaft sfiduese për KOSTT-in. Nëse mendohet dekarbonizimi i plotë i sektorit të energjisë elektrike deri në vitin 2050, atëherë tani është koha për të bërë projektimet afatgjata të një konfigurimi optimal të rrjetit 400 kV në Kosovë dhe Shqipëri.</w:t>
            </w:r>
          </w:p>
        </w:tc>
      </w:tr>
      <w:tr w:rsidR="0074067A" w:rsidRPr="0074067A" w14:paraId="2BA0CEDF" w14:textId="77777777" w:rsidTr="0074067A">
        <w:trPr>
          <w:trHeight w:val="330"/>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3B53DFEF"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lastRenderedPageBreak/>
              <w:t>Rezultatet e projektit infrastrukturor</w:t>
            </w:r>
          </w:p>
        </w:tc>
        <w:tc>
          <w:tcPr>
            <w:tcW w:w="3138" w:type="pct"/>
            <w:tcBorders>
              <w:top w:val="single" w:sz="4" w:space="0" w:color="auto"/>
              <w:left w:val="single" w:sz="4" w:space="0" w:color="auto"/>
              <w:bottom w:val="single" w:sz="4" w:space="0" w:color="auto"/>
              <w:right w:val="single" w:sz="4" w:space="0" w:color="auto"/>
            </w:tcBorders>
          </w:tcPr>
          <w:p w14:paraId="5262BC16" w14:textId="7B435167" w:rsidR="00B613C9" w:rsidRDefault="00B613C9" w:rsidP="001F115B">
            <w:pPr>
              <w:spacing w:before="60" w:after="60" w:line="260" w:lineRule="atLeast"/>
              <w:jc w:val="both"/>
              <w:rPr>
                <w:rFonts w:ascii="Arial" w:hAnsi="Arial" w:cs="Arial"/>
                <w:bCs/>
                <w:sz w:val="20"/>
                <w:szCs w:val="20"/>
              </w:rPr>
            </w:pPr>
            <w:r>
              <w:rPr>
                <w:rFonts w:ascii="Arial" w:hAnsi="Arial"/>
                <w:sz w:val="20"/>
              </w:rPr>
              <w:t>Popullata e synuar që përfiton nga ky projekt janë të gjitha amvisëritë, institucionet publike, bizneset dhe burimet e ardhshme të ripërtëritshme të energjisë së Republikës së Kosovës, pasi të gjitha kategoritë e konsumatorëve të energjisë do të mund të përdorin furnizim efikas dhe të pandërprerë me energji të cilësisë adekuate.</w:t>
            </w:r>
          </w:p>
          <w:p w14:paraId="1BC2B921" w14:textId="08190A2C" w:rsidR="00E621C8" w:rsidRDefault="00E621C8" w:rsidP="001F115B">
            <w:pPr>
              <w:spacing w:before="60" w:after="60" w:line="260" w:lineRule="atLeast"/>
              <w:jc w:val="both"/>
              <w:rPr>
                <w:rFonts w:ascii="Arial" w:hAnsi="Arial" w:cs="Arial"/>
                <w:bCs/>
                <w:sz w:val="20"/>
                <w:szCs w:val="20"/>
              </w:rPr>
            </w:pPr>
            <w:r>
              <w:rPr>
                <w:rFonts w:ascii="Arial" w:hAnsi="Arial"/>
                <w:sz w:val="20"/>
              </w:rPr>
              <w:t>Rezultatet e pritshme të projektit janë si më poshtë:</w:t>
            </w:r>
          </w:p>
          <w:p w14:paraId="122AFE3B" w14:textId="4743FA55" w:rsidR="00AA5173" w:rsidRDefault="00AA5173" w:rsidP="003914F0">
            <w:pPr>
              <w:pStyle w:val="ListParagraph"/>
              <w:numPr>
                <w:ilvl w:val="0"/>
                <w:numId w:val="7"/>
              </w:numPr>
              <w:spacing w:before="60" w:after="60" w:line="260" w:lineRule="atLeast"/>
              <w:jc w:val="both"/>
              <w:rPr>
                <w:rFonts w:cs="Arial"/>
                <w:bCs/>
                <w:szCs w:val="20"/>
              </w:rPr>
            </w:pPr>
            <w:r>
              <w:t>Mundëson tranzicionin energjetik dhe dekarbonizimin e sektorit përmes integrimit të kapaciteteve të reja gjeneruese nga BRE;</w:t>
            </w:r>
          </w:p>
          <w:p w14:paraId="27D0B2A0" w14:textId="4241EDE4" w:rsidR="00E621C8" w:rsidRDefault="00AA5173" w:rsidP="003914F0">
            <w:pPr>
              <w:pStyle w:val="ListParagraph"/>
              <w:numPr>
                <w:ilvl w:val="0"/>
                <w:numId w:val="7"/>
              </w:numPr>
              <w:spacing w:before="60" w:after="60" w:line="260" w:lineRule="atLeast"/>
              <w:jc w:val="both"/>
              <w:rPr>
                <w:rFonts w:cs="Arial"/>
                <w:bCs/>
                <w:szCs w:val="20"/>
              </w:rPr>
            </w:pPr>
            <w:r>
              <w:t xml:space="preserve">Krijon kushte për integrimin e aftësive të BRE përtej objektivave të Strategjisë së Energjisë 2022-2031; </w:t>
            </w:r>
          </w:p>
          <w:p w14:paraId="0C615EF2" w14:textId="3F1E4C40" w:rsidR="00E621C8" w:rsidRDefault="00E621C8" w:rsidP="003914F0">
            <w:pPr>
              <w:pStyle w:val="ListParagraph"/>
              <w:numPr>
                <w:ilvl w:val="0"/>
                <w:numId w:val="7"/>
              </w:numPr>
              <w:spacing w:before="60" w:after="60" w:line="260" w:lineRule="atLeast"/>
              <w:jc w:val="both"/>
              <w:rPr>
                <w:rFonts w:cs="Arial"/>
                <w:bCs/>
                <w:szCs w:val="20"/>
              </w:rPr>
            </w:pPr>
            <w:r>
              <w:t>Rritja e cilësisë dhe sigurisë së furnizimit;</w:t>
            </w:r>
          </w:p>
          <w:p w14:paraId="5761F5F5" w14:textId="0E5B2DB6" w:rsidR="00AA5173" w:rsidRDefault="00AA5173" w:rsidP="003914F0">
            <w:pPr>
              <w:pStyle w:val="ListParagraph"/>
              <w:numPr>
                <w:ilvl w:val="0"/>
                <w:numId w:val="7"/>
              </w:numPr>
              <w:spacing w:before="60" w:after="60" w:line="260" w:lineRule="atLeast"/>
              <w:jc w:val="both"/>
              <w:rPr>
                <w:rFonts w:cs="Arial"/>
                <w:bCs/>
                <w:szCs w:val="20"/>
              </w:rPr>
            </w:pPr>
            <w:r>
              <w:t>Krijon kushte teknike për arritjen e kriterit 70% të shfrytëzimit të kapaciteteve të ndërlidhjes për tregun e energjisë elektrike, në përputhje me Rregulloren e BE-së (2019/943);</w:t>
            </w:r>
          </w:p>
          <w:p w14:paraId="00C99014" w14:textId="320E5D03" w:rsidR="0074067A" w:rsidRDefault="00AA5173" w:rsidP="003914F0">
            <w:pPr>
              <w:pStyle w:val="ListParagraph"/>
              <w:numPr>
                <w:ilvl w:val="0"/>
                <w:numId w:val="7"/>
              </w:numPr>
              <w:spacing w:before="60" w:after="60" w:line="260" w:lineRule="atLeast"/>
              <w:jc w:val="both"/>
              <w:rPr>
                <w:rFonts w:cs="Arial"/>
                <w:bCs/>
                <w:szCs w:val="20"/>
              </w:rPr>
            </w:pPr>
            <w:r>
              <w:t>Rrit besueshmërinë dhe sigurinë e rrjetit rajonal 400 kV;</w:t>
            </w:r>
          </w:p>
          <w:p w14:paraId="26E1C5B9" w14:textId="64774E9E" w:rsidR="00AA5173" w:rsidRDefault="00AA5173" w:rsidP="003914F0">
            <w:pPr>
              <w:pStyle w:val="ListParagraph"/>
              <w:numPr>
                <w:ilvl w:val="0"/>
                <w:numId w:val="7"/>
              </w:numPr>
              <w:spacing w:before="60" w:after="60" w:line="260" w:lineRule="atLeast"/>
              <w:jc w:val="both"/>
              <w:rPr>
                <w:rFonts w:cs="Arial"/>
                <w:bCs/>
                <w:szCs w:val="20"/>
              </w:rPr>
            </w:pPr>
            <w:r>
              <w:t xml:space="preserve">Ndihmon në sigurinë e shkëmbimeve të energjisë elektrike ndërmjet Kosovës dhe Shqipërisë dhe vendeve të rajonit, apo transiteve të energjisë elektrike që kalojnë përmes rrjetit horizontal; </w:t>
            </w:r>
          </w:p>
          <w:p w14:paraId="334A4A3E" w14:textId="63B551B0" w:rsidR="00AA5173" w:rsidRDefault="00D0393A" w:rsidP="003914F0">
            <w:pPr>
              <w:pStyle w:val="ListParagraph"/>
              <w:numPr>
                <w:ilvl w:val="0"/>
                <w:numId w:val="7"/>
              </w:numPr>
              <w:spacing w:before="60" w:after="60" w:line="260" w:lineRule="atLeast"/>
              <w:jc w:val="both"/>
              <w:rPr>
                <w:rFonts w:cs="Arial"/>
                <w:bCs/>
                <w:szCs w:val="20"/>
              </w:rPr>
            </w:pPr>
            <w:r>
              <w:t>Mundëson rikonfigurimin e rrjetit 110 kV në mënyrë që të optimizohen rrjedhat e fuqisë si dhe të optimizohen sistemet operative të Kosovës dhe Shqipërisë;</w:t>
            </w:r>
          </w:p>
          <w:p w14:paraId="4FA8F57A" w14:textId="79787BC4" w:rsidR="00E621C8" w:rsidRDefault="00E621C8" w:rsidP="003914F0">
            <w:pPr>
              <w:pStyle w:val="ListParagraph"/>
              <w:numPr>
                <w:ilvl w:val="0"/>
                <w:numId w:val="7"/>
              </w:numPr>
              <w:spacing w:before="60" w:after="60" w:line="260" w:lineRule="atLeast"/>
              <w:jc w:val="both"/>
              <w:rPr>
                <w:rFonts w:cs="Arial"/>
                <w:bCs/>
                <w:szCs w:val="20"/>
              </w:rPr>
            </w:pPr>
            <w:r>
              <w:t xml:space="preserve">Zhvillimi ekonomik; </w:t>
            </w:r>
          </w:p>
          <w:p w14:paraId="1FDE3B97" w14:textId="7D651B69" w:rsidR="00D0393A" w:rsidRPr="00D0393A" w:rsidRDefault="00DF6D8B" w:rsidP="003914F0">
            <w:pPr>
              <w:pStyle w:val="ListParagraph"/>
              <w:numPr>
                <w:ilvl w:val="0"/>
                <w:numId w:val="7"/>
              </w:numPr>
              <w:spacing w:before="60" w:after="60" w:line="260" w:lineRule="atLeast"/>
              <w:jc w:val="both"/>
              <w:rPr>
                <w:rFonts w:cs="Arial"/>
                <w:bCs/>
                <w:szCs w:val="20"/>
              </w:rPr>
            </w:pPr>
            <w:r>
              <w:t>Rritja e shkëmbimeve tregtare.</w:t>
            </w:r>
          </w:p>
        </w:tc>
      </w:tr>
      <w:tr w:rsidR="0074067A" w:rsidRPr="0074067A" w14:paraId="13CA4171" w14:textId="77777777" w:rsidTr="004B21C7">
        <w:trPr>
          <w:trHeight w:val="3772"/>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532D11A2" w14:textId="62245FD1" w:rsidR="0074067A" w:rsidRPr="0074067A" w:rsidRDefault="0074067A" w:rsidP="00D0393A">
            <w:pPr>
              <w:spacing w:before="60" w:after="60" w:line="260" w:lineRule="atLeast"/>
              <w:rPr>
                <w:rFonts w:ascii="Arial" w:hAnsi="Arial" w:cs="Arial"/>
                <w:bCs/>
                <w:sz w:val="20"/>
                <w:szCs w:val="20"/>
              </w:rPr>
            </w:pPr>
            <w:r>
              <w:rPr>
                <w:rFonts w:ascii="Arial" w:hAnsi="Arial"/>
                <w:sz w:val="20"/>
              </w:rPr>
              <w:t xml:space="preserve">Përshkrimi i përgjithshëm </w:t>
            </w:r>
          </w:p>
        </w:tc>
        <w:tc>
          <w:tcPr>
            <w:tcW w:w="3138" w:type="pct"/>
            <w:tcBorders>
              <w:top w:val="single" w:sz="4" w:space="0" w:color="auto"/>
              <w:left w:val="single" w:sz="4" w:space="0" w:color="auto"/>
              <w:bottom w:val="single" w:sz="4" w:space="0" w:color="auto"/>
              <w:right w:val="single" w:sz="4" w:space="0" w:color="auto"/>
            </w:tcBorders>
          </w:tcPr>
          <w:p w14:paraId="261E8DC2" w14:textId="638335F9" w:rsidR="000A7643" w:rsidRPr="008541A7" w:rsidRDefault="00D0393A" w:rsidP="001F115B">
            <w:pPr>
              <w:spacing w:before="60" w:after="60" w:line="260" w:lineRule="atLeast"/>
              <w:jc w:val="both"/>
              <w:rPr>
                <w:rFonts w:ascii="Arial" w:hAnsi="Arial" w:cs="Arial"/>
                <w:bCs/>
                <w:sz w:val="20"/>
                <w:szCs w:val="20"/>
              </w:rPr>
            </w:pPr>
            <w:r>
              <w:rPr>
                <w:rFonts w:ascii="Arial" w:hAnsi="Arial"/>
                <w:sz w:val="20"/>
              </w:rPr>
              <w:t>Kosova ka kufij me katër nga gjashtë vendet e Ballkanit Perëndimor. Për shkak të pozicionit të tij gjeografik, rrjeti i transmisionit përbën një lidhje jetike midis sistemeve të transmisionit të rajonit për krijimin e tregut dhe rritjen e efikasitetit për sistemin rajonal. Kur të përfundohen, masat e projektit do të kontribuojnë në lidhjen rajonale duke (i) përmirësuar zgjidhjen e disbalancave dhe (ii) duke mundësuar tregtinë shtesë ndërmjet Kosovës dhe Shqipërisë dhe optimizimin e sistemeve të tyre energjetike.</w:t>
            </w:r>
          </w:p>
          <w:p w14:paraId="604393AD" w14:textId="3668096E" w:rsidR="000A7643" w:rsidRPr="008541A7" w:rsidRDefault="000A7643" w:rsidP="001F115B">
            <w:pPr>
              <w:spacing w:before="60" w:after="60" w:line="260" w:lineRule="atLeast"/>
              <w:jc w:val="both"/>
              <w:rPr>
                <w:rFonts w:ascii="Arial" w:hAnsi="Arial" w:cs="Arial"/>
                <w:bCs/>
                <w:sz w:val="20"/>
                <w:szCs w:val="20"/>
              </w:rPr>
            </w:pPr>
            <w:r>
              <w:rPr>
                <w:rFonts w:ascii="Arial" w:hAnsi="Arial"/>
                <w:sz w:val="20"/>
              </w:rPr>
              <w:t>Projektet do të varen kryesisht nga zhvillimet në sektorin e energjisë në të dy vendet si dhe në rajon gjatë 5 viteve të ardhshme. Integrimi i 1400 MW shtesë nga BRE në konfigurimin aktual të rrjetit të transmisionit do të jetë mjaft sfiduese për KOSTT-in. Nëse mendohet dekarbonizimi i plotë i sektorit të energjisë elektrike deri në vitin 2050, atëherë tani është koha për të bërë projektimet afatgjata të një konfigurimi optimal të rrjetit 400 kV në Kosovë dhe Shqipëri.</w:t>
            </w:r>
          </w:p>
          <w:p w14:paraId="1AD14FB2" w14:textId="77777777" w:rsidR="000A7643" w:rsidRPr="009A5BBC" w:rsidRDefault="000A7643" w:rsidP="001F115B">
            <w:pPr>
              <w:spacing w:before="60" w:after="60" w:line="260" w:lineRule="atLeast"/>
              <w:jc w:val="both"/>
              <w:rPr>
                <w:rFonts w:ascii="Arial" w:hAnsi="Arial" w:cs="Arial"/>
                <w:bCs/>
                <w:i/>
                <w:sz w:val="20"/>
                <w:szCs w:val="20"/>
              </w:rPr>
            </w:pPr>
            <w:r>
              <w:rPr>
                <w:rFonts w:ascii="Arial" w:hAnsi="Arial"/>
                <w:i/>
                <w:sz w:val="20"/>
              </w:rPr>
              <w:t>Projekti LOT1 “Rikonfigurimi i rrjetit 400 kV dhe linja e re e interkonjeksionit 400 kV NS Nashec (Prizren 2) – NS Fierza” do të realizohet në dy faza:</w:t>
            </w:r>
          </w:p>
          <w:p w14:paraId="6AEB2A71" w14:textId="77777777" w:rsidR="000A7643" w:rsidRPr="008541A7" w:rsidRDefault="000A7643" w:rsidP="001F115B">
            <w:pPr>
              <w:spacing w:before="60" w:after="60" w:line="260" w:lineRule="atLeast"/>
              <w:jc w:val="both"/>
              <w:rPr>
                <w:rFonts w:ascii="Arial" w:hAnsi="Arial" w:cs="Arial"/>
                <w:bCs/>
                <w:sz w:val="20"/>
                <w:szCs w:val="20"/>
              </w:rPr>
            </w:pPr>
            <w:r>
              <w:rPr>
                <w:rFonts w:ascii="Arial" w:hAnsi="Arial"/>
                <w:i/>
                <w:sz w:val="20"/>
              </w:rPr>
              <w:t xml:space="preserve"> </w:t>
            </w:r>
            <w:r>
              <w:rPr>
                <w:rFonts w:ascii="Arial" w:hAnsi="Arial"/>
                <w:sz w:val="20"/>
              </w:rPr>
              <w:t>Faza e Parë.</w:t>
            </w:r>
          </w:p>
          <w:p w14:paraId="5AC81587" w14:textId="2D8D1ECD" w:rsidR="000A7643" w:rsidRPr="008541A7" w:rsidRDefault="000A7643" w:rsidP="001F115B">
            <w:pPr>
              <w:spacing w:before="60" w:after="60" w:line="260" w:lineRule="atLeast"/>
              <w:jc w:val="both"/>
              <w:rPr>
                <w:rFonts w:ascii="Arial" w:hAnsi="Arial" w:cs="Arial"/>
                <w:bCs/>
                <w:sz w:val="20"/>
                <w:szCs w:val="20"/>
              </w:rPr>
            </w:pPr>
            <w:r>
              <w:rPr>
                <w:rFonts w:ascii="Arial" w:hAnsi="Arial"/>
                <w:sz w:val="20"/>
              </w:rPr>
              <w:t>• Ndërtimi i Nënstacionit ndërlidhës. Stacioni i shpërndarjes në Gjakovë, 400 kV i cili do të ketë linja 400 kV dhe një nënstacioni ndërlidhës. W. Gjakova është e pozicionuar shumë afër linjës interkonektive 400 kV NS Kosova B – NS Koman.</w:t>
            </w:r>
          </w:p>
          <w:p w14:paraId="48EECC36" w14:textId="77777777" w:rsidR="000A7643" w:rsidRPr="008541A7" w:rsidRDefault="000A7643" w:rsidP="001F115B">
            <w:pPr>
              <w:spacing w:before="60" w:after="60" w:line="260" w:lineRule="atLeast"/>
              <w:jc w:val="both"/>
              <w:rPr>
                <w:rFonts w:ascii="Arial" w:hAnsi="Arial" w:cs="Arial"/>
                <w:bCs/>
                <w:sz w:val="20"/>
                <w:szCs w:val="20"/>
              </w:rPr>
            </w:pPr>
            <w:r>
              <w:rPr>
                <w:rFonts w:ascii="Arial" w:hAnsi="Arial"/>
                <w:sz w:val="20"/>
              </w:rPr>
              <w:t xml:space="preserve">• Ndërtimi i NS Nashec 400/110 kV i cili fillimisht do të ketë të instaluar një autotransformator 300 MVA. Nënstacioni do të </w:t>
            </w:r>
            <w:r>
              <w:rPr>
                <w:rFonts w:ascii="Arial" w:hAnsi="Arial"/>
                <w:sz w:val="20"/>
              </w:rPr>
              <w:lastRenderedPageBreak/>
              <w:t>pozicionohet në seksionin vijues të NS Prizreni 2, ku do të shfrytëzohen binarët ekzistues 110 kV, me ndryshimin e vendosjes së ndarësit tërthorë të shufrave 110 kV. Nënstacioni parashikon ndërtimin e zhytjeve të dyfishta 400 kV të cilat do të përmbajnë dy zona me linja 400 kV dhe hapësirë të mjaftueshme për linjat e tjera dhe transformatorët. Dy nënstacionet do të punojnë paralelisht në anën 110 kV, që nënkupton përdorimin e autotransformatorëve ekzistuese e M.V.A 3x150 të NS Prizreni 2 deri në fund të ciklit të tyre jetësor.</w:t>
            </w:r>
          </w:p>
          <w:p w14:paraId="0C1D0A3D" w14:textId="77777777" w:rsidR="000A7643" w:rsidRPr="008541A7" w:rsidRDefault="000A7643" w:rsidP="001F115B">
            <w:pPr>
              <w:spacing w:before="60" w:after="60" w:line="260" w:lineRule="atLeast"/>
              <w:jc w:val="both"/>
              <w:rPr>
                <w:rFonts w:ascii="Arial" w:hAnsi="Arial" w:cs="Arial"/>
                <w:bCs/>
                <w:sz w:val="20"/>
                <w:szCs w:val="20"/>
              </w:rPr>
            </w:pPr>
            <w:r>
              <w:rPr>
                <w:rFonts w:ascii="Arial" w:hAnsi="Arial"/>
                <w:sz w:val="20"/>
              </w:rPr>
              <w:t>• Nënstacioni ndërlidhës Gjakova 3, 400kV do të lidhet përmes linjës 400kV, 2x490mm2 (1316MVA/1900A) me gjatësi 31.5 km në NS Prizreni 4, 400/110kV. Faza e parë është planifikuar të ndërtohet në vitin 2031.</w:t>
            </w:r>
          </w:p>
          <w:p w14:paraId="511E78BC" w14:textId="77777777" w:rsidR="000A7643" w:rsidRPr="000F3692" w:rsidRDefault="000A7643" w:rsidP="001F115B">
            <w:pPr>
              <w:spacing w:before="60" w:after="60" w:line="260" w:lineRule="atLeast"/>
              <w:jc w:val="both"/>
              <w:rPr>
                <w:rFonts w:ascii="Arial" w:hAnsi="Arial" w:cs="Arial"/>
                <w:bCs/>
                <w:i/>
                <w:sz w:val="20"/>
                <w:szCs w:val="20"/>
              </w:rPr>
            </w:pPr>
            <w:r>
              <w:rPr>
                <w:rFonts w:ascii="Arial" w:hAnsi="Arial"/>
                <w:i/>
                <w:sz w:val="20"/>
              </w:rPr>
              <w:t xml:space="preserve">Faza e dytë: </w:t>
            </w:r>
          </w:p>
          <w:p w14:paraId="190AB571" w14:textId="22C4991F" w:rsidR="000A7643" w:rsidRPr="008541A7" w:rsidRDefault="000A7643" w:rsidP="001F115B">
            <w:pPr>
              <w:spacing w:before="60" w:after="60" w:line="260" w:lineRule="atLeast"/>
              <w:jc w:val="both"/>
              <w:rPr>
                <w:rFonts w:ascii="Arial" w:hAnsi="Arial" w:cs="Arial"/>
                <w:bCs/>
                <w:sz w:val="20"/>
                <w:szCs w:val="20"/>
              </w:rPr>
            </w:pPr>
            <w:r>
              <w:rPr>
                <w:rFonts w:ascii="Arial" w:hAnsi="Arial"/>
                <w:sz w:val="20"/>
              </w:rPr>
              <w:t>• Ndërtimi i linjës së dytë të ndërlidhur 400 kV me Shqipërinë, NS Nashec 400/220/110 kV - NS Fierza 400/220/110 kV me gjatësi rreth 71 km (45 km në territorin e Kosovës).</w:t>
            </w:r>
          </w:p>
          <w:p w14:paraId="4ADF6E2A" w14:textId="0AC691D9" w:rsidR="000A7643" w:rsidRPr="009A5BBC" w:rsidRDefault="000A7643" w:rsidP="001F115B">
            <w:pPr>
              <w:spacing w:before="60" w:after="60" w:line="260" w:lineRule="atLeast"/>
              <w:jc w:val="both"/>
              <w:rPr>
                <w:rFonts w:ascii="Arial" w:hAnsi="Arial" w:cs="Arial"/>
                <w:bCs/>
                <w:i/>
                <w:sz w:val="20"/>
                <w:szCs w:val="20"/>
              </w:rPr>
            </w:pPr>
            <w:r>
              <w:rPr>
                <w:rFonts w:ascii="Arial" w:hAnsi="Arial"/>
                <w:sz w:val="20"/>
              </w:rPr>
              <w:t>• Paraqet fazën e mbylljes së unazës, me ndërtimin e linjës 400 kV, 35.5 km nga NS Prizreni 4 deri në NS Peja 3. Ndërtimi i kësaj linje mund të kryhet brenda periudhës kohore dhe duhet të jetë në koordinim kohor me projektet e planifikuara për rritjen e kapaciteteve gjeneruese nga BRE bazuar në strategjinë e energjisë 2022-2031</w:t>
            </w:r>
            <w:r>
              <w:rPr>
                <w:rFonts w:ascii="Arial" w:hAnsi="Arial"/>
                <w:i/>
                <w:sz w:val="20"/>
              </w:rPr>
              <w:t>.</w:t>
            </w:r>
          </w:p>
          <w:p w14:paraId="2EDB6F95" w14:textId="77777777" w:rsidR="000A7643" w:rsidRPr="000F3692" w:rsidRDefault="000A7643" w:rsidP="001F115B">
            <w:pPr>
              <w:spacing w:before="60" w:after="60" w:line="260" w:lineRule="atLeast"/>
              <w:jc w:val="both"/>
              <w:rPr>
                <w:rFonts w:ascii="Arial" w:hAnsi="Arial" w:cs="Arial"/>
                <w:bCs/>
                <w:i/>
                <w:sz w:val="20"/>
                <w:szCs w:val="20"/>
              </w:rPr>
            </w:pPr>
          </w:p>
          <w:p w14:paraId="3354743B" w14:textId="42CA7554" w:rsidR="000A7643" w:rsidRDefault="000A7643" w:rsidP="001F115B">
            <w:pPr>
              <w:spacing w:before="60" w:after="60" w:line="260" w:lineRule="atLeast"/>
              <w:jc w:val="both"/>
              <w:rPr>
                <w:rFonts w:ascii="Arial" w:hAnsi="Arial" w:cs="Arial"/>
                <w:bCs/>
                <w:i/>
                <w:sz w:val="20"/>
                <w:szCs w:val="20"/>
              </w:rPr>
            </w:pPr>
            <w:r>
              <w:rPr>
                <w:rFonts w:ascii="Arial" w:hAnsi="Arial"/>
                <w:i/>
                <w:sz w:val="20"/>
              </w:rPr>
              <w:t>LOT 2: “Ndërtimi i linjës së re të interkonjeksionit 110KV NS-Deçan - NS-Bajram Curr”</w:t>
            </w:r>
          </w:p>
          <w:p w14:paraId="590AB0D1" w14:textId="78A1EADC" w:rsidR="009A5BBC" w:rsidRPr="009A5BBC" w:rsidRDefault="009A5BBC" w:rsidP="001F115B">
            <w:pPr>
              <w:spacing w:before="60" w:after="60" w:line="260" w:lineRule="atLeast"/>
              <w:jc w:val="both"/>
              <w:rPr>
                <w:rFonts w:ascii="Arial" w:hAnsi="Arial" w:cs="Arial"/>
                <w:bCs/>
                <w:i/>
                <w:sz w:val="20"/>
                <w:szCs w:val="20"/>
              </w:rPr>
            </w:pPr>
            <w:r>
              <w:rPr>
                <w:rFonts w:ascii="Arial" w:hAnsi="Arial"/>
                <w:i/>
                <w:sz w:val="20"/>
              </w:rPr>
              <w:t>Të gjithë treguesit teknikë dhe ekonomikë favorizojnë variantin e koneksionit NS Deçan në NS Bajram Curr. Projekti parasheh ndërtimin e linjës së re të interkonjeksionit. Linja e interkonjeksionit 110 kV do të jetë seksion standard 240/49 mm2 dhe përçues mbrojtës OPGW (48 48 fije) dhe dy fole të linjës 110 kV me pajisje të kompletuara (një gji në NS Deçan dhe një gji në NS Bajram Curri).</w:t>
            </w:r>
          </w:p>
          <w:p w14:paraId="0A2E292E" w14:textId="77777777" w:rsidR="009A5BBC" w:rsidRPr="009A5BBC" w:rsidRDefault="009A5BBC" w:rsidP="001F115B">
            <w:pPr>
              <w:spacing w:before="60" w:after="60" w:line="260" w:lineRule="atLeast"/>
              <w:jc w:val="both"/>
              <w:rPr>
                <w:rFonts w:ascii="Arial" w:hAnsi="Arial" w:cs="Arial"/>
                <w:bCs/>
                <w:i/>
                <w:sz w:val="20"/>
                <w:szCs w:val="20"/>
              </w:rPr>
            </w:pPr>
            <w:r>
              <w:rPr>
                <w:rFonts w:ascii="Arial" w:hAnsi="Arial"/>
                <w:i/>
                <w:sz w:val="20"/>
              </w:rPr>
              <w:t>Gjatësia totale e linjës është 33 km:</w:t>
            </w:r>
          </w:p>
          <w:p w14:paraId="27EE88BA" w14:textId="3827D4FD" w:rsidR="009A5BBC" w:rsidRPr="009A5BBC" w:rsidRDefault="009A5BBC" w:rsidP="001F115B">
            <w:pPr>
              <w:spacing w:before="60" w:after="60" w:line="260" w:lineRule="atLeast"/>
              <w:jc w:val="both"/>
              <w:rPr>
                <w:rFonts w:ascii="Arial" w:hAnsi="Arial" w:cs="Arial"/>
                <w:bCs/>
                <w:i/>
                <w:sz w:val="20"/>
                <w:szCs w:val="20"/>
              </w:rPr>
            </w:pPr>
            <w:r>
              <w:rPr>
                <w:rFonts w:ascii="Arial" w:hAnsi="Arial"/>
                <w:i/>
                <w:sz w:val="20"/>
              </w:rPr>
              <w:t xml:space="preserve">19 km në territorin e Kosovës dhe </w:t>
            </w:r>
          </w:p>
          <w:p w14:paraId="6C03F732" w14:textId="05001832" w:rsidR="009A5BBC" w:rsidRDefault="009A5BBC" w:rsidP="001F115B">
            <w:pPr>
              <w:spacing w:before="60" w:after="60" w:line="260" w:lineRule="atLeast"/>
              <w:jc w:val="both"/>
              <w:rPr>
                <w:rFonts w:ascii="Arial" w:hAnsi="Arial" w:cs="Arial"/>
                <w:bCs/>
                <w:i/>
                <w:sz w:val="20"/>
                <w:szCs w:val="20"/>
              </w:rPr>
            </w:pPr>
            <w:r>
              <w:rPr>
                <w:rFonts w:ascii="Arial" w:hAnsi="Arial"/>
                <w:i/>
                <w:sz w:val="20"/>
              </w:rPr>
              <w:t>14 km ne territorin e Shqipërisë.</w:t>
            </w:r>
          </w:p>
          <w:p w14:paraId="3F0A9386" w14:textId="77FC437A" w:rsidR="00054317" w:rsidRPr="00390659" w:rsidRDefault="009A5BBC" w:rsidP="003C462E">
            <w:pPr>
              <w:spacing w:before="60" w:after="60" w:line="260" w:lineRule="atLeast"/>
              <w:jc w:val="both"/>
              <w:rPr>
                <w:rFonts w:ascii="Arial" w:hAnsi="Arial" w:cs="Arial"/>
                <w:bCs/>
                <w:i/>
                <w:sz w:val="20"/>
                <w:szCs w:val="20"/>
              </w:rPr>
            </w:pPr>
            <w:r>
              <w:rPr>
                <w:rFonts w:ascii="Arial" w:hAnsi="Arial"/>
                <w:i/>
                <w:sz w:val="20"/>
              </w:rPr>
              <w:t>KOSTT (Operator i Sistemit, Transmisionit dhe Tregut të Kosovës) dhe O.S.T. (Operatori i Sistemit të Transmetimit të Shqipërisë) në vazhdën e thellimit të bashkëpunimit dhe nisjes së funksionimit të O.S.T. dhe KOSTT në bllokun e përbashkët rregullator A.K. Objektivi kryesor i këtij studimi është vlerësimi i përfitimeve për Projektin e dytë për ndërtimin e linjës së re të ndërlidhur 110 kV në mes të KOSTT-it. Studimi analizon variante të ndryshme të lidhjes së NS Bajram Curri në formularin e unazës për plotësimin e kriterit të sigurisë N-1. Studimi përmban analiza të rrjedhës së fuqisë për skenarë të ndryshëm gjenerimi dhe kërkesash të bllokut rregullator A.K.  Viti referencë i zgjedhur është marrë viti 2028.</w:t>
            </w:r>
          </w:p>
        </w:tc>
      </w:tr>
    </w:tbl>
    <w:p w14:paraId="3659089A" w14:textId="77777777" w:rsidR="006F5DAE" w:rsidRDefault="006F5DAE" w:rsidP="006F5DAE">
      <w:pPr>
        <w:pStyle w:val="ListParagraph"/>
        <w:spacing w:line="240" w:lineRule="auto"/>
        <w:ind w:left="340"/>
        <w:rPr>
          <w:rFonts w:cs="Arial"/>
          <w:b/>
        </w:rPr>
      </w:pPr>
    </w:p>
    <w:p w14:paraId="10ABD8DC" w14:textId="5BABF91A" w:rsidR="006F1611" w:rsidRPr="0074067A" w:rsidRDefault="008D779E" w:rsidP="003914F0">
      <w:pPr>
        <w:pStyle w:val="ListParagraph"/>
        <w:numPr>
          <w:ilvl w:val="0"/>
          <w:numId w:val="2"/>
        </w:numPr>
        <w:spacing w:line="240" w:lineRule="auto"/>
        <w:rPr>
          <w:rFonts w:cs="Arial"/>
          <w:b/>
        </w:rPr>
      </w:pPr>
      <w:r>
        <w:rPr>
          <w:b/>
        </w:rPr>
        <w:t>KUALIFIKUESHMËRIA</w:t>
      </w:r>
      <w:bookmarkStart w:id="0" w:name="_GoBack"/>
      <w:bookmarkEnd w:id="0"/>
    </w:p>
    <w:p w14:paraId="2BAB2C64" w14:textId="77777777" w:rsidR="006F1611" w:rsidRDefault="006F1611">
      <w:pPr>
        <w:spacing w:after="0" w:line="240" w:lineRule="auto"/>
        <w:rPr>
          <w:rFonts w:ascii="Arial" w:hAnsi="Arial" w:cs="Arial"/>
        </w:rPr>
      </w:pPr>
    </w:p>
    <w:tbl>
      <w:tblPr>
        <w:tblW w:w="4947" w:type="pct"/>
        <w:tblInd w:w="108" w:type="dxa"/>
        <w:tblLook w:val="01E0" w:firstRow="1" w:lastRow="1" w:firstColumn="1" w:lastColumn="1" w:noHBand="0" w:noVBand="0"/>
      </w:tblPr>
      <w:tblGrid>
        <w:gridCol w:w="3938"/>
        <w:gridCol w:w="5853"/>
      </w:tblGrid>
      <w:tr w:rsidR="0074067A" w:rsidRPr="0074067A" w14:paraId="34515543" w14:textId="77777777" w:rsidTr="0074067A">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0D2C235" w14:textId="2CBF3A5A" w:rsidR="0074067A" w:rsidRPr="002E173C" w:rsidRDefault="0074067A" w:rsidP="004C02A3">
            <w:pPr>
              <w:spacing w:after="0" w:line="240" w:lineRule="auto"/>
              <w:rPr>
                <w:rFonts w:ascii="Arial" w:hAnsi="Arial" w:cs="Arial"/>
                <w:sz w:val="20"/>
                <w:szCs w:val="20"/>
              </w:rPr>
            </w:pPr>
            <w:r>
              <w:rPr>
                <w:rFonts w:ascii="Arial" w:hAnsi="Arial"/>
                <w:sz w:val="20"/>
              </w:rPr>
              <w:t>Koherenc</w:t>
            </w:r>
            <w:r w:rsidR="004C02A3">
              <w:rPr>
                <w:rFonts w:ascii="Arial" w:hAnsi="Arial"/>
                <w:sz w:val="20"/>
              </w:rPr>
              <w:t>a</w:t>
            </w:r>
            <w:r>
              <w:rPr>
                <w:rFonts w:ascii="Arial" w:hAnsi="Arial"/>
                <w:sz w:val="20"/>
              </w:rPr>
              <w:t xml:space="preserve"> me politikat dhe strategjitë e vlefshme të BE-së</w:t>
            </w:r>
          </w:p>
        </w:tc>
        <w:tc>
          <w:tcPr>
            <w:tcW w:w="2989" w:type="pct"/>
            <w:tcBorders>
              <w:top w:val="single" w:sz="4" w:space="0" w:color="auto"/>
              <w:left w:val="single" w:sz="4" w:space="0" w:color="auto"/>
              <w:bottom w:val="single" w:sz="4" w:space="0" w:color="auto"/>
              <w:right w:val="single" w:sz="4" w:space="0" w:color="auto"/>
            </w:tcBorders>
          </w:tcPr>
          <w:p w14:paraId="4348FF5E" w14:textId="1A58BE47" w:rsidR="001112F0" w:rsidRPr="00D0393A" w:rsidRDefault="001112F0" w:rsidP="001F115B">
            <w:pPr>
              <w:spacing w:after="0" w:line="240" w:lineRule="auto"/>
              <w:jc w:val="both"/>
              <w:rPr>
                <w:rFonts w:ascii="Arial" w:hAnsi="Arial" w:cs="Arial"/>
                <w:sz w:val="20"/>
                <w:szCs w:val="20"/>
              </w:rPr>
            </w:pPr>
            <w:r>
              <w:rPr>
                <w:rFonts w:ascii="Arial" w:hAnsi="Arial"/>
                <w:sz w:val="20"/>
              </w:rPr>
              <w:t>Projekti është në përputhje me tri objektivat bazë të politikës energjetike të BE-së dhe me qëllimin e Agjendës së Gjelbër për dekarbonizimin, paketën e BE-së për energji të pastër:</w:t>
            </w:r>
          </w:p>
          <w:p w14:paraId="518ED6B8" w14:textId="77777777" w:rsidR="001112F0" w:rsidRPr="00D0393A" w:rsidRDefault="001112F0" w:rsidP="001F115B">
            <w:pPr>
              <w:spacing w:after="0" w:line="240" w:lineRule="auto"/>
              <w:jc w:val="both"/>
              <w:rPr>
                <w:rFonts w:ascii="Arial" w:hAnsi="Arial" w:cs="Arial"/>
                <w:sz w:val="20"/>
                <w:szCs w:val="20"/>
                <w:lang w:val="en-US"/>
              </w:rPr>
            </w:pPr>
          </w:p>
          <w:p w14:paraId="627989B2" w14:textId="5440E629" w:rsidR="001112F0" w:rsidRPr="00D0393A" w:rsidRDefault="001112F0" w:rsidP="001F115B">
            <w:pPr>
              <w:spacing w:after="0" w:line="240" w:lineRule="auto"/>
              <w:jc w:val="both"/>
              <w:rPr>
                <w:rFonts w:ascii="Arial" w:hAnsi="Arial" w:cs="Arial"/>
                <w:sz w:val="20"/>
                <w:szCs w:val="20"/>
              </w:rPr>
            </w:pPr>
            <w:r>
              <w:rPr>
                <w:rFonts w:ascii="Arial" w:hAnsi="Arial"/>
                <w:sz w:val="20"/>
              </w:rPr>
              <w:t xml:space="preserve"> • rritja e sigurisë së furnizimit</w:t>
            </w:r>
            <w:r>
              <w:rPr>
                <w:color w:val="202124"/>
                <w:highlight w:val="white"/>
              </w:rPr>
              <w:t xml:space="preserve"> </w:t>
            </w:r>
            <w:r>
              <w:rPr>
                <w:rFonts w:ascii="Arial" w:hAnsi="Arial"/>
                <w:sz w:val="20"/>
              </w:rPr>
              <w:t>në përputhje me acquis të BE-së</w:t>
            </w:r>
          </w:p>
          <w:p w14:paraId="283BE2B6" w14:textId="77777777" w:rsidR="00402F00" w:rsidRPr="00D0393A" w:rsidRDefault="00402F00" w:rsidP="001F115B">
            <w:pPr>
              <w:spacing w:after="0" w:line="240" w:lineRule="auto"/>
              <w:jc w:val="both"/>
              <w:rPr>
                <w:rFonts w:ascii="Arial" w:hAnsi="Arial" w:cs="Arial"/>
                <w:sz w:val="20"/>
                <w:szCs w:val="20"/>
                <w:lang w:val="en-US"/>
              </w:rPr>
            </w:pPr>
          </w:p>
          <w:p w14:paraId="6BA4559E" w14:textId="77777777" w:rsidR="001112F0" w:rsidRPr="00D0393A" w:rsidRDefault="001112F0" w:rsidP="001F115B">
            <w:pPr>
              <w:spacing w:after="0" w:line="240" w:lineRule="auto"/>
              <w:jc w:val="both"/>
              <w:rPr>
                <w:rFonts w:ascii="Arial" w:hAnsi="Arial" w:cs="Arial"/>
                <w:sz w:val="20"/>
                <w:szCs w:val="20"/>
              </w:rPr>
            </w:pPr>
            <w:r>
              <w:rPr>
                <w:rFonts w:ascii="Arial" w:hAnsi="Arial"/>
                <w:sz w:val="20"/>
              </w:rPr>
              <w:t xml:space="preserve"> • integrimi i gjenerimit të burimeve të ripërtëritshme</w:t>
            </w:r>
          </w:p>
          <w:p w14:paraId="1C751B8A" w14:textId="77777777" w:rsidR="00402F00" w:rsidRPr="00D0393A" w:rsidRDefault="00402F00" w:rsidP="001F115B">
            <w:pPr>
              <w:spacing w:after="0" w:line="240" w:lineRule="auto"/>
              <w:jc w:val="both"/>
              <w:rPr>
                <w:rFonts w:ascii="Arial" w:hAnsi="Arial" w:cs="Arial"/>
                <w:sz w:val="20"/>
                <w:szCs w:val="20"/>
                <w:lang w:val="en-US"/>
              </w:rPr>
            </w:pPr>
          </w:p>
          <w:p w14:paraId="1A757414" w14:textId="77777777" w:rsidR="001112F0" w:rsidRPr="00D0393A" w:rsidRDefault="001112F0" w:rsidP="001F115B">
            <w:pPr>
              <w:spacing w:after="0" w:line="240" w:lineRule="auto"/>
              <w:jc w:val="both"/>
              <w:rPr>
                <w:rFonts w:ascii="Arial" w:hAnsi="Arial" w:cs="Arial"/>
                <w:sz w:val="20"/>
                <w:szCs w:val="20"/>
              </w:rPr>
            </w:pPr>
            <w:r>
              <w:rPr>
                <w:rFonts w:ascii="Arial" w:hAnsi="Arial"/>
                <w:sz w:val="20"/>
              </w:rPr>
              <w:lastRenderedPageBreak/>
              <w:t xml:space="preserve"> • krijimi i tregut të brendshëm të energjisë elektrike në Evropë. </w:t>
            </w:r>
          </w:p>
          <w:p w14:paraId="3D67C181" w14:textId="77777777" w:rsidR="003520D2" w:rsidRDefault="003520D2" w:rsidP="001F115B">
            <w:pPr>
              <w:spacing w:after="0" w:line="240" w:lineRule="auto"/>
              <w:jc w:val="both"/>
              <w:rPr>
                <w:rFonts w:ascii="Arial" w:hAnsi="Arial" w:cs="Arial"/>
                <w:b/>
                <w:sz w:val="20"/>
                <w:szCs w:val="20"/>
                <w:lang w:val="en-US"/>
              </w:rPr>
            </w:pPr>
          </w:p>
          <w:p w14:paraId="107148D8" w14:textId="28E1A197" w:rsidR="00D3547F" w:rsidRPr="000C2D11" w:rsidRDefault="00D3547F" w:rsidP="001F115B">
            <w:pPr>
              <w:spacing w:after="0" w:line="240" w:lineRule="auto"/>
              <w:jc w:val="both"/>
              <w:rPr>
                <w:rFonts w:ascii="Arial" w:hAnsi="Arial" w:cs="Arial"/>
                <w:b/>
                <w:sz w:val="20"/>
                <w:szCs w:val="20"/>
              </w:rPr>
            </w:pPr>
            <w:r>
              <w:rPr>
                <w:rFonts w:ascii="Arial" w:hAnsi="Arial"/>
                <w:sz w:val="20"/>
              </w:rPr>
              <w:t>Projekti është në përputhje dhe në koherencë me politikat e BE-së dhe Direktivën (BE) 2018/2002 e Parlamentit Evropian dhe e Këshillit e datës 11 dhjetor 2018 që ndryshon Direktivën 2012/27/BE për efiçencën e energjisë</w:t>
            </w:r>
          </w:p>
          <w:p w14:paraId="650434EC" w14:textId="7300E748" w:rsidR="006C6891" w:rsidRDefault="006C6891" w:rsidP="001F115B">
            <w:pPr>
              <w:spacing w:after="0" w:line="240" w:lineRule="auto"/>
              <w:jc w:val="both"/>
              <w:rPr>
                <w:rFonts w:ascii="Arial" w:hAnsi="Arial" w:cs="Arial"/>
                <w:sz w:val="20"/>
                <w:szCs w:val="20"/>
                <w:lang w:val="en-US"/>
              </w:rPr>
            </w:pPr>
          </w:p>
          <w:p w14:paraId="6D6F3340" w14:textId="29B5511A" w:rsidR="006C6891" w:rsidRDefault="006C6891" w:rsidP="001F115B">
            <w:pPr>
              <w:spacing w:after="0" w:line="240" w:lineRule="auto"/>
              <w:jc w:val="both"/>
              <w:rPr>
                <w:rFonts w:ascii="Arial" w:hAnsi="Arial" w:cs="Arial"/>
                <w:sz w:val="20"/>
                <w:szCs w:val="20"/>
              </w:rPr>
            </w:pPr>
            <w:r>
              <w:rPr>
                <w:rFonts w:ascii="Arial" w:hAnsi="Arial"/>
                <w:sz w:val="20"/>
              </w:rPr>
              <w:t>Neni 1:</w:t>
            </w:r>
          </w:p>
          <w:p w14:paraId="5E0DFF35" w14:textId="6122E5F3" w:rsidR="000E302B" w:rsidRPr="000E302B" w:rsidRDefault="000E302B" w:rsidP="001F115B">
            <w:pPr>
              <w:spacing w:after="0" w:line="240" w:lineRule="auto"/>
              <w:jc w:val="both"/>
              <w:rPr>
                <w:rFonts w:ascii="Arial" w:hAnsi="Arial" w:cs="Arial"/>
                <w:sz w:val="20"/>
                <w:szCs w:val="20"/>
              </w:rPr>
            </w:pPr>
            <w:r>
              <w:rPr>
                <w:rFonts w:ascii="Arial" w:hAnsi="Arial"/>
                <w:sz w:val="20"/>
              </w:rPr>
              <w:t xml:space="preserve">Kjo direktivë vendos një kornizë të përbashkët masash për të promovuar efiçencën e energjisë brenda Unionit, në mënyrë që të sigurohet që objektivat kryesore për 2020 të Unionit për efiçencën e energjisë prej 20% dhe objektivat e tij kryesore për vitin 2030 mbi efiçencën e energjisë prej të paktën 32.5% janë përmbushur dhe kanë trasuar rrugën për përmirësime të mëtejshme të efikasitetit të energjisë përtej këtyre datave. </w:t>
            </w:r>
          </w:p>
          <w:p w14:paraId="5A046FE4" w14:textId="63A9E366" w:rsidR="006C6891" w:rsidRDefault="000E302B" w:rsidP="001F115B">
            <w:pPr>
              <w:spacing w:after="0" w:line="240" w:lineRule="auto"/>
              <w:jc w:val="both"/>
              <w:rPr>
                <w:rFonts w:ascii="Arial" w:hAnsi="Arial" w:cs="Arial"/>
                <w:sz w:val="20"/>
                <w:szCs w:val="20"/>
              </w:rPr>
            </w:pPr>
            <w:r>
              <w:rPr>
                <w:rFonts w:ascii="Arial" w:hAnsi="Arial"/>
                <w:sz w:val="20"/>
              </w:rPr>
              <w:t>Kjo Direktivë paraqet rregulla të krijuara për të hequr barrierat në tregun e energjisë dhe për të tejkaluar dështimet e tregut që pengojnë efiçiencën në furnizimin dhe përdorimin e energjisë, dhe parasheh vendosjen e caqeve dhe kontributeve kombëtare treguese të efiçiencës së energjisë për 2020 dhe 2030.</w:t>
            </w:r>
          </w:p>
          <w:p w14:paraId="77455D49" w14:textId="3FD4A86E" w:rsidR="00D3547F" w:rsidRDefault="00691DBB" w:rsidP="001F115B">
            <w:pPr>
              <w:spacing w:after="0" w:line="240" w:lineRule="auto"/>
              <w:jc w:val="both"/>
              <w:rPr>
                <w:rFonts w:ascii="Arial" w:hAnsi="Arial" w:cs="Arial"/>
                <w:sz w:val="20"/>
                <w:szCs w:val="20"/>
              </w:rPr>
            </w:pPr>
            <w:r>
              <w:rPr>
                <w:rFonts w:ascii="Arial" w:hAnsi="Arial"/>
                <w:sz w:val="20"/>
              </w:rPr>
              <w:t>Kjo direktivë kontribuon në zbatimin e parimit të parë të efiçiencës së energjisë.</w:t>
            </w:r>
          </w:p>
          <w:p w14:paraId="3B18A318" w14:textId="7E28F4A3" w:rsidR="00531D70" w:rsidRDefault="00531D70" w:rsidP="001F115B">
            <w:pPr>
              <w:spacing w:after="0" w:line="240" w:lineRule="auto"/>
              <w:jc w:val="both"/>
              <w:rPr>
                <w:rFonts w:ascii="Arial" w:hAnsi="Arial" w:cs="Arial"/>
                <w:sz w:val="20"/>
                <w:szCs w:val="20"/>
                <w:lang w:val="en-US"/>
              </w:rPr>
            </w:pPr>
          </w:p>
          <w:p w14:paraId="3B35A703" w14:textId="77777777" w:rsidR="003C64A1" w:rsidRPr="00697610" w:rsidRDefault="003C64A1" w:rsidP="001F115B">
            <w:pPr>
              <w:spacing w:after="0" w:line="240" w:lineRule="auto"/>
              <w:jc w:val="both"/>
              <w:rPr>
                <w:rFonts w:ascii="Arial" w:hAnsi="Arial" w:cs="Arial"/>
                <w:b/>
                <w:sz w:val="20"/>
                <w:szCs w:val="20"/>
              </w:rPr>
            </w:pPr>
            <w:r>
              <w:rPr>
                <w:rFonts w:ascii="Arial" w:hAnsi="Arial"/>
                <w:b/>
                <w:sz w:val="20"/>
              </w:rPr>
              <w:t>KOMISIONI EVROPIAN:</w:t>
            </w:r>
          </w:p>
          <w:p w14:paraId="1454E905" w14:textId="77777777" w:rsidR="00254B5A" w:rsidRPr="00697610" w:rsidRDefault="003C64A1" w:rsidP="001F115B">
            <w:pPr>
              <w:spacing w:after="0" w:line="240" w:lineRule="auto"/>
              <w:jc w:val="both"/>
              <w:rPr>
                <w:rFonts w:ascii="Arial" w:hAnsi="Arial" w:cs="Arial"/>
                <w:b/>
                <w:sz w:val="20"/>
                <w:szCs w:val="20"/>
              </w:rPr>
            </w:pPr>
            <w:r>
              <w:rPr>
                <w:rFonts w:ascii="Arial" w:hAnsi="Arial"/>
                <w:b/>
                <w:sz w:val="20"/>
              </w:rPr>
              <w:t>PLANI EKONOMIK DHE INVESTIV PËR BALLKANIN PERËNDIMOR</w:t>
            </w:r>
          </w:p>
          <w:p w14:paraId="187C30DF" w14:textId="77777777" w:rsidR="009F21B2" w:rsidRDefault="009F21B2" w:rsidP="001F115B">
            <w:pPr>
              <w:spacing w:after="0" w:line="240" w:lineRule="auto"/>
              <w:jc w:val="both"/>
              <w:rPr>
                <w:rFonts w:ascii="Arial" w:hAnsi="Arial" w:cs="Arial"/>
                <w:sz w:val="20"/>
                <w:szCs w:val="20"/>
              </w:rPr>
            </w:pPr>
            <w:r>
              <w:rPr>
                <w:rFonts w:ascii="Arial" w:hAnsi="Arial"/>
                <w:sz w:val="20"/>
              </w:rPr>
              <w:t>V. Investimi në energjinë e pastër</w:t>
            </w:r>
          </w:p>
          <w:p w14:paraId="6F6B9C7F" w14:textId="77777777" w:rsidR="009F21B2" w:rsidRDefault="009F21B2" w:rsidP="001F115B">
            <w:pPr>
              <w:spacing w:after="0" w:line="240" w:lineRule="auto"/>
              <w:jc w:val="both"/>
              <w:rPr>
                <w:rFonts w:ascii="Arial" w:hAnsi="Arial" w:cs="Arial"/>
                <w:sz w:val="20"/>
                <w:szCs w:val="20"/>
                <w:lang w:val="en-US"/>
              </w:rPr>
            </w:pPr>
          </w:p>
          <w:p w14:paraId="0E5FAAE7" w14:textId="77777777" w:rsidR="009F21B2" w:rsidRDefault="009F21B2" w:rsidP="001F115B">
            <w:pPr>
              <w:spacing w:after="0" w:line="240" w:lineRule="auto"/>
              <w:jc w:val="both"/>
              <w:rPr>
                <w:rFonts w:ascii="Arial" w:hAnsi="Arial" w:cs="Arial"/>
                <w:sz w:val="20"/>
                <w:szCs w:val="20"/>
              </w:rPr>
            </w:pPr>
            <w:r>
              <w:rPr>
                <w:rFonts w:ascii="Arial" w:hAnsi="Arial"/>
                <w:sz w:val="20"/>
              </w:rPr>
              <w:t xml:space="preserve">Mbështetja në fushën e energjisë do të përforcohet. Theks i fuqishëm do t’i vihet integrimit të tregut të energjisë, </w:t>
            </w:r>
            <w:r>
              <w:rPr>
                <w:rFonts w:ascii="Arial" w:hAnsi="Arial"/>
                <w:b/>
                <w:sz w:val="20"/>
              </w:rPr>
              <w:t>dekarbonizimit</w:t>
            </w:r>
            <w:r>
              <w:rPr>
                <w:rFonts w:ascii="Arial" w:hAnsi="Arial"/>
                <w:sz w:val="20"/>
              </w:rPr>
              <w:t xml:space="preserve"> dhe </w:t>
            </w:r>
            <w:r>
              <w:rPr>
                <w:rFonts w:ascii="Arial" w:hAnsi="Arial"/>
                <w:b/>
                <w:sz w:val="20"/>
              </w:rPr>
              <w:t>energjisë së pastër</w:t>
            </w:r>
            <w:r>
              <w:rPr>
                <w:rFonts w:ascii="Arial" w:hAnsi="Arial"/>
                <w:sz w:val="20"/>
              </w:rPr>
              <w:t xml:space="preserve">, tranzicionit të drejtë, </w:t>
            </w:r>
            <w:r>
              <w:rPr>
                <w:rFonts w:ascii="Arial" w:hAnsi="Arial"/>
                <w:b/>
                <w:sz w:val="20"/>
              </w:rPr>
              <w:t>rritjes së digjitalizimit të sistemit dhe rrjeteve inteligjente, efiçencës së energjisë</w:t>
            </w:r>
            <w:r>
              <w:rPr>
                <w:rFonts w:ascii="Arial" w:hAnsi="Arial"/>
                <w:sz w:val="20"/>
              </w:rPr>
              <w:t xml:space="preserve">, duke përfshirë modernizimin e ngrohjes qendrore dhe </w:t>
            </w:r>
            <w:r>
              <w:rPr>
                <w:rFonts w:ascii="Arial" w:hAnsi="Arial"/>
                <w:b/>
                <w:sz w:val="20"/>
              </w:rPr>
              <w:t>sigurisë së energjisë</w:t>
            </w:r>
            <w:r>
              <w:rPr>
                <w:rFonts w:ascii="Arial" w:hAnsi="Arial"/>
                <w:sz w:val="20"/>
              </w:rPr>
              <w:t xml:space="preserve">. </w:t>
            </w:r>
            <w:r>
              <w:rPr>
                <w:rFonts w:ascii="Arial" w:hAnsi="Arial"/>
                <w:b/>
                <w:sz w:val="20"/>
              </w:rPr>
              <w:t>Dekarbonizimi</w:t>
            </w:r>
            <w:r>
              <w:rPr>
                <w:rFonts w:ascii="Arial" w:hAnsi="Arial"/>
                <w:sz w:val="20"/>
              </w:rPr>
              <w:t xml:space="preserve"> është një shtyllë kryesore e këtij Plani Ekonomik dhe Investiv në përputhje me synimet e Marrëveshjes së Gjelbër Evropiane. Rritja e konektivitetit dhe shtrirja e Unionit të Energjisë në Ballkanin Perëndimor do të jetë gjithashtu thelbësore për një tranzicion të suksesshëm të energjisë së pastër në rajon.</w:t>
            </w:r>
            <w:r>
              <w:t xml:space="preserve"> </w:t>
            </w:r>
            <w:r>
              <w:rPr>
                <w:rFonts w:ascii="Arial" w:hAnsi="Arial"/>
                <w:sz w:val="20"/>
              </w:rPr>
              <w:t xml:space="preserve">Rritja e përdorimit të burimeve e </w:t>
            </w:r>
            <w:r>
              <w:rPr>
                <w:rFonts w:ascii="Arial" w:hAnsi="Arial"/>
                <w:b/>
                <w:sz w:val="20"/>
              </w:rPr>
              <w:t>ripërtëritshme të energjisë</w:t>
            </w:r>
            <w:r>
              <w:rPr>
                <w:rFonts w:ascii="Arial" w:hAnsi="Arial"/>
                <w:sz w:val="20"/>
              </w:rPr>
              <w:t xml:space="preserve"> duhet të mbështetet, në përputhje me potencialin e rajonit dhe planet e përshtatjes ndaj ndryshimeve klimatike.</w:t>
            </w:r>
          </w:p>
          <w:p w14:paraId="072C0FA7" w14:textId="77777777" w:rsidR="009F21B2" w:rsidRDefault="009F21B2" w:rsidP="001F115B">
            <w:pPr>
              <w:spacing w:after="0" w:line="240" w:lineRule="auto"/>
              <w:jc w:val="both"/>
              <w:rPr>
                <w:rFonts w:ascii="Arial" w:hAnsi="Arial" w:cs="Arial"/>
                <w:sz w:val="20"/>
                <w:szCs w:val="20"/>
                <w:lang w:val="en-US"/>
              </w:rPr>
            </w:pPr>
          </w:p>
          <w:p w14:paraId="406121D4" w14:textId="77777777" w:rsidR="00254B5A" w:rsidRPr="00697610" w:rsidRDefault="00254B5A" w:rsidP="001F115B">
            <w:pPr>
              <w:jc w:val="both"/>
              <w:rPr>
                <w:rFonts w:ascii="Arial" w:hAnsi="Arial" w:cs="Arial"/>
                <w:b/>
                <w:sz w:val="20"/>
                <w:szCs w:val="20"/>
              </w:rPr>
            </w:pPr>
            <w:r>
              <w:rPr>
                <w:rFonts w:ascii="Arial" w:hAnsi="Arial"/>
                <w:b/>
                <w:sz w:val="20"/>
              </w:rPr>
              <w:t>DEKLARATA E SOFJES PËR AGJENDËN E GJELBËR PËR BALLKANIN PERËNDIMOR</w:t>
            </w:r>
          </w:p>
          <w:p w14:paraId="695BA9A4" w14:textId="77777777" w:rsidR="0074067A" w:rsidRDefault="00531D70" w:rsidP="001F115B">
            <w:pPr>
              <w:spacing w:after="0" w:line="240" w:lineRule="auto"/>
              <w:jc w:val="both"/>
              <w:rPr>
                <w:rFonts w:ascii="Arial" w:hAnsi="Arial" w:cs="Arial"/>
                <w:sz w:val="20"/>
                <w:szCs w:val="20"/>
              </w:rPr>
            </w:pPr>
            <w:r>
              <w:rPr>
                <w:rFonts w:ascii="Arial" w:hAnsi="Arial"/>
                <w:sz w:val="20"/>
              </w:rPr>
              <w:t>Ky projekt është në përputhje me një nga pesë shtyllat e Agjendës së Gjelbër për Ballkanin Perëndimor; Veprimi klimatik, duke përfshirë dekarbonizimin, energjinë dhe lëvizshmërinë.</w:t>
            </w:r>
          </w:p>
          <w:p w14:paraId="7C87DA6E" w14:textId="77777777" w:rsidR="00CD66A1" w:rsidRPr="00CD66A1" w:rsidRDefault="00CD66A1" w:rsidP="003914F0">
            <w:pPr>
              <w:pStyle w:val="ListParagraph"/>
              <w:numPr>
                <w:ilvl w:val="0"/>
                <w:numId w:val="5"/>
              </w:numPr>
              <w:spacing w:line="240" w:lineRule="auto"/>
              <w:jc w:val="both"/>
              <w:rPr>
                <w:rFonts w:cs="Arial"/>
                <w:szCs w:val="20"/>
              </w:rPr>
            </w:pPr>
            <w:r>
              <w:t xml:space="preserve">Vendosni objektiva largpamëse për energjinë dhe klimën 2030 në përputhje me kornizën e Komunitetit të Energjisë dhe acquis të BE-së, si dhe zhvilloni dhe zbatoni plane të integruara për Energjinë dhe Klimën me masa të qarta të dizajnuara për të reduktuar emetimet e gazeve serrë në ekonomitë e Ballkanit Perëndimor duke integruar veprimet klimatike në të gjitha politikat përkatëse sektoriale; </w:t>
            </w:r>
          </w:p>
          <w:p w14:paraId="02D3B6B6" w14:textId="77777777" w:rsidR="00CD66A1" w:rsidRPr="00CD66A1" w:rsidRDefault="00CD66A1" w:rsidP="003914F0">
            <w:pPr>
              <w:pStyle w:val="ListParagraph"/>
              <w:numPr>
                <w:ilvl w:val="0"/>
                <w:numId w:val="5"/>
              </w:numPr>
              <w:spacing w:line="240" w:lineRule="auto"/>
              <w:jc w:val="both"/>
              <w:rPr>
                <w:rFonts w:cs="Arial"/>
                <w:szCs w:val="20"/>
              </w:rPr>
            </w:pPr>
            <w:r>
              <w:t>Prioritetizojnë efiçencën e energjisë dhe përmirësimin e tij në të gjithë sektorët;</w:t>
            </w:r>
          </w:p>
          <w:p w14:paraId="0F150444" w14:textId="77777777" w:rsidR="00CD66A1" w:rsidRPr="009F21B2" w:rsidRDefault="00CD66A1" w:rsidP="003914F0">
            <w:pPr>
              <w:pStyle w:val="ListParagraph"/>
              <w:numPr>
                <w:ilvl w:val="0"/>
                <w:numId w:val="5"/>
              </w:numPr>
              <w:spacing w:line="240" w:lineRule="auto"/>
              <w:jc w:val="both"/>
              <w:rPr>
                <w:rFonts w:cs="Arial"/>
                <w:szCs w:val="20"/>
              </w:rPr>
            </w:pPr>
            <w:r>
              <w:t>Rritjen e pjesës së burimeve të ripërtërishme të energjisë dhe sigurimin e kushteve të nevojshme investimi, në përputhje me acquis dhe objektivin e BE-së dhe Komunitetit të Energjisë;</w:t>
            </w:r>
          </w:p>
        </w:tc>
      </w:tr>
      <w:tr w:rsidR="0074067A" w:rsidRPr="0074067A" w14:paraId="478EB8A6" w14:textId="77777777" w:rsidTr="0074067A">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F40AA6E" w14:textId="77777777" w:rsidR="0074067A" w:rsidRPr="0074067A" w:rsidRDefault="0074067A" w:rsidP="0074067A">
            <w:pPr>
              <w:spacing w:after="0" w:line="240" w:lineRule="auto"/>
              <w:rPr>
                <w:rFonts w:ascii="Arial" w:hAnsi="Arial" w:cs="Arial"/>
                <w:sz w:val="20"/>
                <w:szCs w:val="20"/>
              </w:rPr>
            </w:pPr>
            <w:r>
              <w:rPr>
                <w:rFonts w:ascii="Arial" w:hAnsi="Arial"/>
                <w:sz w:val="20"/>
              </w:rPr>
              <w:lastRenderedPageBreak/>
              <w:t>Kontributi në objektivat e vlefshme të zhvillimit kombëtar</w:t>
            </w:r>
          </w:p>
        </w:tc>
        <w:tc>
          <w:tcPr>
            <w:tcW w:w="2989" w:type="pct"/>
            <w:tcBorders>
              <w:top w:val="single" w:sz="4" w:space="0" w:color="auto"/>
              <w:left w:val="single" w:sz="4" w:space="0" w:color="auto"/>
              <w:bottom w:val="single" w:sz="4" w:space="0" w:color="auto"/>
              <w:right w:val="single" w:sz="4" w:space="0" w:color="auto"/>
            </w:tcBorders>
          </w:tcPr>
          <w:p w14:paraId="5ED7158D" w14:textId="77777777" w:rsidR="0074067A" w:rsidRPr="00FE4D24" w:rsidRDefault="00FE4D24" w:rsidP="001F115B">
            <w:pPr>
              <w:spacing w:after="0" w:line="240" w:lineRule="auto"/>
              <w:jc w:val="both"/>
              <w:rPr>
                <w:rFonts w:ascii="Arial" w:hAnsi="Arial" w:cs="Arial"/>
                <w:b/>
                <w:sz w:val="20"/>
                <w:szCs w:val="20"/>
              </w:rPr>
            </w:pPr>
            <w:r>
              <w:rPr>
                <w:rFonts w:ascii="Arial" w:hAnsi="Arial"/>
                <w:b/>
                <w:sz w:val="20"/>
              </w:rPr>
              <w:t>Programi i Qeverisë 2021-2025</w:t>
            </w:r>
          </w:p>
          <w:p w14:paraId="7C62A905" w14:textId="77777777" w:rsidR="006D109F" w:rsidRDefault="006D109F" w:rsidP="001F115B">
            <w:pPr>
              <w:spacing w:after="0" w:line="240" w:lineRule="auto"/>
              <w:jc w:val="both"/>
              <w:rPr>
                <w:rFonts w:ascii="Arial" w:hAnsi="Arial" w:cs="Arial"/>
                <w:sz w:val="20"/>
                <w:szCs w:val="20"/>
                <w:lang w:val="en-US"/>
              </w:rPr>
            </w:pPr>
          </w:p>
          <w:p w14:paraId="6FFB2D1C" w14:textId="77777777" w:rsidR="006D109F" w:rsidRDefault="006D109F" w:rsidP="001F115B">
            <w:pPr>
              <w:spacing w:after="0" w:line="240" w:lineRule="auto"/>
              <w:jc w:val="both"/>
              <w:rPr>
                <w:rFonts w:ascii="Arial" w:hAnsi="Arial" w:cs="Arial"/>
                <w:sz w:val="20"/>
                <w:szCs w:val="20"/>
              </w:rPr>
            </w:pPr>
            <w:r>
              <w:rPr>
                <w:rFonts w:ascii="Arial" w:hAnsi="Arial"/>
                <w:sz w:val="20"/>
              </w:rPr>
              <w:lastRenderedPageBreak/>
              <w:t>2.14.1: Krijimi i kushteve për furnizim të qëndrueshëm me energji</w:t>
            </w:r>
          </w:p>
          <w:p w14:paraId="11FE7499" w14:textId="77777777" w:rsidR="00FE4D24" w:rsidRDefault="00FE4D24" w:rsidP="001F115B">
            <w:pPr>
              <w:spacing w:after="0" w:line="240" w:lineRule="auto"/>
              <w:jc w:val="both"/>
              <w:rPr>
                <w:rFonts w:ascii="Arial" w:hAnsi="Arial" w:cs="Arial"/>
                <w:sz w:val="20"/>
                <w:szCs w:val="20"/>
                <w:lang w:val="en-US"/>
              </w:rPr>
            </w:pPr>
          </w:p>
          <w:p w14:paraId="69CBDAEF" w14:textId="5439D385" w:rsidR="00FE4D24" w:rsidRDefault="00FE4D24" w:rsidP="001F115B">
            <w:pPr>
              <w:spacing w:after="0" w:line="240" w:lineRule="auto"/>
              <w:jc w:val="both"/>
              <w:rPr>
                <w:rFonts w:ascii="Arial" w:hAnsi="Arial" w:cs="Arial"/>
                <w:sz w:val="20"/>
                <w:szCs w:val="20"/>
              </w:rPr>
            </w:pPr>
            <w:r>
              <w:rPr>
                <w:rFonts w:ascii="Arial" w:hAnsi="Arial"/>
                <w:sz w:val="20"/>
              </w:rPr>
              <w:t>Qeveria do të zotohet të krijojë kushte të favorshme për furnizim me energji të qëndrueshme dhe të përballueshme, për të gjithë qytetarët dhe ndërmarrjet në Kosovë, duke marrë parasysh ndikimin në mjedis.</w:t>
            </w:r>
          </w:p>
          <w:p w14:paraId="4C9AFC5C" w14:textId="77777777" w:rsidR="00E5187A" w:rsidRDefault="00E5187A" w:rsidP="001F115B">
            <w:pPr>
              <w:spacing w:after="0" w:line="240" w:lineRule="auto"/>
              <w:jc w:val="both"/>
              <w:rPr>
                <w:rFonts w:ascii="Arial" w:hAnsi="Arial" w:cs="Arial"/>
                <w:sz w:val="20"/>
                <w:szCs w:val="20"/>
                <w:lang w:val="en-US"/>
              </w:rPr>
            </w:pPr>
          </w:p>
          <w:p w14:paraId="70D020B9" w14:textId="77777777" w:rsidR="00FE4D24" w:rsidRPr="00FE4D24" w:rsidRDefault="00FE4D24" w:rsidP="001F115B">
            <w:pPr>
              <w:spacing w:after="0" w:line="240" w:lineRule="auto"/>
              <w:jc w:val="both"/>
              <w:rPr>
                <w:rFonts w:ascii="Arial" w:hAnsi="Arial" w:cs="Arial"/>
                <w:sz w:val="20"/>
                <w:szCs w:val="20"/>
              </w:rPr>
            </w:pPr>
            <w:r>
              <w:rPr>
                <w:rFonts w:ascii="Arial" w:hAnsi="Arial"/>
                <w:sz w:val="20"/>
              </w:rPr>
              <w:t>Ndër të tjera, qeveria do të punojë për përmirësimin e menaxhimit të kapaciteteve ekzistuese të energjisë, si bazë për sigurinë në furnizimin me energji elektrike dhe një rrugë të gjatë të drejtë të tranzicionit në dekarbonizim të energjisë.</w:t>
            </w:r>
          </w:p>
          <w:p w14:paraId="7B844819" w14:textId="77777777" w:rsidR="00FE4D24" w:rsidRDefault="00FE4D24" w:rsidP="001F115B">
            <w:pPr>
              <w:spacing w:after="0" w:line="240" w:lineRule="auto"/>
              <w:jc w:val="both"/>
              <w:rPr>
                <w:rFonts w:ascii="Arial" w:hAnsi="Arial" w:cs="Arial"/>
                <w:sz w:val="20"/>
                <w:szCs w:val="20"/>
              </w:rPr>
            </w:pPr>
          </w:p>
          <w:p w14:paraId="1CCEE0B1" w14:textId="77777777" w:rsidR="006D109F" w:rsidRPr="0074067A" w:rsidRDefault="006D109F" w:rsidP="001F115B">
            <w:pPr>
              <w:spacing w:after="0" w:line="240" w:lineRule="auto"/>
              <w:jc w:val="both"/>
              <w:rPr>
                <w:rFonts w:ascii="Arial" w:hAnsi="Arial" w:cs="Arial"/>
                <w:sz w:val="20"/>
                <w:szCs w:val="20"/>
                <w:lang w:val="en-US"/>
              </w:rPr>
            </w:pPr>
          </w:p>
        </w:tc>
      </w:tr>
      <w:tr w:rsidR="0074067A" w:rsidRPr="0074067A" w14:paraId="2D9B084A" w14:textId="77777777" w:rsidTr="0074067A">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94E83AF" w14:textId="77777777" w:rsidR="0074067A" w:rsidRPr="0074067A" w:rsidRDefault="0074067A" w:rsidP="0074067A">
            <w:pPr>
              <w:spacing w:after="0" w:line="240" w:lineRule="auto"/>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2989" w:type="pct"/>
            <w:tcBorders>
              <w:top w:val="single" w:sz="4" w:space="0" w:color="auto"/>
              <w:left w:val="single" w:sz="4" w:space="0" w:color="auto"/>
              <w:bottom w:val="single" w:sz="4" w:space="0" w:color="auto"/>
              <w:right w:val="single" w:sz="4" w:space="0" w:color="auto"/>
            </w:tcBorders>
          </w:tcPr>
          <w:p w14:paraId="05EFC808" w14:textId="19ED6EA2" w:rsidR="00FD2583" w:rsidRDefault="001112F0" w:rsidP="001F115B">
            <w:pPr>
              <w:spacing w:after="0" w:line="240" w:lineRule="auto"/>
              <w:jc w:val="both"/>
              <w:rPr>
                <w:rFonts w:ascii="Arial" w:hAnsi="Arial" w:cs="Arial"/>
                <w:b/>
                <w:sz w:val="20"/>
                <w:szCs w:val="20"/>
              </w:rPr>
            </w:pPr>
            <w:r>
              <w:rPr>
                <w:rFonts w:ascii="Arial" w:hAnsi="Arial"/>
                <w:sz w:val="20"/>
              </w:rPr>
              <w:t>Projekti është në përputhje me objektivat e Strategjisë Energjetike të Republikës së Kosovës 2022-2031.</w:t>
            </w:r>
            <w:r>
              <w:rPr>
                <w:rFonts w:ascii="Arial" w:hAnsi="Arial"/>
                <w:b/>
                <w:sz w:val="20"/>
              </w:rPr>
              <w:t xml:space="preserve"> </w:t>
            </w:r>
          </w:p>
          <w:p w14:paraId="79DB2EA7" w14:textId="77777777" w:rsidR="00BD2A12" w:rsidRDefault="00BD2A12" w:rsidP="001F115B">
            <w:pPr>
              <w:spacing w:after="0" w:line="240" w:lineRule="auto"/>
              <w:jc w:val="both"/>
              <w:rPr>
                <w:rFonts w:ascii="Arial" w:hAnsi="Arial" w:cs="Arial"/>
                <w:sz w:val="20"/>
                <w:szCs w:val="20"/>
                <w:lang w:val="en-US"/>
              </w:rPr>
            </w:pPr>
          </w:p>
          <w:p w14:paraId="5AD98730" w14:textId="77777777" w:rsidR="00FD2583" w:rsidRPr="005234CE" w:rsidRDefault="00FD2583" w:rsidP="001F115B">
            <w:pPr>
              <w:spacing w:after="0" w:line="240" w:lineRule="auto"/>
              <w:jc w:val="both"/>
              <w:rPr>
                <w:rFonts w:ascii="Arial" w:hAnsi="Arial" w:cs="Arial"/>
                <w:b/>
                <w:sz w:val="20"/>
                <w:szCs w:val="20"/>
              </w:rPr>
            </w:pPr>
            <w:r>
              <w:rPr>
                <w:rFonts w:ascii="Arial" w:hAnsi="Arial"/>
                <w:b/>
                <w:sz w:val="20"/>
              </w:rPr>
              <w:t>Objektivi strategjik 1: Përmirësimi i qëndrueshmërisë së sistemit</w:t>
            </w:r>
          </w:p>
          <w:p w14:paraId="662423B0" w14:textId="77777777" w:rsidR="00FD2583" w:rsidRDefault="00FD2583" w:rsidP="001F115B">
            <w:pPr>
              <w:spacing w:after="0" w:line="240" w:lineRule="auto"/>
              <w:jc w:val="both"/>
              <w:rPr>
                <w:rFonts w:ascii="Arial" w:hAnsi="Arial" w:cs="Arial"/>
                <w:sz w:val="20"/>
                <w:szCs w:val="20"/>
                <w:lang w:val="en-US"/>
              </w:rPr>
            </w:pPr>
          </w:p>
          <w:p w14:paraId="1379FC52" w14:textId="77777777" w:rsidR="00FD2583" w:rsidRPr="005234CE" w:rsidRDefault="00FD2583" w:rsidP="001F115B">
            <w:pPr>
              <w:spacing w:after="0" w:line="240" w:lineRule="auto"/>
              <w:jc w:val="both"/>
              <w:rPr>
                <w:rFonts w:ascii="Arial" w:hAnsi="Arial" w:cs="Arial"/>
                <w:i/>
                <w:sz w:val="20"/>
                <w:szCs w:val="20"/>
              </w:rPr>
            </w:pPr>
            <w:r>
              <w:rPr>
                <w:rFonts w:ascii="Arial" w:hAnsi="Arial"/>
                <w:i/>
                <w:sz w:val="20"/>
              </w:rPr>
              <w:t>Përmirësimi i qëndrueshmërisë së sistemit përfshin të gjitha aktivitetet që ofrojnë siguri në furnizim duke garantuar funksionimin e qetë të sistemit energjetik. Kjo kërkon kapacitete të madhësisë adekuate, besueshmëri, fleksibilitet dhe efikasitet në lidhje me njësitë gjeneruese, elementët e rrjetit dhe tregjet e lidhura. Këto gamë të gjera fushash kapen nga katër objektivat specifike të mëposhtme: (i) rritja e fleksibilitetit të sistemit, (ii) modernizimi i rrjeteve dhe reduktimi i humbjeve në rrjet, (iii) rehabilitimi i kapaciteteve ekzistuese të prodhimit të energjisë elektrike dhe (iv) sigurimi kibernetik i sektorit të energjisë.</w:t>
            </w:r>
          </w:p>
          <w:p w14:paraId="49D1800C" w14:textId="77777777" w:rsidR="00FD2583" w:rsidRDefault="00FD2583" w:rsidP="001F115B">
            <w:pPr>
              <w:spacing w:after="0" w:line="240" w:lineRule="auto"/>
              <w:jc w:val="both"/>
              <w:rPr>
                <w:rFonts w:ascii="Arial" w:hAnsi="Arial" w:cs="Arial"/>
                <w:sz w:val="20"/>
                <w:szCs w:val="20"/>
                <w:lang w:val="en-US"/>
              </w:rPr>
            </w:pPr>
          </w:p>
          <w:p w14:paraId="3F97A6B7" w14:textId="6862677C" w:rsidR="00FD2583" w:rsidRPr="003C462E" w:rsidRDefault="007968DE" w:rsidP="001F115B">
            <w:pPr>
              <w:spacing w:after="0" w:line="240" w:lineRule="auto"/>
              <w:jc w:val="both"/>
              <w:rPr>
                <w:rFonts w:ascii="Arial" w:hAnsi="Arial" w:cs="Arial"/>
                <w:b/>
                <w:sz w:val="20"/>
                <w:szCs w:val="20"/>
              </w:rPr>
            </w:pPr>
            <w:r>
              <w:rPr>
                <w:rFonts w:ascii="Arial" w:hAnsi="Arial"/>
                <w:b/>
                <w:sz w:val="20"/>
              </w:rPr>
              <w:t>Objektivi strategjik 2: Dekarbonizimi dhe promovimi i energjisë së ripërtëritshme</w:t>
            </w:r>
          </w:p>
          <w:p w14:paraId="37E380FD" w14:textId="77777777" w:rsidR="00FD2583" w:rsidRPr="00FD2583" w:rsidRDefault="00FD2583" w:rsidP="001F115B">
            <w:pPr>
              <w:spacing w:after="0" w:line="240" w:lineRule="auto"/>
              <w:jc w:val="both"/>
              <w:rPr>
                <w:rFonts w:ascii="Arial" w:hAnsi="Arial" w:cs="Arial"/>
                <w:sz w:val="20"/>
                <w:szCs w:val="20"/>
              </w:rPr>
            </w:pPr>
            <w:r>
              <w:rPr>
                <w:rFonts w:ascii="Arial" w:hAnsi="Arial"/>
                <w:sz w:val="20"/>
              </w:rPr>
              <w:t>Objektivi specifik 2,1: Zbatimi gradual i çmimit të karbonit</w:t>
            </w:r>
          </w:p>
          <w:p w14:paraId="2DD840D4" w14:textId="77777777" w:rsidR="00FD2583" w:rsidRPr="00FD2583" w:rsidRDefault="00FD2583" w:rsidP="001F115B">
            <w:pPr>
              <w:spacing w:after="0" w:line="240" w:lineRule="auto"/>
              <w:jc w:val="both"/>
              <w:rPr>
                <w:rFonts w:ascii="Arial" w:hAnsi="Arial" w:cs="Arial"/>
                <w:sz w:val="20"/>
                <w:szCs w:val="20"/>
                <w:lang w:val="en-US"/>
              </w:rPr>
            </w:pPr>
          </w:p>
          <w:p w14:paraId="5C3BD377" w14:textId="2A07522A" w:rsidR="00FD2583" w:rsidRPr="005234CE" w:rsidRDefault="00BD2A12" w:rsidP="001F115B">
            <w:pPr>
              <w:spacing w:after="0" w:line="240" w:lineRule="auto"/>
              <w:jc w:val="both"/>
              <w:rPr>
                <w:rFonts w:ascii="Arial" w:hAnsi="Arial" w:cs="Arial"/>
                <w:i/>
                <w:sz w:val="20"/>
                <w:szCs w:val="20"/>
              </w:rPr>
            </w:pPr>
            <w:r>
              <w:rPr>
                <w:rFonts w:ascii="Arial" w:hAnsi="Arial"/>
                <w:i/>
                <w:sz w:val="20"/>
              </w:rPr>
              <w:t>Kosova synon të reduktojë emetimet e karbonit. Si nënshkruese e Agjendës së Gjelbër për Ballkanin Perëndimor dhe si Palë Kontraktuese e Komunitetit të Energjisë, Kosova ka të drejta por edhe obligime lidhur me çmimin e karbonit.</w:t>
            </w:r>
          </w:p>
          <w:p w14:paraId="7E2C5CE2" w14:textId="77777777" w:rsidR="00FD2583" w:rsidRDefault="00FD2583" w:rsidP="001F115B">
            <w:pPr>
              <w:spacing w:after="0" w:line="240" w:lineRule="auto"/>
              <w:jc w:val="both"/>
              <w:rPr>
                <w:rFonts w:ascii="Arial" w:hAnsi="Arial" w:cs="Arial"/>
                <w:sz w:val="20"/>
                <w:szCs w:val="20"/>
                <w:lang w:val="en-US"/>
              </w:rPr>
            </w:pPr>
          </w:p>
          <w:p w14:paraId="66A50F21" w14:textId="4F2851D2" w:rsidR="00FD2583" w:rsidRPr="00FD2583" w:rsidRDefault="00FD2583" w:rsidP="001F115B">
            <w:pPr>
              <w:spacing w:after="0" w:line="240" w:lineRule="auto"/>
              <w:jc w:val="both"/>
              <w:rPr>
                <w:rFonts w:ascii="Arial" w:hAnsi="Arial" w:cs="Arial"/>
                <w:sz w:val="20"/>
                <w:szCs w:val="20"/>
              </w:rPr>
            </w:pPr>
            <w:r>
              <w:rPr>
                <w:rFonts w:ascii="Arial" w:hAnsi="Arial"/>
                <w:sz w:val="20"/>
              </w:rPr>
              <w:t>Objektivi specifik 2,2: Promovimi i energjisë së ripërtëritshme në konsumin e energjisë elektrike</w:t>
            </w:r>
          </w:p>
          <w:p w14:paraId="65425C46" w14:textId="27F25877" w:rsidR="00FD2583" w:rsidRDefault="00FD2583" w:rsidP="001F115B">
            <w:pPr>
              <w:spacing w:after="0" w:line="240" w:lineRule="auto"/>
              <w:jc w:val="both"/>
              <w:rPr>
                <w:rFonts w:ascii="Arial" w:hAnsi="Arial" w:cs="Arial"/>
                <w:i/>
                <w:sz w:val="20"/>
                <w:szCs w:val="20"/>
              </w:rPr>
            </w:pPr>
            <w:r>
              <w:rPr>
                <w:rFonts w:ascii="Arial" w:hAnsi="Arial"/>
                <w:i/>
                <w:sz w:val="20"/>
              </w:rPr>
              <w:t>Rritja e pjesës së burimeve të ripërtëritshme në sektorin e energjisë elektrike është thelbësore për të arritur objektivat e dekarbonizimit dhe për të siguruar një tranzicion të drejtë energjetik në Kosovë. Diversifikimi i përzierjes së energjisë është jetik për përpjekjet e Kosovës për dekarbonizimin dhe ruajtjen e sigurisë së furnizimit.</w:t>
            </w:r>
          </w:p>
          <w:p w14:paraId="3DDAC9DD" w14:textId="77777777" w:rsidR="00A905F2" w:rsidRDefault="00A905F2" w:rsidP="001F115B">
            <w:pPr>
              <w:spacing w:after="0" w:line="240" w:lineRule="auto"/>
              <w:jc w:val="both"/>
              <w:rPr>
                <w:rFonts w:ascii="Arial" w:hAnsi="Arial" w:cs="Arial"/>
                <w:i/>
                <w:sz w:val="20"/>
                <w:szCs w:val="20"/>
                <w:lang w:val="en-US"/>
              </w:rPr>
            </w:pPr>
          </w:p>
          <w:p w14:paraId="5A71356D" w14:textId="4AF4E83A" w:rsidR="000D2AC8" w:rsidRPr="003C462E" w:rsidRDefault="00A905F2" w:rsidP="001F115B">
            <w:pPr>
              <w:spacing w:after="0" w:line="240" w:lineRule="auto"/>
              <w:jc w:val="both"/>
              <w:rPr>
                <w:rFonts w:ascii="Arial" w:hAnsi="Arial" w:cs="Arial"/>
                <w:b/>
                <w:sz w:val="20"/>
                <w:szCs w:val="20"/>
              </w:rPr>
            </w:pPr>
            <w:r>
              <w:rPr>
                <w:rFonts w:ascii="Arial" w:hAnsi="Arial"/>
                <w:b/>
                <w:sz w:val="20"/>
              </w:rPr>
              <w:t>Objektivi strategjik 3: Rritja e efiçiencës së energjisë</w:t>
            </w:r>
          </w:p>
          <w:p w14:paraId="07686ED6" w14:textId="77777777" w:rsidR="00C315FD" w:rsidRDefault="000D2AC8" w:rsidP="001F115B">
            <w:pPr>
              <w:spacing w:after="0" w:line="240" w:lineRule="auto"/>
              <w:jc w:val="both"/>
              <w:rPr>
                <w:rFonts w:ascii="Arial" w:hAnsi="Arial" w:cs="Arial"/>
                <w:i/>
                <w:sz w:val="20"/>
                <w:szCs w:val="20"/>
              </w:rPr>
            </w:pPr>
            <w:r>
              <w:rPr>
                <w:rFonts w:ascii="Arial" w:hAnsi="Arial"/>
                <w:i/>
                <w:sz w:val="20"/>
              </w:rPr>
              <w:t>Rritja e efiçencës së energjisë është thelbësore për arritjen e të katër qëllimeve të Strategjisë së Energjisë: lehtëson furnizimin e nevojave për energji dhe zvogëlon varësinë nga importi (siguria e furnizimit), zvogëlon barrën e konsumatorëve (përballueshmërinë) dhe redukton emetimet e GHG dhe ndotjen e ajrit (qëndrueshmëria).</w:t>
            </w:r>
          </w:p>
          <w:p w14:paraId="1B7AA8A4" w14:textId="77777777" w:rsidR="00C315FD" w:rsidRDefault="00C315FD" w:rsidP="001F115B">
            <w:pPr>
              <w:spacing w:after="0" w:line="240" w:lineRule="auto"/>
              <w:jc w:val="both"/>
              <w:rPr>
                <w:rFonts w:ascii="Arial" w:hAnsi="Arial" w:cs="Arial"/>
                <w:i/>
                <w:sz w:val="20"/>
                <w:szCs w:val="20"/>
                <w:lang w:val="en-US"/>
              </w:rPr>
            </w:pPr>
          </w:p>
          <w:p w14:paraId="5D367337" w14:textId="28DB69B3" w:rsidR="00C315FD" w:rsidRDefault="00C315FD" w:rsidP="001F115B">
            <w:pPr>
              <w:spacing w:after="0" w:line="240" w:lineRule="auto"/>
              <w:jc w:val="both"/>
              <w:rPr>
                <w:rFonts w:ascii="Arial" w:hAnsi="Arial" w:cs="Arial"/>
                <w:sz w:val="20"/>
                <w:szCs w:val="20"/>
              </w:rPr>
            </w:pPr>
            <w:r>
              <w:rPr>
                <w:rFonts w:ascii="Arial" w:hAnsi="Arial"/>
                <w:b/>
                <w:sz w:val="20"/>
              </w:rPr>
              <w:t xml:space="preserve">Objektivi strategjik 4: Forcimi i bashkëpunimit rajonal dhe funksionimi i tregut </w:t>
            </w:r>
          </w:p>
          <w:p w14:paraId="6EE88580" w14:textId="638B40B8" w:rsidR="00FD2583" w:rsidRDefault="00BD2A12" w:rsidP="001F115B">
            <w:pPr>
              <w:spacing w:after="0" w:line="240" w:lineRule="auto"/>
              <w:jc w:val="both"/>
              <w:rPr>
                <w:rFonts w:ascii="Arial" w:hAnsi="Arial" w:cs="Arial"/>
                <w:sz w:val="20"/>
                <w:szCs w:val="20"/>
              </w:rPr>
            </w:pPr>
            <w:r>
              <w:rPr>
                <w:rFonts w:ascii="Arial" w:hAnsi="Arial"/>
                <w:i/>
                <w:sz w:val="20"/>
              </w:rPr>
              <w:t>Kosova është e përkushtuar në zbatimin e të gjitha obligimeve të Traktatit të Komunitetit të Energjisë për krijimin e një tregu të lirë, të integruar dhe konkurrues të energjisë elektrike</w:t>
            </w:r>
            <w:r>
              <w:rPr>
                <w:rFonts w:ascii="Arial" w:hAnsi="Arial"/>
                <w:sz w:val="20"/>
              </w:rPr>
              <w:t xml:space="preserve">. </w:t>
            </w:r>
          </w:p>
          <w:p w14:paraId="36262AD1" w14:textId="77777777" w:rsidR="00DA4D2C" w:rsidRDefault="00DA4D2C" w:rsidP="001F115B">
            <w:pPr>
              <w:spacing w:after="0" w:line="240" w:lineRule="auto"/>
              <w:jc w:val="both"/>
              <w:rPr>
                <w:rFonts w:ascii="Arial" w:hAnsi="Arial" w:cs="Arial"/>
                <w:b/>
                <w:sz w:val="20"/>
                <w:szCs w:val="20"/>
                <w:lang w:val="en-US"/>
              </w:rPr>
            </w:pPr>
          </w:p>
          <w:p w14:paraId="377EB4F1" w14:textId="1D45017D" w:rsidR="00DA4D2C" w:rsidRPr="003C462E" w:rsidRDefault="00DA4D2C" w:rsidP="001F115B">
            <w:pPr>
              <w:spacing w:after="0" w:line="240" w:lineRule="auto"/>
              <w:jc w:val="both"/>
              <w:rPr>
                <w:rFonts w:ascii="Arial" w:hAnsi="Arial" w:cs="Arial"/>
                <w:sz w:val="20"/>
                <w:szCs w:val="20"/>
              </w:rPr>
            </w:pPr>
            <w:r>
              <w:rPr>
                <w:rFonts w:ascii="Arial" w:hAnsi="Arial"/>
                <w:sz w:val="20"/>
              </w:rPr>
              <w:t>Objektivi specifik 4: Forcimi i bashkëpunimit rajonal</w:t>
            </w:r>
          </w:p>
          <w:p w14:paraId="0B9177EB" w14:textId="7E1598D7" w:rsidR="00DA4D2C" w:rsidRPr="003C462E" w:rsidRDefault="00DA4D2C" w:rsidP="001F115B">
            <w:pPr>
              <w:spacing w:after="0" w:line="240" w:lineRule="auto"/>
              <w:jc w:val="both"/>
              <w:rPr>
                <w:rFonts w:ascii="Arial" w:hAnsi="Arial" w:cs="Arial"/>
                <w:i/>
                <w:sz w:val="20"/>
                <w:szCs w:val="20"/>
              </w:rPr>
            </w:pPr>
            <w:r>
              <w:rPr>
                <w:rFonts w:ascii="Arial" w:hAnsi="Arial"/>
                <w:i/>
                <w:sz w:val="20"/>
              </w:rPr>
              <w:t>Objektivi kryesor për këtë objektiv strategjik është arritja e integrimit të tregut me Shqipërinë në vitin 2023</w:t>
            </w:r>
          </w:p>
          <w:p w14:paraId="6D4C87A6" w14:textId="77777777" w:rsidR="00DA4D2C" w:rsidRDefault="00DA4D2C" w:rsidP="001F115B">
            <w:pPr>
              <w:spacing w:after="0" w:line="240" w:lineRule="auto"/>
              <w:jc w:val="both"/>
              <w:rPr>
                <w:rFonts w:ascii="Arial" w:hAnsi="Arial" w:cs="Arial"/>
                <w:b/>
                <w:sz w:val="20"/>
                <w:szCs w:val="20"/>
                <w:lang w:val="en-US"/>
              </w:rPr>
            </w:pPr>
          </w:p>
          <w:p w14:paraId="32D337BA" w14:textId="127CD8C1" w:rsidR="00FD2583" w:rsidRPr="003C462E" w:rsidRDefault="007968DE" w:rsidP="001F115B">
            <w:pPr>
              <w:spacing w:after="0" w:line="240" w:lineRule="auto"/>
              <w:jc w:val="both"/>
              <w:rPr>
                <w:rFonts w:ascii="Arial" w:hAnsi="Arial" w:cs="Arial"/>
                <w:b/>
                <w:sz w:val="20"/>
                <w:szCs w:val="20"/>
              </w:rPr>
            </w:pPr>
            <w:r>
              <w:rPr>
                <w:rFonts w:ascii="Arial" w:hAnsi="Arial"/>
                <w:b/>
                <w:sz w:val="20"/>
              </w:rPr>
              <w:t>Objektivi strategjik 5: Mbrojtja dhe fuqizimi i konsumatorëve</w:t>
            </w:r>
          </w:p>
          <w:p w14:paraId="6C0DAE0A" w14:textId="77777777" w:rsidR="00FD2583" w:rsidRDefault="00FD2583" w:rsidP="001F115B">
            <w:pPr>
              <w:spacing w:after="0" w:line="240" w:lineRule="auto"/>
              <w:jc w:val="both"/>
              <w:rPr>
                <w:rFonts w:ascii="Arial" w:hAnsi="Arial" w:cs="Arial"/>
                <w:sz w:val="20"/>
                <w:szCs w:val="20"/>
              </w:rPr>
            </w:pPr>
            <w:r>
              <w:rPr>
                <w:rFonts w:ascii="Arial" w:hAnsi="Arial"/>
                <w:sz w:val="20"/>
              </w:rPr>
              <w:t>Objektivi specifik 5,3: Ruajtja e shëndetit të njeriut dhe mjedisit</w:t>
            </w:r>
          </w:p>
          <w:p w14:paraId="63DA9CCF" w14:textId="77777777" w:rsidR="007968DE" w:rsidRDefault="007968DE" w:rsidP="001F115B">
            <w:pPr>
              <w:spacing w:after="0" w:line="240" w:lineRule="auto"/>
              <w:jc w:val="both"/>
              <w:rPr>
                <w:rFonts w:ascii="Arial" w:hAnsi="Arial" w:cs="Arial"/>
                <w:sz w:val="20"/>
                <w:szCs w:val="20"/>
                <w:lang w:val="en-US"/>
              </w:rPr>
            </w:pPr>
          </w:p>
          <w:p w14:paraId="54BE8FAF" w14:textId="756AC16E" w:rsidR="00FD2583" w:rsidRPr="005234CE" w:rsidRDefault="00FD2583" w:rsidP="001F115B">
            <w:pPr>
              <w:spacing w:after="0" w:line="240" w:lineRule="auto"/>
              <w:jc w:val="both"/>
              <w:rPr>
                <w:rFonts w:ascii="Arial" w:hAnsi="Arial" w:cs="Arial"/>
                <w:i/>
                <w:sz w:val="20"/>
                <w:szCs w:val="20"/>
              </w:rPr>
            </w:pPr>
            <w:r>
              <w:rPr>
                <w:rFonts w:ascii="Arial" w:hAnsi="Arial"/>
                <w:i/>
                <w:sz w:val="20"/>
              </w:rPr>
              <w:t>Minimizimi i ndikimeve negative mjedisore të sektorit të energjisë është thelbësor për mbrojtjen e shëndetit të qytetarëve në Kosovë dhe ruajtjen e ekosistemit të saj.</w:t>
            </w:r>
          </w:p>
        </w:tc>
      </w:tr>
    </w:tbl>
    <w:p w14:paraId="2F99BEF3" w14:textId="77777777" w:rsidR="006F1611" w:rsidRDefault="006F1611">
      <w:pPr>
        <w:spacing w:after="0" w:line="240" w:lineRule="auto"/>
        <w:rPr>
          <w:rFonts w:ascii="Arial" w:hAnsi="Arial" w:cs="Arial"/>
        </w:rPr>
      </w:pPr>
    </w:p>
    <w:p w14:paraId="383F2F5E" w14:textId="77777777" w:rsidR="006F1611" w:rsidRDefault="0074067A" w:rsidP="003914F0">
      <w:pPr>
        <w:pStyle w:val="ListParagraph"/>
        <w:numPr>
          <w:ilvl w:val="0"/>
          <w:numId w:val="2"/>
        </w:numPr>
        <w:spacing w:before="200" w:after="120"/>
        <w:rPr>
          <w:rFonts w:cs="Arial"/>
          <w:b/>
        </w:rPr>
      </w:pPr>
      <w:r>
        <w:rPr>
          <w:b/>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4067A" w:rsidRPr="0074067A" w14:paraId="536E3976"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0900BD" w14:textId="77777777" w:rsidR="0074067A" w:rsidRPr="0074067A" w:rsidRDefault="0074067A" w:rsidP="0074067A">
            <w:pPr>
              <w:spacing w:after="0" w:line="240" w:lineRule="auto"/>
              <w:rPr>
                <w:rFonts w:ascii="Arial" w:hAnsi="Arial" w:cs="Arial"/>
                <w:sz w:val="20"/>
                <w:szCs w:val="20"/>
              </w:rPr>
            </w:pPr>
            <w:r>
              <w:rPr>
                <w:rFonts w:ascii="Arial" w:hAnsi="Arial"/>
                <w:b/>
                <w:sz w:val="20"/>
              </w:rPr>
              <w:t>Shpjegoni veçoritë e projektit në lidhje me:</w:t>
            </w:r>
          </w:p>
        </w:tc>
      </w:tr>
      <w:tr w:rsidR="0074067A" w:rsidRPr="0074067A" w14:paraId="722A4D2D" w14:textId="77777777" w:rsidTr="0074067A">
        <w:trPr>
          <w:trHeight w:val="31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69F45CC" w14:textId="147CCEC7" w:rsidR="0074067A" w:rsidRPr="0074067A" w:rsidRDefault="0074067A" w:rsidP="004C02A3">
            <w:pPr>
              <w:spacing w:after="0" w:line="240" w:lineRule="auto"/>
              <w:rPr>
                <w:rFonts w:ascii="Arial" w:hAnsi="Arial" w:cs="Arial"/>
                <w:sz w:val="20"/>
                <w:szCs w:val="20"/>
              </w:rPr>
            </w:pPr>
            <w:r>
              <w:rPr>
                <w:rFonts w:ascii="Arial" w:hAnsi="Arial"/>
                <w:sz w:val="20"/>
              </w:rPr>
              <w:t>Përfshirja në listën e fundit PECI</w:t>
            </w:r>
          </w:p>
        </w:tc>
        <w:tc>
          <w:tcPr>
            <w:tcW w:w="2989" w:type="pct"/>
            <w:tcBorders>
              <w:top w:val="single" w:sz="4" w:space="0" w:color="auto"/>
              <w:left w:val="single" w:sz="4" w:space="0" w:color="auto"/>
              <w:bottom w:val="single" w:sz="4" w:space="0" w:color="auto"/>
              <w:right w:val="single" w:sz="4" w:space="0" w:color="auto"/>
            </w:tcBorders>
            <w:vAlign w:val="center"/>
          </w:tcPr>
          <w:p w14:paraId="67458C75" w14:textId="119EA5F7" w:rsidR="0074067A" w:rsidRPr="0074067A" w:rsidRDefault="003C462E" w:rsidP="0074067A">
            <w:pPr>
              <w:spacing w:after="0" w:line="240" w:lineRule="auto"/>
              <w:rPr>
                <w:rFonts w:ascii="Arial" w:hAnsi="Arial" w:cs="Arial"/>
                <w:sz w:val="20"/>
                <w:szCs w:val="20"/>
              </w:rPr>
            </w:pPr>
            <w:r>
              <w:rPr>
                <w:rFonts w:ascii="Arial" w:hAnsi="Arial"/>
                <w:sz w:val="20"/>
              </w:rPr>
              <w:t>Po, është përfshirë.</w:t>
            </w:r>
          </w:p>
        </w:tc>
      </w:tr>
      <w:tr w:rsidR="0074067A" w:rsidRPr="0074067A" w14:paraId="21433B78"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BDFAE08" w14:textId="264B4C7A" w:rsidR="0074067A" w:rsidRPr="0074067A" w:rsidRDefault="0074067A" w:rsidP="004C02A3">
            <w:pPr>
              <w:spacing w:after="0" w:line="240" w:lineRule="auto"/>
              <w:rPr>
                <w:rFonts w:ascii="Arial" w:hAnsi="Arial" w:cs="Arial"/>
                <w:sz w:val="20"/>
                <w:szCs w:val="20"/>
              </w:rPr>
            </w:pPr>
            <w:r>
              <w:rPr>
                <w:rFonts w:ascii="Arial" w:hAnsi="Arial"/>
                <w:sz w:val="20"/>
              </w:rPr>
              <w:t>Koherenca me planet e zhvillimit të infrastrukturës ENTSO-E, ENTSOG</w:t>
            </w:r>
          </w:p>
        </w:tc>
        <w:tc>
          <w:tcPr>
            <w:tcW w:w="2989" w:type="pct"/>
            <w:tcBorders>
              <w:top w:val="single" w:sz="4" w:space="0" w:color="auto"/>
              <w:left w:val="single" w:sz="4" w:space="0" w:color="auto"/>
              <w:bottom w:val="single" w:sz="4" w:space="0" w:color="auto"/>
              <w:right w:val="single" w:sz="4" w:space="0" w:color="auto"/>
            </w:tcBorders>
            <w:vAlign w:val="center"/>
          </w:tcPr>
          <w:p w14:paraId="2F245E52" w14:textId="3ACF5EDB" w:rsidR="0074067A" w:rsidRPr="0074067A" w:rsidRDefault="002541C1" w:rsidP="001F115B">
            <w:pPr>
              <w:spacing w:after="0" w:line="240" w:lineRule="auto"/>
              <w:jc w:val="both"/>
              <w:rPr>
                <w:rFonts w:ascii="Arial" w:hAnsi="Arial" w:cs="Arial"/>
                <w:sz w:val="20"/>
                <w:szCs w:val="20"/>
              </w:rPr>
            </w:pPr>
            <w:r>
              <w:rPr>
                <w:rFonts w:ascii="Arial" w:hAnsi="Arial"/>
                <w:sz w:val="20"/>
              </w:rPr>
              <w:t xml:space="preserve">Projekti është në koherencë me ENTSO-E me përmbushjen e kërkesave teknike të ENTSO-E të cilat janë të detyrueshme për çdo Operator Transmisioni që operon në zonën sinkrone të përbashkët evropiane. </w:t>
            </w:r>
          </w:p>
        </w:tc>
      </w:tr>
      <w:tr w:rsidR="0074067A" w:rsidRPr="0074067A" w14:paraId="5A5F3D6C"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B4D2F9B" w14:textId="6F2D2748" w:rsidR="0074067A" w:rsidRPr="0074067A" w:rsidRDefault="0074067A" w:rsidP="004C02A3">
            <w:pPr>
              <w:spacing w:after="0" w:line="240" w:lineRule="auto"/>
              <w:rPr>
                <w:rFonts w:ascii="Arial" w:hAnsi="Arial" w:cs="Arial"/>
                <w:sz w:val="20"/>
                <w:szCs w:val="20"/>
              </w:rPr>
            </w:pPr>
            <w:r>
              <w:rPr>
                <w:rFonts w:ascii="Arial" w:hAnsi="Arial"/>
                <w:sz w:val="20"/>
              </w:rPr>
              <w:t>Kontributi në përmirësimin e sigurisë së furnizimit</w:t>
            </w:r>
          </w:p>
        </w:tc>
        <w:tc>
          <w:tcPr>
            <w:tcW w:w="2989" w:type="pct"/>
            <w:tcBorders>
              <w:top w:val="single" w:sz="4" w:space="0" w:color="auto"/>
              <w:left w:val="single" w:sz="4" w:space="0" w:color="auto"/>
              <w:bottom w:val="single" w:sz="4" w:space="0" w:color="auto"/>
              <w:right w:val="single" w:sz="4" w:space="0" w:color="auto"/>
            </w:tcBorders>
            <w:vAlign w:val="center"/>
          </w:tcPr>
          <w:p w14:paraId="4B280BF3" w14:textId="0925A4D4" w:rsidR="0074067A" w:rsidRPr="0074067A" w:rsidRDefault="007968DE" w:rsidP="001F115B">
            <w:pPr>
              <w:spacing w:after="0" w:line="240" w:lineRule="auto"/>
              <w:jc w:val="both"/>
              <w:rPr>
                <w:rFonts w:ascii="Arial" w:hAnsi="Arial" w:cs="Arial"/>
                <w:sz w:val="20"/>
                <w:szCs w:val="20"/>
              </w:rPr>
            </w:pPr>
            <w:r>
              <w:rPr>
                <w:rFonts w:ascii="Arial" w:hAnsi="Arial"/>
                <w:sz w:val="20"/>
              </w:rPr>
              <w:t>Projekti do të kontribuojë në përmirësimin e sigurisë së furnizimit duke shmangur mbitensionet në rrjetin e transmisionit</w:t>
            </w:r>
            <w:r>
              <w:rPr>
                <w:rFonts w:ascii="Arial" w:hAnsi="Arial"/>
              </w:rPr>
              <w:t>,</w:t>
            </w:r>
            <w:r>
              <w:rPr>
                <w:rFonts w:ascii="Arial" w:hAnsi="Arial"/>
                <w:sz w:val="20"/>
              </w:rPr>
              <w:t xml:space="preserve"> rritja e kapacitetit të rrjetit, përmbushja e Kriterit të Sigurisë N-1, parandalimi i ndërprerjeve të energjisë, reduktimi i energjisë së padërguar tek klientët.</w:t>
            </w:r>
            <w:r>
              <w:t xml:space="preserve"> </w:t>
            </w:r>
            <w:r>
              <w:rPr>
                <w:rFonts w:ascii="Arial" w:hAnsi="Arial"/>
                <w:sz w:val="20"/>
              </w:rPr>
              <w:t xml:space="preserve">Me zbatimin e projektit do të zvogëlohen humbjet dhe do të reduktohet energjia e pafurnizuar </w:t>
            </w:r>
          </w:p>
        </w:tc>
      </w:tr>
      <w:tr w:rsidR="0074067A" w:rsidRPr="0074067A" w14:paraId="458B2BC7"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2C43167" w14:textId="6AED5BC8" w:rsidR="0074067A" w:rsidRPr="0074067A" w:rsidRDefault="0074067A" w:rsidP="004C02A3">
            <w:pPr>
              <w:spacing w:after="0" w:line="240" w:lineRule="auto"/>
              <w:rPr>
                <w:rFonts w:ascii="Arial" w:hAnsi="Arial" w:cs="Arial"/>
                <w:sz w:val="20"/>
                <w:szCs w:val="20"/>
              </w:rPr>
            </w:pPr>
            <w:r>
              <w:rPr>
                <w:rFonts w:ascii="Arial" w:hAnsi="Arial"/>
                <w:sz w:val="20"/>
              </w:rPr>
              <w:t>Ndikimi në përmirësimin e infrastrukturës lokale</w:t>
            </w:r>
          </w:p>
        </w:tc>
        <w:tc>
          <w:tcPr>
            <w:tcW w:w="2989" w:type="pct"/>
            <w:tcBorders>
              <w:top w:val="single" w:sz="4" w:space="0" w:color="auto"/>
              <w:left w:val="single" w:sz="4" w:space="0" w:color="auto"/>
              <w:bottom w:val="single" w:sz="4" w:space="0" w:color="auto"/>
              <w:right w:val="single" w:sz="4" w:space="0" w:color="auto"/>
            </w:tcBorders>
            <w:vAlign w:val="center"/>
          </w:tcPr>
          <w:p w14:paraId="438FA394" w14:textId="52E6A20A" w:rsidR="00A776DC" w:rsidRPr="00A776DC" w:rsidRDefault="00531D70" w:rsidP="001F115B">
            <w:pPr>
              <w:spacing w:after="0" w:line="240" w:lineRule="auto"/>
              <w:jc w:val="both"/>
              <w:rPr>
                <w:rFonts w:ascii="Arial" w:hAnsi="Arial" w:cs="Arial"/>
                <w:sz w:val="20"/>
                <w:szCs w:val="20"/>
              </w:rPr>
            </w:pPr>
            <w:r>
              <w:rPr>
                <w:rFonts w:ascii="Arial" w:hAnsi="Arial"/>
                <w:sz w:val="20"/>
              </w:rPr>
              <w:t>Projekti do të ketë një ndikim pozitiv në infrastrukturën kombëtare dhe lokale duke siguruar një furnizim të sigurt me energji. Me ringritjen e NS Prizreni 2 në NS Prizreni 4 me transformim 400/220/110 kV, krijimi i unazës 400 kV Pejë 3-Gjakovë-Prizren dhe linjës së re të ndërlidhur 400 kV dhe linjës 110 kV me Shqipërinë sjell këto përfitime:</w:t>
            </w:r>
          </w:p>
          <w:p w14:paraId="78833ADB" w14:textId="77777777" w:rsidR="00A776DC" w:rsidRPr="00A776DC" w:rsidRDefault="00A776DC" w:rsidP="001F115B">
            <w:pPr>
              <w:spacing w:after="0" w:line="240" w:lineRule="auto"/>
              <w:jc w:val="both"/>
              <w:rPr>
                <w:rFonts w:ascii="Arial" w:hAnsi="Arial" w:cs="Arial"/>
                <w:sz w:val="20"/>
                <w:szCs w:val="20"/>
              </w:rPr>
            </w:pPr>
            <w:r>
              <w:rPr>
                <w:rFonts w:ascii="Arial" w:hAnsi="Arial"/>
                <w:sz w:val="20"/>
              </w:rPr>
              <w:t>- Mundëson tranzicionin energjetik dhe dekarbonizimin e sektorit përmes integrimit të kapaciteteve të reja gjeneruese nga BRE.</w:t>
            </w:r>
          </w:p>
          <w:p w14:paraId="5D75D872" w14:textId="77777777" w:rsidR="00A776DC" w:rsidRPr="00A776DC" w:rsidRDefault="00A776DC" w:rsidP="001F115B">
            <w:pPr>
              <w:spacing w:after="0" w:line="240" w:lineRule="auto"/>
              <w:jc w:val="both"/>
              <w:rPr>
                <w:rFonts w:ascii="Arial" w:hAnsi="Arial" w:cs="Arial"/>
                <w:sz w:val="20"/>
                <w:szCs w:val="20"/>
              </w:rPr>
            </w:pPr>
            <w:r>
              <w:rPr>
                <w:rFonts w:ascii="Arial" w:hAnsi="Arial"/>
                <w:sz w:val="20"/>
              </w:rPr>
              <w:t>- Krijon kushte për integrimin e aftësive të BRE përtej objektivave të Strategjisë së Energjisë 2022-2031.</w:t>
            </w:r>
          </w:p>
          <w:p w14:paraId="0CFD750B" w14:textId="77777777" w:rsidR="00A776DC" w:rsidRPr="00A776DC" w:rsidRDefault="00A776DC" w:rsidP="001F115B">
            <w:pPr>
              <w:spacing w:after="0" w:line="240" w:lineRule="auto"/>
              <w:jc w:val="both"/>
              <w:rPr>
                <w:rFonts w:ascii="Arial" w:hAnsi="Arial" w:cs="Arial"/>
                <w:sz w:val="20"/>
                <w:szCs w:val="20"/>
              </w:rPr>
            </w:pPr>
            <w:r>
              <w:rPr>
                <w:rFonts w:ascii="Arial" w:hAnsi="Arial"/>
                <w:sz w:val="20"/>
              </w:rPr>
              <w:t>- Krijon kushte teknike për arritjen e kriterit 70% të shfrytëzimit të kapaciteteve të ndërlidhjes për tregun e energjisë elektrike, në përputhje me BE. Rregullorja (2019/943).</w:t>
            </w:r>
          </w:p>
          <w:p w14:paraId="0BA7F5BE" w14:textId="727FE27D" w:rsidR="0074067A" w:rsidRPr="0074067A" w:rsidRDefault="00A776DC" w:rsidP="001F115B">
            <w:pPr>
              <w:spacing w:after="0" w:line="240" w:lineRule="auto"/>
              <w:jc w:val="both"/>
              <w:rPr>
                <w:rFonts w:ascii="Arial" w:hAnsi="Arial" w:cs="Arial"/>
                <w:sz w:val="20"/>
                <w:szCs w:val="20"/>
              </w:rPr>
            </w:pPr>
            <w:r>
              <w:rPr>
                <w:rFonts w:ascii="Arial" w:hAnsi="Arial"/>
                <w:sz w:val="20"/>
              </w:rPr>
              <w:t xml:space="preserve">Rrit besueshmërinë dhe sigurinë e rrjetit rajonal 400 kV dhe 110. </w:t>
            </w:r>
          </w:p>
        </w:tc>
      </w:tr>
      <w:tr w:rsidR="00531D70" w:rsidRPr="0074067A" w14:paraId="2215EA70"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71B3C26" w14:textId="77777777" w:rsidR="00531D70" w:rsidRPr="0074067A" w:rsidRDefault="00531D70" w:rsidP="00531D70">
            <w:pPr>
              <w:spacing w:after="0" w:line="240" w:lineRule="auto"/>
              <w:rPr>
                <w:rFonts w:ascii="Arial" w:hAnsi="Arial" w:cs="Arial"/>
                <w:sz w:val="20"/>
                <w:szCs w:val="20"/>
              </w:rPr>
            </w:pPr>
            <w:r>
              <w:rPr>
                <w:rFonts w:ascii="Arial" w:hAnsi="Arial"/>
                <w:sz w:val="20"/>
              </w:rPr>
              <w:t>Rritja e burimeve të ripërtërishme të energjisë dhe/ose efiçencës së energjisë</w:t>
            </w:r>
          </w:p>
        </w:tc>
        <w:tc>
          <w:tcPr>
            <w:tcW w:w="2989" w:type="pct"/>
            <w:tcBorders>
              <w:top w:val="single" w:sz="4" w:space="0" w:color="auto"/>
              <w:left w:val="single" w:sz="4" w:space="0" w:color="auto"/>
              <w:bottom w:val="single" w:sz="4" w:space="0" w:color="auto"/>
              <w:right w:val="single" w:sz="4" w:space="0" w:color="auto"/>
            </w:tcBorders>
            <w:vAlign w:val="center"/>
          </w:tcPr>
          <w:p w14:paraId="3ADF42E4" w14:textId="18B7E865" w:rsidR="00531D70" w:rsidRPr="0074067A" w:rsidRDefault="00531D70" w:rsidP="001F115B">
            <w:pPr>
              <w:spacing w:after="0" w:line="240" w:lineRule="auto"/>
              <w:jc w:val="both"/>
              <w:rPr>
                <w:rFonts w:ascii="Arial" w:hAnsi="Arial" w:cs="Arial"/>
                <w:sz w:val="20"/>
                <w:szCs w:val="20"/>
              </w:rPr>
            </w:pPr>
            <w:r>
              <w:rPr>
                <w:rFonts w:ascii="Arial" w:hAnsi="Arial"/>
                <w:sz w:val="20"/>
              </w:rPr>
              <w:t>Me përforcimin e rrjetit dhe një sistem transmisioni më fleksibël, burime shtesë të ripërtëritshme të energjisë (BRE) mund të lidhen me sistemin e transmisionit. Ky projekt do të mundësojë integrimin e 245 MW BRE shtesë.</w:t>
            </w:r>
          </w:p>
        </w:tc>
      </w:tr>
      <w:tr w:rsidR="00531D70" w:rsidRPr="0074067A" w14:paraId="20053632"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DCF9AB6" w14:textId="77777777" w:rsidR="00531D70" w:rsidRPr="0074067A" w:rsidRDefault="00531D70" w:rsidP="00531D70">
            <w:pPr>
              <w:spacing w:after="0" w:line="240" w:lineRule="auto"/>
              <w:rPr>
                <w:rFonts w:ascii="Arial" w:hAnsi="Arial" w:cs="Arial"/>
                <w:sz w:val="20"/>
                <w:szCs w:val="20"/>
              </w:rPr>
            </w:pPr>
            <w:r>
              <w:rPr>
                <w:rFonts w:ascii="Arial" w:hAnsi="Arial"/>
                <w:sz w:val="20"/>
              </w:rPr>
              <w:t>Reduktimi i emetimeve të CO</w:t>
            </w:r>
            <w:r>
              <w:rPr>
                <w:rFonts w:ascii="Arial" w:hAnsi="Arial"/>
                <w:sz w:val="20"/>
                <w:vertAlign w:val="subscript"/>
              </w:rPr>
              <w:t>2</w:t>
            </w:r>
          </w:p>
        </w:tc>
        <w:tc>
          <w:tcPr>
            <w:tcW w:w="2989" w:type="pct"/>
            <w:tcBorders>
              <w:top w:val="single" w:sz="4" w:space="0" w:color="auto"/>
              <w:left w:val="single" w:sz="4" w:space="0" w:color="auto"/>
              <w:bottom w:val="single" w:sz="4" w:space="0" w:color="auto"/>
              <w:right w:val="single" w:sz="4" w:space="0" w:color="auto"/>
            </w:tcBorders>
            <w:vAlign w:val="center"/>
          </w:tcPr>
          <w:p w14:paraId="606F11A8" w14:textId="16A20E1E" w:rsidR="00531D70" w:rsidRPr="0074067A" w:rsidRDefault="00531D70" w:rsidP="001F115B">
            <w:pPr>
              <w:spacing w:after="0" w:line="240" w:lineRule="auto"/>
              <w:jc w:val="both"/>
              <w:rPr>
                <w:rFonts w:ascii="Arial" w:hAnsi="Arial" w:cs="Arial"/>
                <w:sz w:val="20"/>
                <w:szCs w:val="20"/>
              </w:rPr>
            </w:pPr>
            <w:r>
              <w:rPr>
                <w:rFonts w:ascii="Arial" w:hAnsi="Arial"/>
                <w:sz w:val="20"/>
              </w:rPr>
              <w:t>Reduktimi i CO</w:t>
            </w:r>
            <w:r>
              <w:rPr>
                <w:rFonts w:ascii="Arial" w:hAnsi="Arial"/>
                <w:sz w:val="20"/>
                <w:vertAlign w:val="subscript"/>
              </w:rPr>
              <w:t>2</w:t>
            </w:r>
            <w:r>
              <w:rPr>
                <w:rFonts w:ascii="Arial" w:hAnsi="Arial"/>
                <w:sz w:val="20"/>
              </w:rPr>
              <w:t xml:space="preserve"> duke mbështetur 600 MW burime të rinovueshme dhe reduktim të humbjeve në transmetimit të energjisë.</w:t>
            </w:r>
            <w:r>
              <w:t xml:space="preserve"> </w:t>
            </w:r>
            <w:r>
              <w:rPr>
                <w:rFonts w:ascii="Arial" w:hAnsi="Arial"/>
                <w:sz w:val="20"/>
              </w:rPr>
              <w:t>Ky projekt do të reduktojë CO</w:t>
            </w:r>
            <w:r>
              <w:rPr>
                <w:rFonts w:ascii="Arial" w:hAnsi="Arial"/>
                <w:sz w:val="20"/>
                <w:vertAlign w:val="subscript"/>
              </w:rPr>
              <w:t>2</w:t>
            </w:r>
            <w:r>
              <w:rPr>
                <w:rFonts w:ascii="Arial" w:hAnsi="Arial"/>
                <w:sz w:val="20"/>
              </w:rPr>
              <w:t xml:space="preserve"> me</w:t>
            </w:r>
            <w:r>
              <w:t xml:space="preserve"> </w:t>
            </w:r>
            <w:r>
              <w:rPr>
                <w:rFonts w:ascii="Arial" w:hAnsi="Arial"/>
                <w:sz w:val="20"/>
              </w:rPr>
              <w:t>sasia prej 1.15 milion ton, ose 1.15/7=16.5% e emetimeve aktuale.</w:t>
            </w:r>
          </w:p>
        </w:tc>
      </w:tr>
      <w:tr w:rsidR="00716C74" w:rsidRPr="0074067A" w14:paraId="21D82D3F"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2FCDFAE" w14:textId="3FF7BF60" w:rsidR="00716C74" w:rsidRPr="0074067A" w:rsidRDefault="00716C74" w:rsidP="004C02A3">
            <w:pPr>
              <w:spacing w:after="0" w:line="240" w:lineRule="auto"/>
              <w:rPr>
                <w:rFonts w:ascii="Arial" w:hAnsi="Arial" w:cs="Arial"/>
                <w:sz w:val="20"/>
                <w:szCs w:val="20"/>
              </w:rPr>
            </w:pPr>
            <w:r>
              <w:rPr>
                <w:rFonts w:ascii="Arial" w:hAnsi="Arial"/>
                <w:sz w:val="20"/>
              </w:rPr>
              <w:t>Kontributi në rritjen e përgjithshme ekonomike</w:t>
            </w:r>
          </w:p>
        </w:tc>
        <w:tc>
          <w:tcPr>
            <w:tcW w:w="2989" w:type="pct"/>
            <w:tcBorders>
              <w:top w:val="single" w:sz="4" w:space="0" w:color="auto"/>
              <w:left w:val="single" w:sz="4" w:space="0" w:color="auto"/>
              <w:bottom w:val="single" w:sz="4" w:space="0" w:color="auto"/>
              <w:right w:val="single" w:sz="4" w:space="0" w:color="auto"/>
            </w:tcBorders>
            <w:vAlign w:val="center"/>
          </w:tcPr>
          <w:p w14:paraId="3A1DBC93" w14:textId="44B32B8A" w:rsidR="00716C74" w:rsidRPr="0074067A" w:rsidRDefault="007968DE" w:rsidP="001F115B">
            <w:pPr>
              <w:spacing w:after="0" w:line="240" w:lineRule="auto"/>
              <w:jc w:val="both"/>
              <w:rPr>
                <w:rFonts w:ascii="Arial" w:hAnsi="Arial" w:cs="Arial"/>
                <w:sz w:val="20"/>
                <w:szCs w:val="20"/>
              </w:rPr>
            </w:pPr>
            <w:r>
              <w:rPr>
                <w:rFonts w:ascii="Arial" w:hAnsi="Arial"/>
                <w:sz w:val="20"/>
              </w:rPr>
              <w:t>Projekti do të kontribuojë në efiçencën e energjisë, në një furnizim të besueshëm dhe të sigurt me energji elektrike, do të mbështesë integrimin e BRE që do të ketë ndikim në</w:t>
            </w:r>
            <w:r>
              <w:t xml:space="preserve"> </w:t>
            </w:r>
            <w:r>
              <w:rPr>
                <w:rFonts w:ascii="Arial" w:hAnsi="Arial"/>
                <w:sz w:val="20"/>
              </w:rPr>
              <w:t>rritje ekonomike në vend, duke krijuar vende pune,</w:t>
            </w:r>
            <w:r>
              <w:t xml:space="preserve"> </w:t>
            </w:r>
            <w:r>
              <w:rPr>
                <w:rFonts w:ascii="Arial" w:hAnsi="Arial"/>
                <w:sz w:val="20"/>
              </w:rPr>
              <w:t>ulje të kostove të energjisë dhe stimulim të investimeve në zonë.</w:t>
            </w:r>
          </w:p>
        </w:tc>
      </w:tr>
      <w:tr w:rsidR="00716C74" w:rsidRPr="0074067A" w14:paraId="53498A3E"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D4C8C32" w14:textId="77777777" w:rsidR="00716C74" w:rsidRPr="0074067A" w:rsidRDefault="00716C74" w:rsidP="00716C74">
            <w:pPr>
              <w:spacing w:after="0" w:line="240" w:lineRule="auto"/>
              <w:rPr>
                <w:rFonts w:ascii="Arial" w:hAnsi="Arial" w:cs="Arial"/>
                <w:sz w:val="20"/>
                <w:szCs w:val="20"/>
              </w:rPr>
            </w:pPr>
            <w:r>
              <w:rPr>
                <w:rFonts w:ascii="Arial" w:hAnsi="Arial"/>
                <w:sz w:val="20"/>
              </w:rPr>
              <w:t>Integrimi me projekte të tjera</w:t>
            </w:r>
          </w:p>
        </w:tc>
        <w:tc>
          <w:tcPr>
            <w:tcW w:w="2989" w:type="pct"/>
            <w:tcBorders>
              <w:top w:val="single" w:sz="4" w:space="0" w:color="auto"/>
              <w:left w:val="single" w:sz="4" w:space="0" w:color="auto"/>
              <w:bottom w:val="single" w:sz="4" w:space="0" w:color="auto"/>
              <w:right w:val="single" w:sz="4" w:space="0" w:color="auto"/>
            </w:tcBorders>
            <w:vAlign w:val="center"/>
          </w:tcPr>
          <w:p w14:paraId="7CAB50D9" w14:textId="77777777" w:rsidR="00716C74" w:rsidRPr="0074067A" w:rsidRDefault="00716C74" w:rsidP="001F115B">
            <w:pPr>
              <w:spacing w:after="0" w:line="240" w:lineRule="auto"/>
              <w:jc w:val="both"/>
              <w:rPr>
                <w:rFonts w:ascii="Arial" w:hAnsi="Arial" w:cs="Arial"/>
                <w:sz w:val="20"/>
                <w:szCs w:val="20"/>
              </w:rPr>
            </w:pPr>
            <w:r>
              <w:rPr>
                <w:rFonts w:ascii="Arial" w:hAnsi="Arial"/>
                <w:sz w:val="20"/>
              </w:rPr>
              <w:t>Projekti është i lidhur me projektet shtesë për</w:t>
            </w:r>
            <w:r>
              <w:t xml:space="preserve"> </w:t>
            </w:r>
            <w:r>
              <w:rPr>
                <w:rFonts w:ascii="Arial" w:hAnsi="Arial"/>
                <w:sz w:val="20"/>
              </w:rPr>
              <w:t>Përforcimin e rrjetit të transmisionit, sistemi i rinovimit dhe projekti mbështetës</w:t>
            </w:r>
          </w:p>
        </w:tc>
      </w:tr>
      <w:tr w:rsidR="00716C74" w:rsidRPr="0074067A" w14:paraId="48D07978"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7495EA4" w14:textId="77777777" w:rsidR="00716C74" w:rsidRPr="0074067A" w:rsidRDefault="00716C74" w:rsidP="00716C74">
            <w:pPr>
              <w:spacing w:after="0" w:line="240" w:lineRule="auto"/>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64C0858E" w14:textId="69B9A64C" w:rsidR="00716C74" w:rsidRPr="0074067A" w:rsidRDefault="00716C74" w:rsidP="001F115B">
            <w:pPr>
              <w:spacing w:after="0" w:line="240" w:lineRule="auto"/>
              <w:jc w:val="both"/>
              <w:rPr>
                <w:rFonts w:ascii="Arial" w:hAnsi="Arial" w:cs="Arial"/>
                <w:sz w:val="20"/>
                <w:szCs w:val="20"/>
              </w:rPr>
            </w:pPr>
            <w:r>
              <w:rPr>
                <w:rFonts w:ascii="Arial" w:hAnsi="Arial"/>
                <w:sz w:val="20"/>
              </w:rPr>
              <w:t>Kriza globale, vonesa në shpronësimin e pronave.</w:t>
            </w:r>
          </w:p>
        </w:tc>
      </w:tr>
    </w:tbl>
    <w:p w14:paraId="00D0C51E" w14:textId="77777777" w:rsidR="0074067A" w:rsidRDefault="0074067A" w:rsidP="001C2CAF">
      <w:pPr>
        <w:pStyle w:val="Heading1"/>
        <w:spacing w:before="240" w:after="120"/>
        <w:jc w:val="center"/>
        <w:rPr>
          <w:rFonts w:ascii="Arial" w:hAnsi="Arial" w:cs="Arial"/>
          <w:color w:val="auto"/>
          <w:sz w:val="24"/>
          <w:szCs w:val="24"/>
        </w:rPr>
      </w:pPr>
      <w:r>
        <w:rPr>
          <w:rFonts w:ascii="Arial" w:hAnsi="Arial"/>
          <w:color w:val="auto"/>
          <w:sz w:val="24"/>
        </w:rPr>
        <w:t>Pjesa e dytë</w:t>
      </w:r>
    </w:p>
    <w:p w14:paraId="6426BF2D" w14:textId="77777777" w:rsidR="0074067A" w:rsidRDefault="0074067A" w:rsidP="003914F0">
      <w:pPr>
        <w:pStyle w:val="ListParagraph"/>
        <w:numPr>
          <w:ilvl w:val="0"/>
          <w:numId w:val="2"/>
        </w:numPr>
        <w:spacing w:after="120"/>
        <w:rPr>
          <w:rFonts w:cs="Arial"/>
          <w:b/>
        </w:rPr>
      </w:pPr>
      <w:r>
        <w:rPr>
          <w:b/>
        </w:rPr>
        <w:t>MATURITETI</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396"/>
        <w:gridCol w:w="1470"/>
        <w:gridCol w:w="1166"/>
        <w:gridCol w:w="1759"/>
      </w:tblGrid>
      <w:tr w:rsidR="0074067A" w:rsidRPr="0074067A" w14:paraId="5A36A12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112CA" w14:textId="77777777" w:rsidR="0074067A" w:rsidRPr="0074067A" w:rsidRDefault="0074067A" w:rsidP="0074067A">
            <w:pPr>
              <w:spacing w:after="0" w:line="240" w:lineRule="auto"/>
              <w:rPr>
                <w:rFonts w:ascii="Arial" w:hAnsi="Arial" w:cs="Arial"/>
                <w:b/>
                <w:sz w:val="20"/>
                <w:szCs w:val="20"/>
              </w:rPr>
            </w:pPr>
            <w:r>
              <w:rPr>
                <w:rFonts w:ascii="Arial" w:hAnsi="Arial"/>
                <w:b/>
                <w:sz w:val="20"/>
              </w:rPr>
              <w:t>Studimet dhe dokumentet në dispozicion</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AB4D7" w14:textId="77777777" w:rsidR="0074067A" w:rsidRPr="0074067A" w:rsidRDefault="0074067A" w:rsidP="0074067A">
            <w:pPr>
              <w:spacing w:after="0" w:line="240" w:lineRule="auto"/>
              <w:jc w:val="center"/>
              <w:rPr>
                <w:rFonts w:ascii="Arial" w:hAnsi="Arial" w:cs="Arial"/>
                <w:b/>
                <w:sz w:val="20"/>
                <w:szCs w:val="20"/>
              </w:rPr>
            </w:pPr>
            <w:r>
              <w:rPr>
                <w:rFonts w:ascii="Arial" w:hAnsi="Arial"/>
                <w:b/>
                <w:sz w:val="20"/>
              </w:rPr>
              <w:t>Gati dhe të miratuara</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84D55" w14:textId="77777777" w:rsidR="0074067A" w:rsidRPr="0074067A" w:rsidRDefault="0074067A" w:rsidP="0074067A">
            <w:pPr>
              <w:spacing w:after="0" w:line="240" w:lineRule="auto"/>
              <w:jc w:val="center"/>
              <w:rPr>
                <w:rFonts w:ascii="Arial" w:hAnsi="Arial" w:cs="Arial"/>
                <w:b/>
                <w:sz w:val="20"/>
                <w:szCs w:val="20"/>
              </w:rPr>
            </w:pPr>
            <w:r>
              <w:rPr>
                <w:rFonts w:ascii="Arial" w:hAnsi="Arial"/>
                <w:b/>
                <w:sz w:val="20"/>
              </w:rPr>
              <w:t>Duke u punuar</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B9CAF" w14:textId="77777777" w:rsidR="0074067A" w:rsidRPr="0074067A" w:rsidRDefault="0074067A" w:rsidP="0074067A">
            <w:pPr>
              <w:spacing w:after="0" w:line="240" w:lineRule="auto"/>
              <w:jc w:val="center"/>
              <w:rPr>
                <w:rFonts w:ascii="Arial" w:hAnsi="Arial" w:cs="Arial"/>
                <w:b/>
                <w:sz w:val="20"/>
                <w:szCs w:val="20"/>
              </w:rPr>
            </w:pPr>
            <w:r>
              <w:rPr>
                <w:rFonts w:ascii="Arial" w:hAnsi="Arial"/>
                <w:b/>
                <w:sz w:val="20"/>
              </w:rPr>
              <w:t>Nuk ka filluar ende</w:t>
            </w:r>
          </w:p>
        </w:tc>
      </w:tr>
      <w:tr w:rsidR="0074067A" w:rsidRPr="0074067A" w14:paraId="4790B5B2"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CD0CB6D" w14:textId="77777777" w:rsidR="0074067A" w:rsidRPr="0074067A" w:rsidRDefault="0074067A" w:rsidP="0074067A">
            <w:pPr>
              <w:spacing w:after="0" w:line="240" w:lineRule="auto"/>
              <w:rPr>
                <w:rFonts w:ascii="Arial" w:hAnsi="Arial" w:cs="Arial"/>
                <w:sz w:val="20"/>
                <w:szCs w:val="20"/>
              </w:rPr>
            </w:pPr>
            <w:r>
              <w:rPr>
                <w:rFonts w:ascii="Arial" w:hAnsi="Arial"/>
                <w:sz w:val="20"/>
              </w:rPr>
              <w:t>Idea konceptuale</w:t>
            </w:r>
          </w:p>
        </w:tc>
        <w:tc>
          <w:tcPr>
            <w:tcW w:w="800" w:type="pct"/>
            <w:tcBorders>
              <w:top w:val="single" w:sz="4" w:space="0" w:color="auto"/>
              <w:left w:val="single" w:sz="4" w:space="0" w:color="auto"/>
              <w:bottom w:val="single" w:sz="4" w:space="0" w:color="auto"/>
              <w:right w:val="single" w:sz="4" w:space="0" w:color="auto"/>
            </w:tcBorders>
            <w:vAlign w:val="center"/>
          </w:tcPr>
          <w:p w14:paraId="7118FD45" w14:textId="77777777" w:rsidR="00716C74" w:rsidRPr="001B662D" w:rsidRDefault="00716C74" w:rsidP="003914F0">
            <w:pPr>
              <w:pStyle w:val="ListParagraph"/>
              <w:numPr>
                <w:ilvl w:val="0"/>
                <w:numId w:val="4"/>
              </w:numPr>
              <w:spacing w:line="240" w:lineRule="auto"/>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6B936D3"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A79391B" w14:textId="77777777" w:rsidR="0074067A" w:rsidRPr="0074067A" w:rsidRDefault="0074067A" w:rsidP="0074067A">
            <w:pPr>
              <w:spacing w:after="0" w:line="240" w:lineRule="auto"/>
              <w:jc w:val="center"/>
              <w:rPr>
                <w:rFonts w:ascii="Arial" w:hAnsi="Arial" w:cs="Arial"/>
                <w:sz w:val="20"/>
                <w:szCs w:val="20"/>
              </w:rPr>
            </w:pPr>
          </w:p>
        </w:tc>
      </w:tr>
      <w:tr w:rsidR="0074067A" w:rsidRPr="0074067A" w14:paraId="2AD561E9"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597554B" w14:textId="77777777" w:rsidR="0074067A" w:rsidRPr="0074067A" w:rsidRDefault="0074067A" w:rsidP="0074067A">
            <w:pPr>
              <w:spacing w:after="0" w:line="240" w:lineRule="auto"/>
              <w:rPr>
                <w:rFonts w:ascii="Arial" w:hAnsi="Arial" w:cs="Arial"/>
                <w:sz w:val="20"/>
                <w:szCs w:val="20"/>
              </w:rPr>
            </w:pPr>
            <w:r>
              <w:rPr>
                <w:rFonts w:ascii="Arial" w:hAnsi="Arial"/>
                <w:sz w:val="20"/>
              </w:rPr>
              <w:lastRenderedPageBreak/>
              <w:t>Studimi paraprak i fizibilitetit</w:t>
            </w:r>
          </w:p>
        </w:tc>
        <w:tc>
          <w:tcPr>
            <w:tcW w:w="800" w:type="pct"/>
            <w:tcBorders>
              <w:top w:val="single" w:sz="4" w:space="0" w:color="auto"/>
              <w:left w:val="single" w:sz="4" w:space="0" w:color="auto"/>
              <w:bottom w:val="single" w:sz="4" w:space="0" w:color="auto"/>
              <w:right w:val="single" w:sz="4" w:space="0" w:color="auto"/>
            </w:tcBorders>
            <w:vAlign w:val="center"/>
          </w:tcPr>
          <w:p w14:paraId="69AFD9BD" w14:textId="77777777" w:rsidR="00716C74" w:rsidRPr="001B662D" w:rsidRDefault="00716C74" w:rsidP="00786DDE">
            <w:pPr>
              <w:pStyle w:val="ListParagraph"/>
              <w:spacing w:line="240" w:lineRule="auto"/>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1A410A0B"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4C2B0E6E" w14:textId="77777777" w:rsidR="0074067A" w:rsidRPr="00786DDE" w:rsidRDefault="0074067A" w:rsidP="003914F0">
            <w:pPr>
              <w:pStyle w:val="ListParagraph"/>
              <w:numPr>
                <w:ilvl w:val="0"/>
                <w:numId w:val="4"/>
              </w:numPr>
              <w:spacing w:line="240" w:lineRule="auto"/>
              <w:jc w:val="center"/>
              <w:rPr>
                <w:rFonts w:cs="Arial"/>
                <w:szCs w:val="20"/>
              </w:rPr>
            </w:pPr>
          </w:p>
        </w:tc>
      </w:tr>
      <w:tr w:rsidR="0074067A" w:rsidRPr="0074067A" w14:paraId="3DB6CE2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719FA37" w14:textId="77777777" w:rsidR="0074067A" w:rsidRPr="0074067A" w:rsidRDefault="0074067A" w:rsidP="0074067A">
            <w:pPr>
              <w:spacing w:after="0" w:line="240" w:lineRule="auto"/>
              <w:rPr>
                <w:rFonts w:ascii="Arial" w:hAnsi="Arial" w:cs="Arial"/>
                <w:sz w:val="20"/>
                <w:szCs w:val="20"/>
              </w:rPr>
            </w:pPr>
            <w:r>
              <w:rPr>
                <w:rFonts w:ascii="Arial" w:hAnsi="Arial"/>
                <w:sz w:val="20"/>
              </w:rPr>
              <w:t>Projektimi konceptual</w:t>
            </w:r>
          </w:p>
        </w:tc>
        <w:tc>
          <w:tcPr>
            <w:tcW w:w="800" w:type="pct"/>
            <w:tcBorders>
              <w:top w:val="single" w:sz="4" w:space="0" w:color="auto"/>
              <w:left w:val="single" w:sz="4" w:space="0" w:color="auto"/>
              <w:bottom w:val="single" w:sz="4" w:space="0" w:color="auto"/>
              <w:right w:val="single" w:sz="4" w:space="0" w:color="auto"/>
            </w:tcBorders>
            <w:vAlign w:val="center"/>
          </w:tcPr>
          <w:p w14:paraId="1AA0F044" w14:textId="77777777" w:rsidR="00716C74" w:rsidRPr="001B662D" w:rsidRDefault="00716C74" w:rsidP="00786DDE">
            <w:pPr>
              <w:pStyle w:val="ListParagraph"/>
              <w:spacing w:line="240" w:lineRule="auto"/>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B2E23D7"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421BF5B" w14:textId="77777777" w:rsidR="0074067A" w:rsidRPr="00786DDE" w:rsidRDefault="0074067A" w:rsidP="003914F0">
            <w:pPr>
              <w:pStyle w:val="ListParagraph"/>
              <w:numPr>
                <w:ilvl w:val="0"/>
                <w:numId w:val="4"/>
              </w:numPr>
              <w:spacing w:line="240" w:lineRule="auto"/>
              <w:jc w:val="center"/>
              <w:rPr>
                <w:rFonts w:cs="Arial"/>
                <w:szCs w:val="20"/>
              </w:rPr>
            </w:pPr>
          </w:p>
        </w:tc>
      </w:tr>
      <w:tr w:rsidR="0074067A" w:rsidRPr="0074067A" w14:paraId="59BE341B"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90F0AE1" w14:textId="2315E55E" w:rsidR="0074067A" w:rsidRPr="0074067A" w:rsidRDefault="0074067A" w:rsidP="0074067A">
            <w:pPr>
              <w:spacing w:after="0" w:line="240" w:lineRule="auto"/>
              <w:rPr>
                <w:rFonts w:ascii="Arial" w:hAnsi="Arial" w:cs="Arial"/>
                <w:sz w:val="20"/>
                <w:szCs w:val="20"/>
              </w:rPr>
            </w:pPr>
            <w:r>
              <w:rPr>
                <w:rFonts w:ascii="Arial" w:hAnsi="Arial"/>
                <w:sz w:val="20"/>
              </w:rPr>
              <w:t xml:space="preserve">Studimi i fizibilitetit + AKP (për LOT 2) </w:t>
            </w:r>
          </w:p>
        </w:tc>
        <w:tc>
          <w:tcPr>
            <w:tcW w:w="800" w:type="pct"/>
            <w:tcBorders>
              <w:top w:val="single" w:sz="4" w:space="0" w:color="auto"/>
              <w:left w:val="single" w:sz="4" w:space="0" w:color="auto"/>
              <w:bottom w:val="single" w:sz="4" w:space="0" w:color="auto"/>
              <w:right w:val="single" w:sz="4" w:space="0" w:color="auto"/>
            </w:tcBorders>
            <w:vAlign w:val="center"/>
          </w:tcPr>
          <w:p w14:paraId="41211E5F" w14:textId="5DC51392" w:rsidR="00716C74" w:rsidRPr="001B662D" w:rsidRDefault="002541C1" w:rsidP="003914F0">
            <w:pPr>
              <w:pStyle w:val="ListParagraph"/>
              <w:numPr>
                <w:ilvl w:val="0"/>
                <w:numId w:val="4"/>
              </w:numPr>
              <w:spacing w:line="240" w:lineRule="auto"/>
              <w:rPr>
                <w:rFonts w:cs="Arial"/>
                <w:szCs w:val="20"/>
              </w:rPr>
            </w:pPr>
            <w:r>
              <w:t>(AKP)</w:t>
            </w:r>
          </w:p>
        </w:tc>
        <w:tc>
          <w:tcPr>
            <w:tcW w:w="712" w:type="pct"/>
            <w:tcBorders>
              <w:top w:val="single" w:sz="4" w:space="0" w:color="auto"/>
              <w:left w:val="single" w:sz="4" w:space="0" w:color="auto"/>
              <w:bottom w:val="single" w:sz="4" w:space="0" w:color="auto"/>
              <w:right w:val="single" w:sz="4" w:space="0" w:color="auto"/>
            </w:tcBorders>
            <w:vAlign w:val="center"/>
          </w:tcPr>
          <w:p w14:paraId="2E970B0A"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38F4104" w14:textId="1F78516A" w:rsidR="0074067A" w:rsidRPr="00786DDE" w:rsidRDefault="002541C1" w:rsidP="003914F0">
            <w:pPr>
              <w:pStyle w:val="ListParagraph"/>
              <w:numPr>
                <w:ilvl w:val="0"/>
                <w:numId w:val="4"/>
              </w:numPr>
              <w:spacing w:line="240" w:lineRule="auto"/>
              <w:jc w:val="center"/>
              <w:rPr>
                <w:rFonts w:cs="Arial"/>
                <w:szCs w:val="20"/>
              </w:rPr>
            </w:pPr>
            <w:r>
              <w:t>(Studim fizibiliteti)</w:t>
            </w:r>
          </w:p>
        </w:tc>
      </w:tr>
      <w:tr w:rsidR="0074067A" w:rsidRPr="0074067A" w14:paraId="59D3E316"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0E1E12C" w14:textId="77777777" w:rsidR="0074067A" w:rsidRPr="0074067A" w:rsidRDefault="0074067A" w:rsidP="0074067A">
            <w:pPr>
              <w:spacing w:after="0" w:line="240" w:lineRule="auto"/>
              <w:rPr>
                <w:rFonts w:ascii="Arial" w:hAnsi="Arial" w:cs="Arial"/>
                <w:sz w:val="20"/>
                <w:szCs w:val="20"/>
              </w:rPr>
            </w:pPr>
            <w:r>
              <w:rPr>
                <w:rFonts w:ascii="Arial" w:hAnsi="Arial"/>
                <w:sz w:val="20"/>
              </w:rPr>
              <w:t>Studimi i VNM (nëse nevojitet)</w:t>
            </w:r>
          </w:p>
        </w:tc>
        <w:tc>
          <w:tcPr>
            <w:tcW w:w="800" w:type="pct"/>
            <w:tcBorders>
              <w:top w:val="single" w:sz="4" w:space="0" w:color="auto"/>
              <w:left w:val="single" w:sz="4" w:space="0" w:color="auto"/>
              <w:bottom w:val="single" w:sz="4" w:space="0" w:color="auto"/>
              <w:right w:val="single" w:sz="4" w:space="0" w:color="auto"/>
            </w:tcBorders>
            <w:vAlign w:val="center"/>
          </w:tcPr>
          <w:p w14:paraId="24884E5F" w14:textId="77777777" w:rsidR="00716C74" w:rsidRPr="001B662D" w:rsidRDefault="00716C74" w:rsidP="00786DDE">
            <w:pPr>
              <w:pStyle w:val="ListParagraph"/>
              <w:spacing w:line="240" w:lineRule="auto"/>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1C334FE1"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78C3B82" w14:textId="77777777" w:rsidR="0074067A" w:rsidRPr="00786DDE" w:rsidRDefault="0074067A" w:rsidP="003914F0">
            <w:pPr>
              <w:pStyle w:val="ListParagraph"/>
              <w:numPr>
                <w:ilvl w:val="0"/>
                <w:numId w:val="4"/>
              </w:numPr>
              <w:spacing w:line="240" w:lineRule="auto"/>
              <w:jc w:val="center"/>
              <w:rPr>
                <w:rFonts w:cs="Arial"/>
                <w:szCs w:val="20"/>
              </w:rPr>
            </w:pPr>
          </w:p>
        </w:tc>
      </w:tr>
      <w:tr w:rsidR="00716C74" w:rsidRPr="0074067A" w14:paraId="3AF3FF61"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0BB9C62" w14:textId="77777777" w:rsidR="00716C74" w:rsidRPr="0074067A" w:rsidRDefault="00716C74" w:rsidP="00716C74">
            <w:pPr>
              <w:spacing w:after="0" w:line="240" w:lineRule="auto"/>
              <w:rPr>
                <w:rFonts w:ascii="Arial" w:hAnsi="Arial" w:cs="Arial"/>
                <w:sz w:val="20"/>
                <w:szCs w:val="20"/>
              </w:rPr>
            </w:pPr>
            <w:r>
              <w:rPr>
                <w:rFonts w:ascii="Arial" w:hAnsi="Arial"/>
                <w:sz w:val="20"/>
              </w:rPr>
              <w:t>Dokumentet e vlefshme të planifikimit hapësinor</w:t>
            </w:r>
          </w:p>
        </w:tc>
        <w:tc>
          <w:tcPr>
            <w:tcW w:w="800" w:type="pct"/>
            <w:tcBorders>
              <w:top w:val="single" w:sz="4" w:space="0" w:color="auto"/>
              <w:left w:val="single" w:sz="4" w:space="0" w:color="auto"/>
              <w:bottom w:val="single" w:sz="4" w:space="0" w:color="auto"/>
              <w:right w:val="single" w:sz="4" w:space="0" w:color="auto"/>
            </w:tcBorders>
            <w:vAlign w:val="center"/>
          </w:tcPr>
          <w:p w14:paraId="286B29D4" w14:textId="77777777" w:rsidR="00716C74" w:rsidRPr="001B662D" w:rsidRDefault="00716C74" w:rsidP="00786DDE">
            <w:pPr>
              <w:pStyle w:val="ListParagraph"/>
              <w:spacing w:line="240" w:lineRule="auto"/>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23075C5"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822D28C" w14:textId="77777777" w:rsidR="00716C74" w:rsidRPr="00786DDE" w:rsidRDefault="00716C74" w:rsidP="003914F0">
            <w:pPr>
              <w:pStyle w:val="ListParagraph"/>
              <w:numPr>
                <w:ilvl w:val="0"/>
                <w:numId w:val="4"/>
              </w:numPr>
              <w:spacing w:line="240" w:lineRule="auto"/>
              <w:jc w:val="center"/>
              <w:rPr>
                <w:rFonts w:cs="Arial"/>
                <w:szCs w:val="20"/>
              </w:rPr>
            </w:pPr>
          </w:p>
        </w:tc>
      </w:tr>
      <w:tr w:rsidR="00716C74" w:rsidRPr="0074067A" w14:paraId="519895D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D9900C2" w14:textId="77777777" w:rsidR="00716C74" w:rsidRPr="0074067A" w:rsidRDefault="00716C74" w:rsidP="00716C74">
            <w:pPr>
              <w:spacing w:after="0" w:line="240" w:lineRule="auto"/>
              <w:rPr>
                <w:rFonts w:ascii="Arial" w:hAnsi="Arial" w:cs="Arial"/>
                <w:sz w:val="20"/>
                <w:szCs w:val="20"/>
              </w:rPr>
            </w:pPr>
            <w:r>
              <w:rPr>
                <w:rFonts w:ascii="Arial" w:hAnsi="Arial"/>
                <w:sz w:val="20"/>
              </w:rPr>
              <w:t>Prona tokë e zgjidhur</w:t>
            </w:r>
          </w:p>
        </w:tc>
        <w:tc>
          <w:tcPr>
            <w:tcW w:w="800" w:type="pct"/>
            <w:tcBorders>
              <w:top w:val="single" w:sz="4" w:space="0" w:color="auto"/>
              <w:left w:val="single" w:sz="4" w:space="0" w:color="auto"/>
              <w:bottom w:val="single" w:sz="4" w:space="0" w:color="auto"/>
              <w:right w:val="single" w:sz="4" w:space="0" w:color="auto"/>
            </w:tcBorders>
            <w:vAlign w:val="center"/>
          </w:tcPr>
          <w:p w14:paraId="31BEE81F" w14:textId="77777777" w:rsidR="00716C74" w:rsidRPr="00232821" w:rsidRDefault="00716C74" w:rsidP="00232821">
            <w:pPr>
              <w:spacing w:line="240" w:lineRule="auto"/>
              <w:ind w:left="360"/>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3DBB858" w14:textId="77777777" w:rsidR="00716C74" w:rsidRPr="00232821" w:rsidRDefault="00716C74" w:rsidP="00EF59B6">
            <w:pPr>
              <w:pStyle w:val="ListParagraph"/>
              <w:spacing w:line="240" w:lineRule="auto"/>
              <w:rPr>
                <w:rFonts w:cs="Arial"/>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1F3BBB99" w14:textId="77777777" w:rsidR="00716C74" w:rsidRPr="00EF59B6" w:rsidRDefault="00716C74" w:rsidP="003914F0">
            <w:pPr>
              <w:pStyle w:val="ListParagraph"/>
              <w:numPr>
                <w:ilvl w:val="0"/>
                <w:numId w:val="4"/>
              </w:numPr>
              <w:spacing w:line="240" w:lineRule="auto"/>
              <w:jc w:val="center"/>
              <w:rPr>
                <w:rFonts w:cs="Arial"/>
                <w:szCs w:val="20"/>
              </w:rPr>
            </w:pPr>
          </w:p>
        </w:tc>
      </w:tr>
      <w:tr w:rsidR="00716C74" w:rsidRPr="0074067A" w14:paraId="715B568E"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5B8B729" w14:textId="77777777" w:rsidR="00716C74" w:rsidRPr="0074067A" w:rsidRDefault="00716C74" w:rsidP="00716C74">
            <w:pPr>
              <w:spacing w:after="0" w:line="240" w:lineRule="auto"/>
              <w:rPr>
                <w:rFonts w:ascii="Arial" w:hAnsi="Arial" w:cs="Arial"/>
                <w:sz w:val="20"/>
                <w:szCs w:val="20"/>
              </w:rPr>
            </w:pPr>
            <w:r>
              <w:rPr>
                <w:rFonts w:ascii="Arial" w:hAnsi="Arial"/>
                <w:sz w:val="20"/>
              </w:rPr>
              <w:t>Projektimi paraprak</w:t>
            </w:r>
          </w:p>
        </w:tc>
        <w:tc>
          <w:tcPr>
            <w:tcW w:w="800" w:type="pct"/>
            <w:tcBorders>
              <w:top w:val="single" w:sz="4" w:space="0" w:color="auto"/>
              <w:left w:val="single" w:sz="4" w:space="0" w:color="auto"/>
              <w:bottom w:val="single" w:sz="4" w:space="0" w:color="auto"/>
              <w:right w:val="single" w:sz="4" w:space="0" w:color="auto"/>
            </w:tcBorders>
            <w:vAlign w:val="center"/>
          </w:tcPr>
          <w:p w14:paraId="7A57953B"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D04E382"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F98BB6F" w14:textId="77777777" w:rsidR="00716C74" w:rsidRPr="001B662D" w:rsidRDefault="00716C74" w:rsidP="003914F0">
            <w:pPr>
              <w:pStyle w:val="ListParagraph"/>
              <w:numPr>
                <w:ilvl w:val="0"/>
                <w:numId w:val="4"/>
              </w:numPr>
              <w:spacing w:line="240" w:lineRule="auto"/>
              <w:jc w:val="center"/>
              <w:rPr>
                <w:rFonts w:cs="Arial"/>
                <w:szCs w:val="20"/>
              </w:rPr>
            </w:pPr>
          </w:p>
        </w:tc>
      </w:tr>
      <w:tr w:rsidR="00716C74" w:rsidRPr="0074067A" w14:paraId="2FAF73D2"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8147F7E" w14:textId="77777777" w:rsidR="00716C74" w:rsidRPr="0074067A" w:rsidRDefault="00716C74" w:rsidP="00716C74">
            <w:pPr>
              <w:spacing w:after="0" w:line="240" w:lineRule="auto"/>
              <w:rPr>
                <w:rFonts w:ascii="Arial" w:hAnsi="Arial" w:cs="Arial"/>
                <w:sz w:val="20"/>
                <w:szCs w:val="20"/>
              </w:rPr>
            </w:pPr>
            <w:r>
              <w:rPr>
                <w:rFonts w:ascii="Arial" w:hAnsi="Arial"/>
                <w:sz w:val="20"/>
              </w:rPr>
              <w:t>Projektimi kryesor/projektimi i detajuar</w:t>
            </w:r>
          </w:p>
        </w:tc>
        <w:tc>
          <w:tcPr>
            <w:tcW w:w="800" w:type="pct"/>
            <w:tcBorders>
              <w:top w:val="single" w:sz="4" w:space="0" w:color="auto"/>
              <w:left w:val="single" w:sz="4" w:space="0" w:color="auto"/>
              <w:bottom w:val="single" w:sz="4" w:space="0" w:color="auto"/>
              <w:right w:val="single" w:sz="4" w:space="0" w:color="auto"/>
            </w:tcBorders>
            <w:vAlign w:val="center"/>
          </w:tcPr>
          <w:p w14:paraId="256BF2FF"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955DB88"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DD3C168" w14:textId="77777777" w:rsidR="00716C74" w:rsidRPr="001B662D" w:rsidRDefault="00716C74" w:rsidP="003914F0">
            <w:pPr>
              <w:pStyle w:val="ListParagraph"/>
              <w:numPr>
                <w:ilvl w:val="0"/>
                <w:numId w:val="4"/>
              </w:numPr>
              <w:spacing w:line="240" w:lineRule="auto"/>
              <w:jc w:val="center"/>
              <w:rPr>
                <w:rFonts w:cs="Arial"/>
                <w:szCs w:val="20"/>
              </w:rPr>
            </w:pPr>
          </w:p>
        </w:tc>
      </w:tr>
      <w:tr w:rsidR="00716C74" w:rsidRPr="0074067A" w14:paraId="218C39F5"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8FB0C3D" w14:textId="77777777" w:rsidR="00716C74" w:rsidRPr="0074067A" w:rsidRDefault="00716C74" w:rsidP="00716C74">
            <w:pPr>
              <w:spacing w:after="0" w:line="240" w:lineRule="auto"/>
              <w:rPr>
                <w:rFonts w:ascii="Arial" w:hAnsi="Arial" w:cs="Arial"/>
                <w:sz w:val="20"/>
                <w:szCs w:val="20"/>
              </w:rPr>
            </w:pPr>
            <w:r>
              <w:rPr>
                <w:rFonts w:ascii="Arial" w:hAnsi="Arial"/>
                <w:sz w:val="20"/>
              </w:rPr>
              <w:t>Dokumentacioni i tenderit</w:t>
            </w:r>
          </w:p>
        </w:tc>
        <w:tc>
          <w:tcPr>
            <w:tcW w:w="800" w:type="pct"/>
            <w:tcBorders>
              <w:top w:val="single" w:sz="4" w:space="0" w:color="auto"/>
              <w:left w:val="single" w:sz="4" w:space="0" w:color="auto"/>
              <w:bottom w:val="single" w:sz="4" w:space="0" w:color="auto"/>
              <w:right w:val="single" w:sz="4" w:space="0" w:color="auto"/>
            </w:tcBorders>
            <w:vAlign w:val="center"/>
          </w:tcPr>
          <w:p w14:paraId="52116EE7"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1D87FBE"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9A95E1C" w14:textId="77777777" w:rsidR="00716C74" w:rsidRPr="001B662D" w:rsidRDefault="00716C74" w:rsidP="003914F0">
            <w:pPr>
              <w:pStyle w:val="ListParagraph"/>
              <w:numPr>
                <w:ilvl w:val="0"/>
                <w:numId w:val="4"/>
              </w:numPr>
              <w:spacing w:line="240" w:lineRule="auto"/>
              <w:jc w:val="center"/>
              <w:rPr>
                <w:rFonts w:cs="Arial"/>
                <w:szCs w:val="20"/>
              </w:rPr>
            </w:pPr>
          </w:p>
        </w:tc>
      </w:tr>
      <w:tr w:rsidR="00716C74" w:rsidRPr="0074067A" w14:paraId="0F247026"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B98380F" w14:textId="77777777" w:rsidR="00716C74" w:rsidRPr="0074067A" w:rsidRDefault="00716C74" w:rsidP="00716C74">
            <w:pPr>
              <w:spacing w:after="0" w:line="240" w:lineRule="auto"/>
              <w:rPr>
                <w:rFonts w:ascii="Arial" w:hAnsi="Arial" w:cs="Arial"/>
                <w:sz w:val="20"/>
                <w:szCs w:val="20"/>
              </w:rPr>
            </w:pPr>
            <w:r>
              <w:rPr>
                <w:rFonts w:ascii="Arial" w:hAnsi="Arial"/>
                <w:sz w:val="20"/>
              </w:rPr>
              <w:t>Lejet e ndërtimit dhe të tjera</w:t>
            </w:r>
          </w:p>
        </w:tc>
        <w:tc>
          <w:tcPr>
            <w:tcW w:w="800" w:type="pct"/>
            <w:tcBorders>
              <w:top w:val="single" w:sz="4" w:space="0" w:color="auto"/>
              <w:left w:val="single" w:sz="4" w:space="0" w:color="auto"/>
              <w:bottom w:val="single" w:sz="4" w:space="0" w:color="auto"/>
              <w:right w:val="single" w:sz="4" w:space="0" w:color="auto"/>
            </w:tcBorders>
            <w:vAlign w:val="center"/>
          </w:tcPr>
          <w:p w14:paraId="39AB58F0"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D7FBF95"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8E5B383" w14:textId="77777777" w:rsidR="00716C74" w:rsidRPr="001B662D" w:rsidRDefault="00716C74" w:rsidP="003914F0">
            <w:pPr>
              <w:pStyle w:val="ListParagraph"/>
              <w:numPr>
                <w:ilvl w:val="0"/>
                <w:numId w:val="4"/>
              </w:numPr>
              <w:spacing w:line="240" w:lineRule="auto"/>
              <w:jc w:val="center"/>
              <w:rPr>
                <w:rFonts w:cs="Arial"/>
                <w:szCs w:val="20"/>
              </w:rPr>
            </w:pPr>
          </w:p>
        </w:tc>
      </w:tr>
      <w:tr w:rsidR="00716C74" w:rsidRPr="0074067A" w14:paraId="453DB7AB"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3EF2731" w14:textId="77777777" w:rsidR="00716C74" w:rsidRPr="0074067A" w:rsidRDefault="00716C74" w:rsidP="00716C74">
            <w:pPr>
              <w:spacing w:after="0" w:line="240" w:lineRule="auto"/>
              <w:rPr>
                <w:rFonts w:ascii="Arial" w:hAnsi="Arial" w:cs="Arial"/>
                <w:sz w:val="20"/>
                <w:szCs w:val="20"/>
              </w:rPr>
            </w:pPr>
            <w:r>
              <w:rPr>
                <w:rFonts w:ascii="Arial" w:hAnsi="Arial"/>
                <w:sz w:val="20"/>
              </w:rPr>
              <w:t>Kontrata e ndërtimit është nënshkruar</w:t>
            </w:r>
          </w:p>
        </w:tc>
        <w:tc>
          <w:tcPr>
            <w:tcW w:w="800" w:type="pct"/>
            <w:tcBorders>
              <w:top w:val="single" w:sz="4" w:space="0" w:color="auto"/>
              <w:left w:val="single" w:sz="4" w:space="0" w:color="auto"/>
              <w:bottom w:val="single" w:sz="4" w:space="0" w:color="auto"/>
              <w:right w:val="single" w:sz="4" w:space="0" w:color="auto"/>
            </w:tcBorders>
            <w:vAlign w:val="center"/>
          </w:tcPr>
          <w:p w14:paraId="08BF3DEC"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BB74646"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10FC678" w14:textId="77777777" w:rsidR="00716C74" w:rsidRPr="001B662D" w:rsidRDefault="00716C74" w:rsidP="003914F0">
            <w:pPr>
              <w:pStyle w:val="ListParagraph"/>
              <w:numPr>
                <w:ilvl w:val="0"/>
                <w:numId w:val="4"/>
              </w:numPr>
              <w:spacing w:line="240" w:lineRule="auto"/>
              <w:jc w:val="center"/>
              <w:rPr>
                <w:rFonts w:cs="Arial"/>
                <w:szCs w:val="20"/>
              </w:rPr>
            </w:pPr>
          </w:p>
        </w:tc>
      </w:tr>
    </w:tbl>
    <w:p w14:paraId="6BBBFF4C" w14:textId="1A0D06EA" w:rsidR="0074067A" w:rsidRDefault="0074067A" w:rsidP="001C2CAF">
      <w:pPr>
        <w:spacing w:after="120"/>
        <w:rPr>
          <w:rFonts w:cs="Arial"/>
          <w:b/>
        </w:rPr>
      </w:pPr>
    </w:p>
    <w:p w14:paraId="263E0132" w14:textId="77777777" w:rsidR="001C2CAF" w:rsidRDefault="001C2CAF" w:rsidP="003914F0">
      <w:pPr>
        <w:pStyle w:val="ListParagraph"/>
        <w:numPr>
          <w:ilvl w:val="0"/>
          <w:numId w:val="2"/>
        </w:numPr>
        <w:spacing w:after="120"/>
        <w:rPr>
          <w:rFonts w:cs="Arial"/>
          <w:b/>
        </w:rPr>
      </w:pPr>
      <w:r>
        <w:rPr>
          <w:b/>
        </w:rPr>
        <w:t>PËRCAKTIMI I BURIMIT TË FINANCIMIT</w:t>
      </w:r>
    </w:p>
    <w:tbl>
      <w:tblPr>
        <w:tblW w:w="5083"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9"/>
        <w:gridCol w:w="674"/>
        <w:gridCol w:w="4155"/>
        <w:gridCol w:w="722"/>
      </w:tblGrid>
      <w:tr w:rsidR="001C2CAF" w:rsidRPr="001C2CAF" w14:paraId="0D364988" w14:textId="77777777" w:rsidTr="00BC03C8">
        <w:trPr>
          <w:trHeight w:val="417"/>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094EF" w14:textId="77777777" w:rsidR="001C2CAF" w:rsidRPr="001C2CAF" w:rsidRDefault="001C2CAF" w:rsidP="001C2CAF">
            <w:pPr>
              <w:spacing w:after="0" w:line="240" w:lineRule="auto"/>
              <w:rPr>
                <w:rFonts w:ascii="Arial" w:hAnsi="Arial" w:cs="Arial"/>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E7062" w14:textId="77777777" w:rsidR="001C2CAF" w:rsidRPr="001C2CAF" w:rsidRDefault="001C2CAF" w:rsidP="001C2CAF">
            <w:pPr>
              <w:spacing w:after="0" w:line="240" w:lineRule="auto"/>
              <w:jc w:val="center"/>
              <w:rPr>
                <w:rFonts w:ascii="Arial" w:hAnsi="Arial" w:cs="Arial"/>
                <w:sz w:val="20"/>
                <w:szCs w:val="20"/>
              </w:rPr>
            </w:pPr>
            <w:r>
              <w:rPr>
                <w:rFonts w:ascii="Arial" w:hAnsi="Arial"/>
                <w:sz w:val="20"/>
              </w:rPr>
              <w:t>Po</w:t>
            </w:r>
          </w:p>
        </w:tc>
        <w:tc>
          <w:tcPr>
            <w:tcW w:w="20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A5E74" w14:textId="77777777" w:rsidR="001C2CAF" w:rsidRPr="001C2CAF" w:rsidRDefault="001C2CAF" w:rsidP="001C2CAF">
            <w:pPr>
              <w:spacing w:after="0" w:line="240" w:lineRule="auto"/>
              <w:jc w:val="center"/>
              <w:rPr>
                <w:rFonts w:ascii="Arial" w:hAnsi="Arial" w:cs="Arial"/>
                <w:sz w:val="20"/>
                <w:szCs w:val="20"/>
              </w:rPr>
            </w:pPr>
            <w:r>
              <w:rPr>
                <w:rFonts w:ascii="Arial" w:hAnsi="Arial"/>
                <w:sz w:val="20"/>
              </w:rPr>
              <w:t>Arsyetimi</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675EA" w14:textId="77777777" w:rsidR="001C2CAF" w:rsidRPr="001C2CAF" w:rsidRDefault="001C2CAF" w:rsidP="001C2CAF">
            <w:pPr>
              <w:spacing w:after="0" w:line="240" w:lineRule="auto"/>
              <w:jc w:val="center"/>
              <w:rPr>
                <w:rFonts w:ascii="Arial" w:hAnsi="Arial" w:cs="Arial"/>
                <w:sz w:val="20"/>
                <w:szCs w:val="20"/>
              </w:rPr>
            </w:pPr>
            <w:r>
              <w:rPr>
                <w:rFonts w:ascii="Arial" w:hAnsi="Arial"/>
                <w:sz w:val="20"/>
              </w:rPr>
              <w:t>Jo</w:t>
            </w:r>
          </w:p>
        </w:tc>
      </w:tr>
      <w:tr w:rsidR="001C2CAF" w:rsidRPr="001C2CAF" w14:paraId="5DC1DFA3" w14:textId="77777777" w:rsidTr="00BC03C8">
        <w:trPr>
          <w:trHeight w:val="267"/>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vAlign w:val="center"/>
          </w:tcPr>
          <w:p w14:paraId="76AFB0BB" w14:textId="06B44060" w:rsidR="001C2CAF" w:rsidRPr="001C2CAF" w:rsidRDefault="001C2CAF" w:rsidP="004C02A3">
            <w:pPr>
              <w:spacing w:after="0" w:line="240" w:lineRule="auto"/>
              <w:rPr>
                <w:rFonts w:ascii="Arial" w:hAnsi="Arial" w:cs="Arial"/>
                <w:sz w:val="20"/>
                <w:szCs w:val="20"/>
              </w:rPr>
            </w:pPr>
            <w:r>
              <w:rPr>
                <w:rFonts w:ascii="Arial" w:hAnsi="Arial"/>
                <w:sz w:val="20"/>
              </w:rPr>
              <w:t xml:space="preserve">A e përmirëson projekti </w:t>
            </w:r>
            <w:r w:rsidR="004C02A3">
              <w:rPr>
                <w:rFonts w:ascii="Arial" w:hAnsi="Arial"/>
                <w:sz w:val="20"/>
              </w:rPr>
              <w:t>ndërlidhshmërinë</w:t>
            </w:r>
            <w:r>
              <w:rPr>
                <w:rFonts w:ascii="Arial" w:hAnsi="Arial"/>
                <w:sz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4D1BFD54" w14:textId="77777777" w:rsidR="001C2CAF" w:rsidRPr="00BC03C8" w:rsidRDefault="001C2CAF" w:rsidP="003914F0">
            <w:pPr>
              <w:pStyle w:val="ListParagraph"/>
              <w:numPr>
                <w:ilvl w:val="0"/>
                <w:numId w:val="6"/>
              </w:numPr>
              <w:spacing w:line="240" w:lineRule="auto"/>
              <w:rPr>
                <w:rFonts w:cs="Arial"/>
                <w:szCs w:val="20"/>
              </w:rPr>
            </w:pPr>
          </w:p>
        </w:tc>
        <w:tc>
          <w:tcPr>
            <w:tcW w:w="2065" w:type="pct"/>
            <w:tcBorders>
              <w:top w:val="single" w:sz="4" w:space="0" w:color="auto"/>
              <w:left w:val="single" w:sz="4" w:space="0" w:color="auto"/>
              <w:bottom w:val="single" w:sz="4" w:space="0" w:color="auto"/>
              <w:right w:val="single" w:sz="4" w:space="0" w:color="auto"/>
            </w:tcBorders>
            <w:vAlign w:val="center"/>
          </w:tcPr>
          <w:p w14:paraId="45D2620C" w14:textId="77777777" w:rsidR="001C2CAF" w:rsidRPr="001C2CAF" w:rsidRDefault="00E222D8" w:rsidP="001C2CAF">
            <w:pPr>
              <w:spacing w:after="0" w:line="240" w:lineRule="auto"/>
              <w:rPr>
                <w:rFonts w:ascii="Arial" w:hAnsi="Arial" w:cs="Arial"/>
                <w:sz w:val="20"/>
                <w:szCs w:val="20"/>
              </w:rPr>
            </w:pPr>
            <w:r>
              <w:rPr>
                <w:rFonts w:ascii="Arial" w:hAnsi="Arial"/>
                <w:sz w:val="20"/>
              </w:rPr>
              <w:t>Projekti do të forcojë integrimin dhe lidhjen rajonale.</w:t>
            </w:r>
          </w:p>
        </w:tc>
        <w:tc>
          <w:tcPr>
            <w:tcW w:w="360" w:type="pct"/>
            <w:tcBorders>
              <w:top w:val="single" w:sz="4" w:space="0" w:color="auto"/>
              <w:left w:val="single" w:sz="4" w:space="0" w:color="auto"/>
              <w:bottom w:val="single" w:sz="4" w:space="0" w:color="auto"/>
              <w:right w:val="single" w:sz="4" w:space="0" w:color="auto"/>
            </w:tcBorders>
            <w:vAlign w:val="center"/>
          </w:tcPr>
          <w:p w14:paraId="33083ABB" w14:textId="77777777" w:rsidR="001C2CAF" w:rsidRPr="001C2CAF" w:rsidRDefault="001C2CAF" w:rsidP="001C2CAF">
            <w:pPr>
              <w:spacing w:after="0" w:line="240" w:lineRule="auto"/>
              <w:rPr>
                <w:rFonts w:ascii="Arial" w:hAnsi="Arial" w:cs="Arial"/>
                <w:sz w:val="20"/>
                <w:szCs w:val="20"/>
              </w:rPr>
            </w:pPr>
          </w:p>
        </w:tc>
      </w:tr>
      <w:tr w:rsidR="001C2CAF" w:rsidRPr="001C2CAF" w14:paraId="2FA55BD8" w14:textId="77777777" w:rsidTr="00BC03C8">
        <w:trPr>
          <w:trHeight w:val="417"/>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vAlign w:val="center"/>
          </w:tcPr>
          <w:p w14:paraId="71AD69E5" w14:textId="77777777" w:rsidR="001C2CAF" w:rsidRPr="001C2CAF" w:rsidRDefault="001C2CAF" w:rsidP="001C2CAF">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35" w:type="pct"/>
            <w:tcBorders>
              <w:top w:val="single" w:sz="4" w:space="0" w:color="auto"/>
              <w:left w:val="single" w:sz="4" w:space="0" w:color="auto"/>
              <w:bottom w:val="single" w:sz="4" w:space="0" w:color="auto"/>
              <w:right w:val="single" w:sz="4" w:space="0" w:color="auto"/>
            </w:tcBorders>
            <w:vAlign w:val="center"/>
          </w:tcPr>
          <w:p w14:paraId="24C475CC" w14:textId="77777777" w:rsidR="001C2CAF" w:rsidRPr="001C2CAF" w:rsidRDefault="001C2CAF" w:rsidP="003914F0">
            <w:pPr>
              <w:pStyle w:val="ListParagraph"/>
              <w:numPr>
                <w:ilvl w:val="0"/>
                <w:numId w:val="4"/>
              </w:numPr>
              <w:spacing w:line="240" w:lineRule="auto"/>
              <w:rPr>
                <w:rFonts w:cs="Arial"/>
                <w:szCs w:val="20"/>
              </w:rPr>
            </w:pPr>
          </w:p>
        </w:tc>
        <w:tc>
          <w:tcPr>
            <w:tcW w:w="2065" w:type="pct"/>
            <w:tcBorders>
              <w:top w:val="single" w:sz="4" w:space="0" w:color="auto"/>
              <w:left w:val="single" w:sz="4" w:space="0" w:color="auto"/>
              <w:bottom w:val="single" w:sz="4" w:space="0" w:color="auto"/>
              <w:right w:val="single" w:sz="4" w:space="0" w:color="auto"/>
            </w:tcBorders>
            <w:vAlign w:val="center"/>
          </w:tcPr>
          <w:p w14:paraId="1FE7D37A" w14:textId="36DF6E42" w:rsidR="001C2CAF" w:rsidRPr="001C2CAF" w:rsidRDefault="00192196" w:rsidP="001C2CAF">
            <w:pPr>
              <w:spacing w:after="0" w:line="240" w:lineRule="auto"/>
              <w:rPr>
                <w:rFonts w:ascii="Arial" w:hAnsi="Arial" w:cs="Arial"/>
                <w:sz w:val="20"/>
                <w:szCs w:val="20"/>
              </w:rPr>
            </w:pPr>
            <w:r>
              <w:rPr>
                <w:rFonts w:ascii="Arial" w:hAnsi="Arial"/>
                <w:sz w:val="20"/>
              </w:rPr>
              <w:t>Po, projekti do të ketë një ndikim ndërkufitar (Kosovë dhe Shqipëri). Projekti përfshin ndërtimin e linjës së re 400kV të interkonjeksionit (AL) – Kosovë (KS), dhe linjës 110 kV NS Deçan (KS) deri në NS Bajram Curr (AL) që do të rrisë kapacitetet e interkonjeksionit ndërmjet KOSTT-it dhe OST-së.</w:t>
            </w:r>
          </w:p>
        </w:tc>
        <w:tc>
          <w:tcPr>
            <w:tcW w:w="360" w:type="pct"/>
            <w:tcBorders>
              <w:top w:val="single" w:sz="4" w:space="0" w:color="auto"/>
              <w:left w:val="single" w:sz="4" w:space="0" w:color="auto"/>
              <w:bottom w:val="single" w:sz="4" w:space="0" w:color="auto"/>
              <w:right w:val="single" w:sz="4" w:space="0" w:color="auto"/>
            </w:tcBorders>
            <w:vAlign w:val="center"/>
          </w:tcPr>
          <w:p w14:paraId="1BA8A3EC" w14:textId="77777777" w:rsidR="001C2CAF" w:rsidRPr="001C2CAF" w:rsidRDefault="001C2CAF" w:rsidP="001C2CAF">
            <w:pPr>
              <w:spacing w:after="0" w:line="240" w:lineRule="auto"/>
              <w:rPr>
                <w:rFonts w:ascii="Arial" w:hAnsi="Arial" w:cs="Arial"/>
                <w:sz w:val="20"/>
                <w:szCs w:val="20"/>
              </w:rPr>
            </w:pPr>
          </w:p>
        </w:tc>
      </w:tr>
      <w:tr w:rsidR="001C2CAF" w:rsidRPr="001C2CAF" w14:paraId="2C0A5A60" w14:textId="77777777" w:rsidTr="00BC03C8">
        <w:trPr>
          <w:trHeight w:val="417"/>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vAlign w:val="center"/>
          </w:tcPr>
          <w:p w14:paraId="75C12F67" w14:textId="77777777" w:rsidR="001C2CAF" w:rsidRPr="001C2CAF" w:rsidRDefault="001C2CAF" w:rsidP="001C2CAF">
            <w:pPr>
              <w:spacing w:after="0" w:line="240" w:lineRule="auto"/>
              <w:rPr>
                <w:rFonts w:ascii="Arial" w:hAnsi="Arial" w:cs="Arial"/>
                <w:sz w:val="20"/>
                <w:szCs w:val="20"/>
              </w:rPr>
            </w:pPr>
            <w:r>
              <w:rPr>
                <w:rFonts w:ascii="Arial" w:hAnsi="Arial"/>
                <w:sz w:val="20"/>
              </w:rPr>
              <w:t>A mundet projekti në ndonjë mënyrë tjetër të caktohet si projekt rajonal?</w:t>
            </w:r>
          </w:p>
        </w:tc>
        <w:tc>
          <w:tcPr>
            <w:tcW w:w="335" w:type="pct"/>
            <w:tcBorders>
              <w:top w:val="single" w:sz="4" w:space="0" w:color="auto"/>
              <w:left w:val="single" w:sz="4" w:space="0" w:color="auto"/>
              <w:bottom w:val="single" w:sz="4" w:space="0" w:color="auto"/>
              <w:right w:val="single" w:sz="4" w:space="0" w:color="auto"/>
            </w:tcBorders>
            <w:vAlign w:val="center"/>
          </w:tcPr>
          <w:p w14:paraId="0F447CA1" w14:textId="77777777" w:rsidR="001C2CAF" w:rsidRPr="001C2CAF" w:rsidRDefault="001C2CAF" w:rsidP="001C2CAF">
            <w:pPr>
              <w:spacing w:after="0" w:line="240" w:lineRule="auto"/>
              <w:rPr>
                <w:rFonts w:ascii="Arial" w:hAnsi="Arial" w:cs="Arial"/>
                <w:sz w:val="20"/>
                <w:szCs w:val="20"/>
              </w:rPr>
            </w:pPr>
          </w:p>
        </w:tc>
        <w:tc>
          <w:tcPr>
            <w:tcW w:w="2065" w:type="pct"/>
            <w:tcBorders>
              <w:top w:val="single" w:sz="4" w:space="0" w:color="auto"/>
              <w:left w:val="single" w:sz="4" w:space="0" w:color="auto"/>
              <w:bottom w:val="single" w:sz="4" w:space="0" w:color="auto"/>
              <w:right w:val="single" w:sz="4" w:space="0" w:color="auto"/>
            </w:tcBorders>
            <w:vAlign w:val="center"/>
          </w:tcPr>
          <w:p w14:paraId="516DE9DB" w14:textId="7AE59EED" w:rsidR="001C2CAF" w:rsidRPr="001C2CAF" w:rsidRDefault="00D83A02" w:rsidP="001C2CAF">
            <w:pPr>
              <w:spacing w:after="0" w:line="240" w:lineRule="auto"/>
              <w:rPr>
                <w:rFonts w:ascii="Arial" w:hAnsi="Arial" w:cs="Arial"/>
                <w:sz w:val="20"/>
                <w:szCs w:val="20"/>
              </w:rPr>
            </w:pPr>
            <w:r>
              <w:rPr>
                <w:rFonts w:ascii="Arial" w:hAnsi="Arial"/>
                <w:sz w:val="20"/>
              </w:rPr>
              <w:t>Nd</w:t>
            </w:r>
            <w:r w:rsidR="004C02A3">
              <w:rPr>
                <w:rFonts w:ascii="Arial" w:hAnsi="Arial"/>
                <w:sz w:val="20"/>
              </w:rPr>
              <w:t>ërtimi i linjës 400 kV është</w:t>
            </w:r>
            <w:r>
              <w:rPr>
                <w:rFonts w:ascii="Arial" w:hAnsi="Arial"/>
                <w:sz w:val="20"/>
              </w:rPr>
              <w:t xml:space="preserve"> projekt rajonal</w:t>
            </w:r>
          </w:p>
        </w:tc>
        <w:tc>
          <w:tcPr>
            <w:tcW w:w="360" w:type="pct"/>
            <w:tcBorders>
              <w:top w:val="single" w:sz="4" w:space="0" w:color="auto"/>
              <w:left w:val="single" w:sz="4" w:space="0" w:color="auto"/>
              <w:bottom w:val="single" w:sz="4" w:space="0" w:color="auto"/>
              <w:right w:val="single" w:sz="4" w:space="0" w:color="auto"/>
            </w:tcBorders>
            <w:vAlign w:val="center"/>
          </w:tcPr>
          <w:p w14:paraId="00B14756" w14:textId="77777777" w:rsidR="001C2CAF" w:rsidRPr="00BC03C8" w:rsidRDefault="001C2CAF" w:rsidP="003914F0">
            <w:pPr>
              <w:pStyle w:val="ListParagraph"/>
              <w:numPr>
                <w:ilvl w:val="0"/>
                <w:numId w:val="4"/>
              </w:numPr>
              <w:spacing w:line="240" w:lineRule="auto"/>
              <w:rPr>
                <w:rFonts w:cs="Arial"/>
                <w:szCs w:val="20"/>
              </w:rPr>
            </w:pPr>
          </w:p>
        </w:tc>
      </w:tr>
    </w:tbl>
    <w:p w14:paraId="2439EE31" w14:textId="77777777" w:rsidR="001C2CAF" w:rsidRPr="001C2CAF" w:rsidRDefault="001C2CAF" w:rsidP="001C2CAF">
      <w:pPr>
        <w:rPr>
          <w:rFonts w:cs="Arial"/>
          <w:b/>
        </w:rPr>
      </w:pPr>
    </w:p>
    <w:p w14:paraId="5D73A08F" w14:textId="3D909FB8" w:rsidR="001C2CAF" w:rsidRPr="001C2CAF" w:rsidRDefault="001C2CAF" w:rsidP="003914F0">
      <w:pPr>
        <w:pStyle w:val="ListParagraph"/>
        <w:numPr>
          <w:ilvl w:val="0"/>
          <w:numId w:val="2"/>
        </w:numPr>
        <w:spacing w:after="120"/>
        <w:rPr>
          <w:rFonts w:cs="Arial"/>
          <w:b/>
        </w:rPr>
      </w:pPr>
      <w:r>
        <w:rPr>
          <w:b/>
        </w:rPr>
        <w:t>PLANIFIKIMI I SHPENZIM</w:t>
      </w:r>
      <w:r w:rsidR="004C02A3">
        <w:rPr>
          <w:b/>
        </w:rPr>
        <w:t>EVE</w:t>
      </w:r>
    </w:p>
    <w:tbl>
      <w:tblPr>
        <w:tblW w:w="4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996"/>
        <w:gridCol w:w="966"/>
        <w:gridCol w:w="1301"/>
        <w:gridCol w:w="770"/>
        <w:gridCol w:w="808"/>
        <w:gridCol w:w="901"/>
        <w:gridCol w:w="719"/>
        <w:gridCol w:w="719"/>
        <w:gridCol w:w="629"/>
      </w:tblGrid>
      <w:tr w:rsidR="003950A7" w:rsidRPr="00A85F73" w14:paraId="37973F87" w14:textId="25B44086" w:rsidTr="008541A7">
        <w:trPr>
          <w:cantSplit/>
          <w:trHeight w:val="1134"/>
        </w:trPr>
        <w:tc>
          <w:tcPr>
            <w:tcW w:w="701" w:type="pct"/>
            <w:shd w:val="clear" w:color="auto" w:fill="D9D9D9" w:themeFill="background1" w:themeFillShade="D9"/>
          </w:tcPr>
          <w:p w14:paraId="37E36C79" w14:textId="77777777" w:rsidR="003950A7" w:rsidRPr="00A85F73" w:rsidRDefault="003950A7" w:rsidP="003950A7">
            <w:pPr>
              <w:spacing w:after="0" w:line="260" w:lineRule="atLeast"/>
              <w:rPr>
                <w:rFonts w:ascii="Arial" w:hAnsi="Arial" w:cs="Arial"/>
                <w:sz w:val="20"/>
                <w:szCs w:val="20"/>
                <w:highlight w:val="lightGray"/>
              </w:rPr>
            </w:pPr>
          </w:p>
        </w:tc>
        <w:tc>
          <w:tcPr>
            <w:tcW w:w="548" w:type="pct"/>
            <w:shd w:val="clear" w:color="auto" w:fill="D9D9D9" w:themeFill="background1" w:themeFillShade="D9"/>
            <w:textDirection w:val="btLr"/>
          </w:tcPr>
          <w:p w14:paraId="71307245" w14:textId="77777777"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2024</w:t>
            </w:r>
          </w:p>
        </w:tc>
        <w:tc>
          <w:tcPr>
            <w:tcW w:w="532" w:type="pct"/>
            <w:shd w:val="clear" w:color="auto" w:fill="D9D9D9" w:themeFill="background1" w:themeFillShade="D9"/>
            <w:textDirection w:val="btLr"/>
          </w:tcPr>
          <w:p w14:paraId="6A9CBD12" w14:textId="77777777"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2025</w:t>
            </w:r>
          </w:p>
        </w:tc>
        <w:tc>
          <w:tcPr>
            <w:tcW w:w="716" w:type="pct"/>
            <w:shd w:val="clear" w:color="auto" w:fill="D9D9D9" w:themeFill="background1" w:themeFillShade="D9"/>
            <w:textDirection w:val="btLr"/>
          </w:tcPr>
          <w:p w14:paraId="1A0E4D0F" w14:textId="77777777"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2026</w:t>
            </w:r>
          </w:p>
        </w:tc>
        <w:tc>
          <w:tcPr>
            <w:tcW w:w="424" w:type="pct"/>
            <w:shd w:val="clear" w:color="auto" w:fill="D9D9D9" w:themeFill="background1" w:themeFillShade="D9"/>
            <w:textDirection w:val="btLr"/>
          </w:tcPr>
          <w:p w14:paraId="31AEF30B" w14:textId="77777777"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2027</w:t>
            </w:r>
          </w:p>
        </w:tc>
        <w:tc>
          <w:tcPr>
            <w:tcW w:w="445" w:type="pct"/>
            <w:shd w:val="clear" w:color="auto" w:fill="D9D9D9" w:themeFill="background1" w:themeFillShade="D9"/>
            <w:textDirection w:val="btLr"/>
          </w:tcPr>
          <w:p w14:paraId="1FAEC87C" w14:textId="77777777"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2028</w:t>
            </w:r>
          </w:p>
        </w:tc>
        <w:tc>
          <w:tcPr>
            <w:tcW w:w="496" w:type="pct"/>
            <w:shd w:val="clear" w:color="auto" w:fill="D9D9D9" w:themeFill="background1" w:themeFillShade="D9"/>
            <w:textDirection w:val="btLr"/>
          </w:tcPr>
          <w:p w14:paraId="0F4E0E92" w14:textId="77777777"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2029</w:t>
            </w:r>
          </w:p>
        </w:tc>
        <w:tc>
          <w:tcPr>
            <w:tcW w:w="396" w:type="pct"/>
            <w:shd w:val="clear" w:color="auto" w:fill="D9D9D9" w:themeFill="background1" w:themeFillShade="D9"/>
            <w:textDirection w:val="btLr"/>
          </w:tcPr>
          <w:p w14:paraId="4091C27E" w14:textId="77777777"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2030</w:t>
            </w:r>
          </w:p>
        </w:tc>
        <w:tc>
          <w:tcPr>
            <w:tcW w:w="396" w:type="pct"/>
            <w:shd w:val="clear" w:color="auto" w:fill="D9D9D9" w:themeFill="background1" w:themeFillShade="D9"/>
            <w:textDirection w:val="btLr"/>
          </w:tcPr>
          <w:p w14:paraId="32DF323E" w14:textId="77777777"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2031</w:t>
            </w:r>
          </w:p>
        </w:tc>
        <w:tc>
          <w:tcPr>
            <w:tcW w:w="346" w:type="pct"/>
            <w:shd w:val="clear" w:color="auto" w:fill="D9D9D9" w:themeFill="background1" w:themeFillShade="D9"/>
            <w:textDirection w:val="btLr"/>
          </w:tcPr>
          <w:p w14:paraId="0F1C271B" w14:textId="32335842" w:rsidR="003950A7" w:rsidRPr="00A85F73" w:rsidRDefault="003950A7" w:rsidP="003950A7">
            <w:pPr>
              <w:spacing w:after="0" w:line="260" w:lineRule="atLeast"/>
              <w:ind w:left="113" w:right="113"/>
              <w:rPr>
                <w:rFonts w:ascii="Arial" w:hAnsi="Arial" w:cs="Arial"/>
                <w:sz w:val="20"/>
                <w:szCs w:val="20"/>
              </w:rPr>
            </w:pPr>
            <w:r>
              <w:rPr>
                <w:rFonts w:ascii="Arial" w:hAnsi="Arial"/>
                <w:sz w:val="20"/>
              </w:rPr>
              <w:t>2032</w:t>
            </w:r>
          </w:p>
        </w:tc>
      </w:tr>
      <w:tr w:rsidR="003950A7" w:rsidRPr="00A85F73" w14:paraId="7A83A54A" w14:textId="4614E2CB" w:rsidTr="008541A7">
        <w:tc>
          <w:tcPr>
            <w:tcW w:w="701" w:type="pct"/>
            <w:shd w:val="clear" w:color="auto" w:fill="D9D9D9" w:themeFill="background1" w:themeFillShade="D9"/>
          </w:tcPr>
          <w:p w14:paraId="406CF110" w14:textId="01B58BB3" w:rsidR="003950A7" w:rsidRPr="00A85F73" w:rsidRDefault="003950A7" w:rsidP="003950A7">
            <w:pPr>
              <w:spacing w:after="0" w:line="260" w:lineRule="atLeast"/>
              <w:ind w:right="-113"/>
              <w:rPr>
                <w:rFonts w:ascii="Arial" w:hAnsi="Arial" w:cs="Arial"/>
                <w:b/>
                <w:sz w:val="20"/>
                <w:szCs w:val="20"/>
              </w:rPr>
            </w:pPr>
            <w:r>
              <w:rPr>
                <w:rFonts w:ascii="Arial" w:hAnsi="Arial"/>
                <w:b/>
                <w:sz w:val="20"/>
              </w:rPr>
              <w:t xml:space="preserve">Kostot (në </w:t>
            </w:r>
            <w:r w:rsidR="004C02A3">
              <w:rPr>
                <w:rFonts w:ascii="Arial" w:hAnsi="Arial"/>
                <w:b/>
                <w:sz w:val="20"/>
              </w:rPr>
              <w:t xml:space="preserve">milion </w:t>
            </w:r>
            <w:r>
              <w:rPr>
                <w:rFonts w:ascii="Arial" w:hAnsi="Arial"/>
                <w:b/>
                <w:sz w:val="20"/>
              </w:rPr>
              <w:t>euro) të:</w:t>
            </w:r>
          </w:p>
        </w:tc>
        <w:tc>
          <w:tcPr>
            <w:tcW w:w="548" w:type="pct"/>
            <w:shd w:val="clear" w:color="auto" w:fill="auto"/>
          </w:tcPr>
          <w:p w14:paraId="751C208F" w14:textId="558E3D92" w:rsidR="003950A7" w:rsidRPr="00A85F73" w:rsidRDefault="003950A7" w:rsidP="003950A7">
            <w:pPr>
              <w:spacing w:after="0" w:line="260" w:lineRule="atLeast"/>
              <w:rPr>
                <w:rFonts w:ascii="Arial" w:hAnsi="Arial" w:cs="Arial"/>
                <w:b/>
                <w:sz w:val="20"/>
                <w:szCs w:val="20"/>
              </w:rPr>
            </w:pPr>
            <w:r>
              <w:rPr>
                <w:rFonts w:ascii="Arial" w:hAnsi="Arial"/>
                <w:b/>
                <w:sz w:val="20"/>
              </w:rPr>
              <w:t>0</w:t>
            </w:r>
          </w:p>
        </w:tc>
        <w:tc>
          <w:tcPr>
            <w:tcW w:w="532" w:type="pct"/>
            <w:shd w:val="clear" w:color="auto" w:fill="auto"/>
          </w:tcPr>
          <w:p w14:paraId="531A0DA0" w14:textId="7FCCA714" w:rsidR="003950A7" w:rsidRPr="00A85F73" w:rsidRDefault="00CB2F7B" w:rsidP="003950A7">
            <w:pPr>
              <w:spacing w:after="0" w:line="260" w:lineRule="atLeast"/>
              <w:rPr>
                <w:rFonts w:ascii="Arial" w:hAnsi="Arial" w:cs="Arial"/>
                <w:b/>
                <w:sz w:val="20"/>
                <w:szCs w:val="20"/>
              </w:rPr>
            </w:pPr>
            <w:r>
              <w:rPr>
                <w:rFonts w:ascii="Arial" w:hAnsi="Arial"/>
                <w:b/>
                <w:sz w:val="20"/>
              </w:rPr>
              <w:t>0.4</w:t>
            </w:r>
          </w:p>
        </w:tc>
        <w:tc>
          <w:tcPr>
            <w:tcW w:w="716" w:type="pct"/>
            <w:shd w:val="clear" w:color="auto" w:fill="auto"/>
          </w:tcPr>
          <w:p w14:paraId="2989A0BF" w14:textId="033FB003" w:rsidR="003950A7" w:rsidRPr="00A85F73" w:rsidRDefault="00CB2F7B" w:rsidP="003950A7">
            <w:pPr>
              <w:spacing w:after="0" w:line="260" w:lineRule="atLeast"/>
              <w:rPr>
                <w:rFonts w:ascii="Arial" w:hAnsi="Arial" w:cs="Arial"/>
                <w:b/>
                <w:sz w:val="20"/>
                <w:szCs w:val="20"/>
              </w:rPr>
            </w:pPr>
            <w:r>
              <w:rPr>
                <w:rFonts w:ascii="Arial" w:hAnsi="Arial"/>
                <w:b/>
                <w:sz w:val="20"/>
              </w:rPr>
              <w:t>9.1</w:t>
            </w:r>
          </w:p>
        </w:tc>
        <w:tc>
          <w:tcPr>
            <w:tcW w:w="424" w:type="pct"/>
            <w:shd w:val="clear" w:color="auto" w:fill="auto"/>
          </w:tcPr>
          <w:p w14:paraId="1FE88F43" w14:textId="63393D03" w:rsidR="003950A7" w:rsidRPr="00A85F73" w:rsidRDefault="006141A9" w:rsidP="003950A7">
            <w:pPr>
              <w:spacing w:after="0" w:line="260" w:lineRule="atLeast"/>
              <w:rPr>
                <w:rFonts w:ascii="Arial" w:hAnsi="Arial" w:cs="Arial"/>
                <w:b/>
                <w:sz w:val="20"/>
                <w:szCs w:val="20"/>
              </w:rPr>
            </w:pPr>
            <w:r>
              <w:rPr>
                <w:rFonts w:ascii="Arial" w:hAnsi="Arial"/>
                <w:b/>
                <w:sz w:val="20"/>
              </w:rPr>
              <w:t>8.8</w:t>
            </w:r>
          </w:p>
        </w:tc>
        <w:tc>
          <w:tcPr>
            <w:tcW w:w="445" w:type="pct"/>
            <w:shd w:val="clear" w:color="auto" w:fill="auto"/>
          </w:tcPr>
          <w:p w14:paraId="37CCC8F1" w14:textId="68EC4F0F" w:rsidR="003950A7" w:rsidRPr="00A85F73" w:rsidRDefault="006141A9" w:rsidP="003950A7">
            <w:pPr>
              <w:spacing w:after="0" w:line="260" w:lineRule="atLeast"/>
              <w:rPr>
                <w:rFonts w:ascii="Arial" w:hAnsi="Arial" w:cs="Arial"/>
                <w:b/>
                <w:sz w:val="20"/>
                <w:szCs w:val="20"/>
              </w:rPr>
            </w:pPr>
            <w:r>
              <w:rPr>
                <w:rFonts w:ascii="Arial" w:hAnsi="Arial"/>
                <w:b/>
                <w:sz w:val="20"/>
              </w:rPr>
              <w:t>8.8</w:t>
            </w:r>
          </w:p>
        </w:tc>
        <w:tc>
          <w:tcPr>
            <w:tcW w:w="496" w:type="pct"/>
            <w:shd w:val="clear" w:color="auto" w:fill="auto"/>
          </w:tcPr>
          <w:p w14:paraId="4645A9F4" w14:textId="2FFCF580" w:rsidR="003950A7" w:rsidRPr="00A85F73" w:rsidRDefault="006141A9" w:rsidP="003950A7">
            <w:pPr>
              <w:spacing w:after="0" w:line="260" w:lineRule="atLeast"/>
              <w:rPr>
                <w:rFonts w:ascii="Arial" w:hAnsi="Arial" w:cs="Arial"/>
                <w:b/>
                <w:sz w:val="20"/>
                <w:szCs w:val="20"/>
              </w:rPr>
            </w:pPr>
            <w:r>
              <w:rPr>
                <w:rFonts w:ascii="Arial" w:hAnsi="Arial"/>
                <w:b/>
                <w:sz w:val="20"/>
              </w:rPr>
              <w:t>8.8</w:t>
            </w:r>
          </w:p>
        </w:tc>
        <w:tc>
          <w:tcPr>
            <w:tcW w:w="396" w:type="pct"/>
            <w:shd w:val="clear" w:color="auto" w:fill="auto"/>
          </w:tcPr>
          <w:p w14:paraId="7995DEC3" w14:textId="7047A1D4" w:rsidR="003950A7" w:rsidRPr="00A85F73" w:rsidRDefault="006141A9" w:rsidP="003950A7">
            <w:pPr>
              <w:spacing w:after="0" w:line="260" w:lineRule="atLeast"/>
              <w:rPr>
                <w:rFonts w:ascii="Arial" w:hAnsi="Arial" w:cs="Arial"/>
                <w:b/>
                <w:sz w:val="20"/>
                <w:szCs w:val="20"/>
              </w:rPr>
            </w:pPr>
            <w:r>
              <w:rPr>
                <w:rFonts w:ascii="Arial" w:hAnsi="Arial"/>
                <w:b/>
                <w:sz w:val="20"/>
              </w:rPr>
              <w:t>10</w:t>
            </w:r>
          </w:p>
        </w:tc>
        <w:tc>
          <w:tcPr>
            <w:tcW w:w="396" w:type="pct"/>
            <w:shd w:val="clear" w:color="auto" w:fill="auto"/>
          </w:tcPr>
          <w:p w14:paraId="058FD8FA" w14:textId="6EC9B72A" w:rsidR="003950A7" w:rsidRPr="00A85F73" w:rsidRDefault="006141A9" w:rsidP="003950A7">
            <w:pPr>
              <w:spacing w:after="0" w:line="260" w:lineRule="atLeast"/>
              <w:rPr>
                <w:rFonts w:ascii="Arial" w:hAnsi="Arial" w:cs="Arial"/>
                <w:b/>
                <w:sz w:val="20"/>
                <w:szCs w:val="20"/>
              </w:rPr>
            </w:pPr>
            <w:r>
              <w:rPr>
                <w:rFonts w:ascii="Arial" w:hAnsi="Arial"/>
                <w:b/>
                <w:sz w:val="20"/>
              </w:rPr>
              <w:t>9.6</w:t>
            </w:r>
          </w:p>
        </w:tc>
        <w:tc>
          <w:tcPr>
            <w:tcW w:w="346" w:type="pct"/>
          </w:tcPr>
          <w:p w14:paraId="2A4D5120" w14:textId="6CC5F35C" w:rsidR="003950A7" w:rsidRPr="00A85F73" w:rsidRDefault="006141A9" w:rsidP="003950A7">
            <w:pPr>
              <w:spacing w:after="0" w:line="260" w:lineRule="atLeast"/>
              <w:rPr>
                <w:rFonts w:ascii="Arial" w:hAnsi="Arial" w:cs="Arial"/>
                <w:b/>
                <w:sz w:val="20"/>
                <w:szCs w:val="20"/>
              </w:rPr>
            </w:pPr>
            <w:r>
              <w:rPr>
                <w:rFonts w:ascii="Arial" w:hAnsi="Arial"/>
                <w:b/>
                <w:sz w:val="20"/>
              </w:rPr>
              <w:t>6.14</w:t>
            </w:r>
          </w:p>
        </w:tc>
      </w:tr>
      <w:tr w:rsidR="003950A7" w:rsidRPr="00A85F73" w14:paraId="69D525FA" w14:textId="732E081F" w:rsidTr="008541A7">
        <w:tc>
          <w:tcPr>
            <w:tcW w:w="701" w:type="pct"/>
            <w:shd w:val="clear" w:color="auto" w:fill="D9D9D9" w:themeFill="background1" w:themeFillShade="D9"/>
          </w:tcPr>
          <w:p w14:paraId="27690A1C" w14:textId="77777777" w:rsidR="003950A7" w:rsidRPr="00A85F73" w:rsidRDefault="003950A7" w:rsidP="003950A7">
            <w:pPr>
              <w:spacing w:after="0" w:line="260" w:lineRule="atLeast"/>
              <w:rPr>
                <w:rFonts w:ascii="Arial" w:hAnsi="Arial" w:cs="Arial"/>
                <w:sz w:val="20"/>
                <w:szCs w:val="20"/>
              </w:rPr>
            </w:pPr>
            <w:r>
              <w:rPr>
                <w:rFonts w:ascii="Arial" w:hAnsi="Arial"/>
                <w:sz w:val="20"/>
              </w:rPr>
              <w:t>Përgatitja e projektit (TA)</w:t>
            </w:r>
          </w:p>
        </w:tc>
        <w:tc>
          <w:tcPr>
            <w:tcW w:w="548" w:type="pct"/>
            <w:shd w:val="clear" w:color="auto" w:fill="auto"/>
          </w:tcPr>
          <w:p w14:paraId="1146DD4A" w14:textId="77BE2B40" w:rsidR="003950A7" w:rsidRPr="00A85F73" w:rsidRDefault="003950A7" w:rsidP="003950A7">
            <w:pPr>
              <w:spacing w:after="0" w:line="260" w:lineRule="atLeast"/>
              <w:rPr>
                <w:rFonts w:ascii="Arial" w:hAnsi="Arial" w:cs="Arial"/>
                <w:sz w:val="20"/>
                <w:szCs w:val="20"/>
              </w:rPr>
            </w:pPr>
            <w:r>
              <w:rPr>
                <w:rFonts w:ascii="Arial" w:hAnsi="Arial"/>
                <w:sz w:val="20"/>
              </w:rPr>
              <w:t>0</w:t>
            </w:r>
          </w:p>
        </w:tc>
        <w:tc>
          <w:tcPr>
            <w:tcW w:w="532" w:type="pct"/>
            <w:shd w:val="clear" w:color="auto" w:fill="auto"/>
          </w:tcPr>
          <w:p w14:paraId="66A41A06" w14:textId="35D08937" w:rsidR="003950A7" w:rsidRPr="00A85F73" w:rsidRDefault="003950A7" w:rsidP="003950A7">
            <w:pPr>
              <w:spacing w:after="0" w:line="260" w:lineRule="atLeast"/>
              <w:rPr>
                <w:rFonts w:ascii="Arial" w:hAnsi="Arial" w:cs="Arial"/>
                <w:sz w:val="20"/>
                <w:szCs w:val="20"/>
              </w:rPr>
            </w:pPr>
            <w:r>
              <w:rPr>
                <w:rFonts w:ascii="Arial" w:hAnsi="Arial"/>
                <w:sz w:val="20"/>
              </w:rPr>
              <w:t>0.4</w:t>
            </w:r>
          </w:p>
        </w:tc>
        <w:tc>
          <w:tcPr>
            <w:tcW w:w="716" w:type="pct"/>
            <w:shd w:val="clear" w:color="auto" w:fill="auto"/>
          </w:tcPr>
          <w:p w14:paraId="40875696" w14:textId="7D1AF8BF" w:rsidR="003950A7" w:rsidRPr="00A85F73" w:rsidRDefault="003950A7" w:rsidP="003950A7">
            <w:pPr>
              <w:spacing w:after="0" w:line="260" w:lineRule="atLeast"/>
              <w:rPr>
                <w:rFonts w:ascii="Arial" w:hAnsi="Arial" w:cs="Arial"/>
                <w:sz w:val="20"/>
                <w:szCs w:val="20"/>
              </w:rPr>
            </w:pPr>
            <w:r>
              <w:rPr>
                <w:rFonts w:ascii="Arial" w:hAnsi="Arial"/>
                <w:sz w:val="20"/>
              </w:rPr>
              <w:t>0.5</w:t>
            </w:r>
          </w:p>
        </w:tc>
        <w:tc>
          <w:tcPr>
            <w:tcW w:w="424" w:type="pct"/>
            <w:shd w:val="clear" w:color="auto" w:fill="auto"/>
          </w:tcPr>
          <w:p w14:paraId="23117C61" w14:textId="5778C574" w:rsidR="003950A7" w:rsidRPr="00A85F73" w:rsidRDefault="00CB2F7B" w:rsidP="003950A7">
            <w:pPr>
              <w:spacing w:after="0" w:line="260" w:lineRule="atLeast"/>
              <w:rPr>
                <w:rFonts w:ascii="Arial" w:hAnsi="Arial" w:cs="Arial"/>
                <w:sz w:val="20"/>
                <w:szCs w:val="20"/>
              </w:rPr>
            </w:pPr>
            <w:r>
              <w:rPr>
                <w:rFonts w:ascii="Arial" w:hAnsi="Arial"/>
                <w:sz w:val="20"/>
              </w:rPr>
              <w:t>0.6</w:t>
            </w:r>
          </w:p>
        </w:tc>
        <w:tc>
          <w:tcPr>
            <w:tcW w:w="445" w:type="pct"/>
            <w:shd w:val="clear" w:color="auto" w:fill="auto"/>
          </w:tcPr>
          <w:p w14:paraId="70DD5E71" w14:textId="43F72D92" w:rsidR="003950A7" w:rsidRPr="00A85F73" w:rsidRDefault="00CB2F7B" w:rsidP="003950A7">
            <w:pPr>
              <w:spacing w:after="0" w:line="260" w:lineRule="atLeast"/>
              <w:rPr>
                <w:rFonts w:ascii="Arial" w:hAnsi="Arial" w:cs="Arial"/>
                <w:sz w:val="20"/>
                <w:szCs w:val="20"/>
              </w:rPr>
            </w:pPr>
            <w:r>
              <w:rPr>
                <w:rFonts w:ascii="Arial" w:hAnsi="Arial"/>
                <w:sz w:val="20"/>
              </w:rPr>
              <w:t>0.6</w:t>
            </w:r>
          </w:p>
        </w:tc>
        <w:tc>
          <w:tcPr>
            <w:tcW w:w="496" w:type="pct"/>
            <w:shd w:val="clear" w:color="auto" w:fill="auto"/>
          </w:tcPr>
          <w:p w14:paraId="777D00A5" w14:textId="0C1AC03F" w:rsidR="003950A7" w:rsidRPr="00A85F73" w:rsidRDefault="00CB2F7B" w:rsidP="003950A7">
            <w:pPr>
              <w:spacing w:after="0" w:line="260" w:lineRule="atLeast"/>
              <w:rPr>
                <w:rFonts w:ascii="Arial" w:hAnsi="Arial" w:cs="Arial"/>
                <w:sz w:val="20"/>
                <w:szCs w:val="20"/>
              </w:rPr>
            </w:pPr>
            <w:r>
              <w:rPr>
                <w:rFonts w:ascii="Arial" w:hAnsi="Arial"/>
                <w:sz w:val="20"/>
              </w:rPr>
              <w:t>0.6</w:t>
            </w:r>
          </w:p>
        </w:tc>
        <w:tc>
          <w:tcPr>
            <w:tcW w:w="396" w:type="pct"/>
            <w:shd w:val="clear" w:color="auto" w:fill="auto"/>
          </w:tcPr>
          <w:p w14:paraId="118EB3DA" w14:textId="3F7A7036" w:rsidR="003950A7" w:rsidRPr="00A85F73" w:rsidRDefault="00CB2F7B" w:rsidP="003950A7">
            <w:pPr>
              <w:spacing w:after="0" w:line="260" w:lineRule="atLeast"/>
              <w:rPr>
                <w:rFonts w:ascii="Arial" w:hAnsi="Arial" w:cs="Arial"/>
                <w:sz w:val="20"/>
                <w:szCs w:val="20"/>
              </w:rPr>
            </w:pPr>
            <w:r>
              <w:rPr>
                <w:rFonts w:ascii="Arial" w:hAnsi="Arial"/>
                <w:sz w:val="20"/>
              </w:rPr>
              <w:t>0.6</w:t>
            </w:r>
          </w:p>
        </w:tc>
        <w:tc>
          <w:tcPr>
            <w:tcW w:w="396" w:type="pct"/>
            <w:shd w:val="clear" w:color="auto" w:fill="auto"/>
          </w:tcPr>
          <w:p w14:paraId="2A967A0E" w14:textId="59A2538E" w:rsidR="003950A7" w:rsidRPr="00A85F73" w:rsidRDefault="00CB2F7B" w:rsidP="003950A7">
            <w:pPr>
              <w:spacing w:after="0" w:line="260" w:lineRule="atLeast"/>
              <w:rPr>
                <w:rFonts w:ascii="Arial" w:hAnsi="Arial" w:cs="Arial"/>
                <w:sz w:val="20"/>
                <w:szCs w:val="20"/>
              </w:rPr>
            </w:pPr>
            <w:r>
              <w:rPr>
                <w:rFonts w:ascii="Arial" w:hAnsi="Arial"/>
                <w:sz w:val="20"/>
              </w:rPr>
              <w:t>0.6</w:t>
            </w:r>
          </w:p>
        </w:tc>
        <w:tc>
          <w:tcPr>
            <w:tcW w:w="346" w:type="pct"/>
          </w:tcPr>
          <w:p w14:paraId="47FA82C0" w14:textId="436C47AD" w:rsidR="003950A7" w:rsidRPr="00A85F73" w:rsidRDefault="003950A7" w:rsidP="003950A7">
            <w:pPr>
              <w:spacing w:after="0" w:line="260" w:lineRule="atLeast"/>
              <w:rPr>
                <w:rFonts w:ascii="Arial" w:hAnsi="Arial" w:cs="Arial"/>
                <w:sz w:val="20"/>
                <w:szCs w:val="20"/>
              </w:rPr>
            </w:pPr>
            <w:r>
              <w:rPr>
                <w:rFonts w:ascii="Arial" w:hAnsi="Arial"/>
                <w:sz w:val="20"/>
              </w:rPr>
              <w:t>0.38</w:t>
            </w:r>
          </w:p>
        </w:tc>
      </w:tr>
      <w:tr w:rsidR="003950A7" w:rsidRPr="00A85F73" w14:paraId="5ACA32EF" w14:textId="7076D265" w:rsidTr="008541A7">
        <w:tc>
          <w:tcPr>
            <w:tcW w:w="701" w:type="pct"/>
            <w:shd w:val="clear" w:color="auto" w:fill="D9D9D9" w:themeFill="background1" w:themeFillShade="D9"/>
          </w:tcPr>
          <w:p w14:paraId="311EDF2F" w14:textId="77777777" w:rsidR="003950A7" w:rsidRPr="00A85F73" w:rsidRDefault="003950A7" w:rsidP="003950A7">
            <w:pPr>
              <w:spacing w:after="0" w:line="260" w:lineRule="atLeast"/>
              <w:rPr>
                <w:rFonts w:ascii="Arial" w:hAnsi="Arial" w:cs="Arial"/>
                <w:sz w:val="20"/>
                <w:szCs w:val="20"/>
              </w:rPr>
            </w:pPr>
            <w:r>
              <w:rPr>
                <w:rFonts w:ascii="Arial" w:hAnsi="Arial"/>
                <w:sz w:val="20"/>
              </w:rPr>
              <w:t xml:space="preserve">Investimi </w:t>
            </w:r>
          </w:p>
        </w:tc>
        <w:tc>
          <w:tcPr>
            <w:tcW w:w="548" w:type="pct"/>
            <w:shd w:val="clear" w:color="auto" w:fill="auto"/>
          </w:tcPr>
          <w:p w14:paraId="70D17BCA" w14:textId="06EA4D40" w:rsidR="003950A7" w:rsidRPr="00A85F73" w:rsidRDefault="003950A7" w:rsidP="003950A7">
            <w:pPr>
              <w:spacing w:after="0" w:line="260" w:lineRule="atLeast"/>
              <w:rPr>
                <w:rFonts w:ascii="Arial" w:hAnsi="Arial" w:cs="Arial"/>
                <w:sz w:val="20"/>
                <w:szCs w:val="20"/>
              </w:rPr>
            </w:pPr>
            <w:r>
              <w:rPr>
                <w:rFonts w:ascii="Arial" w:hAnsi="Arial"/>
                <w:sz w:val="20"/>
              </w:rPr>
              <w:t xml:space="preserve">0 </w:t>
            </w:r>
          </w:p>
        </w:tc>
        <w:tc>
          <w:tcPr>
            <w:tcW w:w="532" w:type="pct"/>
            <w:shd w:val="clear" w:color="auto" w:fill="auto"/>
          </w:tcPr>
          <w:p w14:paraId="2F86E00E" w14:textId="775849E0" w:rsidR="003950A7" w:rsidRPr="00A85F73" w:rsidRDefault="00CB2F7B" w:rsidP="003950A7">
            <w:pPr>
              <w:spacing w:after="0" w:line="260" w:lineRule="atLeast"/>
              <w:rPr>
                <w:rFonts w:ascii="Arial" w:hAnsi="Arial" w:cs="Arial"/>
                <w:sz w:val="20"/>
                <w:szCs w:val="20"/>
              </w:rPr>
            </w:pPr>
            <w:r>
              <w:rPr>
                <w:rFonts w:ascii="Arial" w:hAnsi="Arial"/>
                <w:sz w:val="20"/>
              </w:rPr>
              <w:t>0</w:t>
            </w:r>
          </w:p>
        </w:tc>
        <w:tc>
          <w:tcPr>
            <w:tcW w:w="716" w:type="pct"/>
            <w:shd w:val="clear" w:color="auto" w:fill="auto"/>
          </w:tcPr>
          <w:p w14:paraId="644E53AC" w14:textId="16282DBF" w:rsidR="003950A7" w:rsidRPr="00A85F73" w:rsidRDefault="00CB2F7B" w:rsidP="003950A7">
            <w:pPr>
              <w:spacing w:after="0" w:line="260" w:lineRule="atLeast"/>
              <w:rPr>
                <w:rFonts w:ascii="Arial" w:hAnsi="Arial" w:cs="Arial"/>
                <w:sz w:val="20"/>
                <w:szCs w:val="20"/>
              </w:rPr>
            </w:pPr>
            <w:r>
              <w:rPr>
                <w:rFonts w:ascii="Arial" w:hAnsi="Arial"/>
                <w:sz w:val="20"/>
              </w:rPr>
              <w:t>8.6</w:t>
            </w:r>
          </w:p>
        </w:tc>
        <w:tc>
          <w:tcPr>
            <w:tcW w:w="424" w:type="pct"/>
            <w:shd w:val="clear" w:color="auto" w:fill="auto"/>
          </w:tcPr>
          <w:p w14:paraId="2BECDE7A" w14:textId="38C795E4" w:rsidR="003950A7" w:rsidRPr="00A85F73" w:rsidRDefault="00CB2F7B" w:rsidP="003950A7">
            <w:pPr>
              <w:spacing w:after="0" w:line="260" w:lineRule="atLeast"/>
              <w:rPr>
                <w:rFonts w:ascii="Arial" w:hAnsi="Arial" w:cs="Arial"/>
                <w:sz w:val="20"/>
                <w:szCs w:val="20"/>
              </w:rPr>
            </w:pPr>
            <w:r>
              <w:rPr>
                <w:rFonts w:ascii="Arial" w:hAnsi="Arial"/>
                <w:sz w:val="20"/>
              </w:rPr>
              <w:t>8.2</w:t>
            </w:r>
          </w:p>
        </w:tc>
        <w:tc>
          <w:tcPr>
            <w:tcW w:w="445" w:type="pct"/>
            <w:shd w:val="clear" w:color="auto" w:fill="auto"/>
          </w:tcPr>
          <w:p w14:paraId="391FC4DD" w14:textId="0E6C4A82" w:rsidR="003950A7" w:rsidRPr="00A85F73" w:rsidRDefault="00CB2F7B" w:rsidP="003950A7">
            <w:pPr>
              <w:spacing w:after="0" w:line="260" w:lineRule="atLeast"/>
              <w:rPr>
                <w:rFonts w:ascii="Arial" w:hAnsi="Arial" w:cs="Arial"/>
                <w:sz w:val="20"/>
                <w:szCs w:val="20"/>
              </w:rPr>
            </w:pPr>
            <w:r>
              <w:rPr>
                <w:rFonts w:ascii="Arial" w:hAnsi="Arial"/>
                <w:sz w:val="20"/>
              </w:rPr>
              <w:t>8.2</w:t>
            </w:r>
          </w:p>
        </w:tc>
        <w:tc>
          <w:tcPr>
            <w:tcW w:w="496" w:type="pct"/>
            <w:shd w:val="clear" w:color="auto" w:fill="auto"/>
          </w:tcPr>
          <w:p w14:paraId="12D02443" w14:textId="1FB7CE29" w:rsidR="003950A7" w:rsidRPr="00A85F73" w:rsidRDefault="00CB2F7B" w:rsidP="003950A7">
            <w:pPr>
              <w:spacing w:after="0" w:line="260" w:lineRule="atLeast"/>
              <w:rPr>
                <w:rFonts w:ascii="Arial" w:hAnsi="Arial" w:cs="Arial"/>
                <w:sz w:val="20"/>
                <w:szCs w:val="20"/>
              </w:rPr>
            </w:pPr>
            <w:r>
              <w:rPr>
                <w:rFonts w:ascii="Arial" w:hAnsi="Arial"/>
                <w:sz w:val="20"/>
              </w:rPr>
              <w:t>8.2</w:t>
            </w:r>
          </w:p>
        </w:tc>
        <w:tc>
          <w:tcPr>
            <w:tcW w:w="396" w:type="pct"/>
            <w:shd w:val="clear" w:color="auto" w:fill="auto"/>
          </w:tcPr>
          <w:p w14:paraId="560BC6E0" w14:textId="479F559C" w:rsidR="003950A7" w:rsidRPr="00A85F73" w:rsidRDefault="00CB2F7B" w:rsidP="003950A7">
            <w:pPr>
              <w:spacing w:after="0" w:line="260" w:lineRule="atLeast"/>
              <w:rPr>
                <w:rFonts w:ascii="Arial" w:hAnsi="Arial" w:cs="Arial"/>
                <w:sz w:val="20"/>
                <w:szCs w:val="20"/>
              </w:rPr>
            </w:pPr>
            <w:r>
              <w:rPr>
                <w:rFonts w:ascii="Arial" w:hAnsi="Arial"/>
                <w:sz w:val="20"/>
              </w:rPr>
              <w:t>9.4</w:t>
            </w:r>
          </w:p>
        </w:tc>
        <w:tc>
          <w:tcPr>
            <w:tcW w:w="396" w:type="pct"/>
            <w:shd w:val="clear" w:color="auto" w:fill="auto"/>
          </w:tcPr>
          <w:p w14:paraId="1CD9637B" w14:textId="139BE58C" w:rsidR="003950A7" w:rsidRPr="00A85F73" w:rsidRDefault="00CB2F7B" w:rsidP="003950A7">
            <w:pPr>
              <w:spacing w:after="0" w:line="260" w:lineRule="atLeast"/>
              <w:rPr>
                <w:rFonts w:ascii="Arial" w:hAnsi="Arial" w:cs="Arial"/>
                <w:sz w:val="20"/>
                <w:szCs w:val="20"/>
              </w:rPr>
            </w:pPr>
            <w:r>
              <w:rPr>
                <w:rFonts w:ascii="Arial" w:hAnsi="Arial"/>
                <w:sz w:val="20"/>
              </w:rPr>
              <w:t>9.0</w:t>
            </w:r>
          </w:p>
        </w:tc>
        <w:tc>
          <w:tcPr>
            <w:tcW w:w="346" w:type="pct"/>
          </w:tcPr>
          <w:p w14:paraId="197253F2" w14:textId="76C18DD9" w:rsidR="003950A7" w:rsidRPr="00A85F73" w:rsidRDefault="00CB2F7B" w:rsidP="003950A7">
            <w:pPr>
              <w:spacing w:after="0" w:line="260" w:lineRule="atLeast"/>
              <w:rPr>
                <w:rFonts w:ascii="Arial" w:hAnsi="Arial" w:cs="Arial"/>
                <w:sz w:val="20"/>
                <w:szCs w:val="20"/>
              </w:rPr>
            </w:pPr>
            <w:r>
              <w:rPr>
                <w:rFonts w:ascii="Arial" w:hAnsi="Arial"/>
                <w:sz w:val="20"/>
              </w:rPr>
              <w:t>5.76</w:t>
            </w:r>
          </w:p>
        </w:tc>
      </w:tr>
    </w:tbl>
    <w:p w14:paraId="1B3EF629" w14:textId="3F35C5C6" w:rsidR="0019538C" w:rsidRPr="003C462E" w:rsidRDefault="0019538C" w:rsidP="003C462E">
      <w:pPr>
        <w:rPr>
          <w:rFonts w:ascii="Arial" w:hAnsi="Arial" w:cs="Arial"/>
        </w:rPr>
      </w:pPr>
    </w:p>
    <w:sectPr w:rsidR="0019538C" w:rsidRPr="003C462E" w:rsidSect="00FC644F">
      <w:headerReference w:type="default" r:id="rId10"/>
      <w:footerReference w:type="default" r:id="rId11"/>
      <w:headerReference w:type="first" r:id="rId12"/>
      <w:footerReference w:type="first" r:id="rId13"/>
      <w:pgSz w:w="11913" w:h="16834" w:code="9"/>
      <w:pgMar w:top="720" w:right="720" w:bottom="720" w:left="720" w:header="397" w:footer="0" w:gutter="567"/>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8B5EC" w14:textId="77777777" w:rsidR="000A0025" w:rsidRDefault="000A0025" w:rsidP="00CE33CC">
      <w:pPr>
        <w:spacing w:after="0" w:line="240" w:lineRule="auto"/>
      </w:pPr>
      <w:r>
        <w:separator/>
      </w:r>
    </w:p>
  </w:endnote>
  <w:endnote w:type="continuationSeparator" w:id="0">
    <w:p w14:paraId="0B91178C" w14:textId="77777777" w:rsidR="000A0025" w:rsidRDefault="000A0025"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7E87ABB9" w14:textId="0E8F8AB9" w:rsidR="0083451C" w:rsidRPr="0083451C" w:rsidRDefault="0083451C">
        <w:pPr>
          <w:pStyle w:val="Footer"/>
          <w:jc w:val="right"/>
          <w:rPr>
            <w:rFonts w:ascii="Arial" w:hAnsi="Arial" w:cs="Arial"/>
            <w:noProof/>
            <w:color w:val="003870"/>
            <w:sz w:val="17"/>
            <w:szCs w:val="17"/>
          </w:rPr>
        </w:pPr>
        <w:r w:rsidRPr="0083451C">
          <w:rPr>
            <w:rFonts w:ascii="Arial" w:hAnsi="Arial" w:cs="Arial"/>
            <w:color w:val="003870"/>
            <w:sz w:val="17"/>
          </w:rPr>
          <w:fldChar w:fldCharType="begin"/>
        </w:r>
        <w:r w:rsidRPr="0083451C">
          <w:rPr>
            <w:rFonts w:ascii="Arial" w:hAnsi="Arial" w:cs="Arial"/>
            <w:color w:val="003870"/>
            <w:sz w:val="17"/>
          </w:rPr>
          <w:instrText xml:space="preserve"> PAGE   \* MERGEFORMAT </w:instrText>
        </w:r>
        <w:r w:rsidRPr="0083451C">
          <w:rPr>
            <w:rFonts w:ascii="Arial" w:hAnsi="Arial" w:cs="Arial"/>
            <w:color w:val="003870"/>
            <w:sz w:val="17"/>
          </w:rPr>
          <w:fldChar w:fldCharType="separate"/>
        </w:r>
        <w:r w:rsidR="008D779E">
          <w:rPr>
            <w:rFonts w:ascii="Arial" w:hAnsi="Arial" w:cs="Arial"/>
            <w:noProof/>
            <w:color w:val="003870"/>
            <w:sz w:val="17"/>
          </w:rPr>
          <w:t>7</w:t>
        </w:r>
        <w:r w:rsidRPr="0083451C">
          <w:rPr>
            <w:rFonts w:ascii="Arial" w:hAnsi="Arial" w:cs="Arial"/>
            <w:color w:val="003870"/>
            <w:sz w:val="17"/>
          </w:rPr>
          <w:fldChar w:fldCharType="end"/>
        </w:r>
      </w:p>
      <w:p w14:paraId="35D3E11A" w14:textId="77777777" w:rsidR="0083451C" w:rsidRDefault="000A0025">
        <w:pPr>
          <w:pStyle w:val="Footer"/>
          <w:jc w:val="right"/>
        </w:pPr>
      </w:p>
    </w:sdtContent>
  </w:sdt>
  <w:p w14:paraId="1C6F76E4"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5AC07299" w14:textId="0429AD64"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8D779E">
          <w:rPr>
            <w:rFonts w:ascii="Arial" w:hAnsi="Arial" w:cs="Arial"/>
            <w:noProof/>
            <w:color w:val="003870"/>
            <w:sz w:val="17"/>
          </w:rPr>
          <w:t>1</w:t>
        </w:r>
        <w:r w:rsidR="00FC644F" w:rsidRPr="0083451C">
          <w:rPr>
            <w:rFonts w:ascii="Arial" w:hAnsi="Arial" w:cs="Arial"/>
            <w:color w:val="003870"/>
            <w:sz w:val="17"/>
          </w:rPr>
          <w:fldChar w:fldCharType="end"/>
        </w:r>
      </w:p>
      <w:p w14:paraId="23F93937" w14:textId="77777777" w:rsidR="00FC644F" w:rsidRDefault="000A0025" w:rsidP="00FC644F">
        <w:pPr>
          <w:pStyle w:val="Footer"/>
          <w:jc w:val="right"/>
          <w:rPr>
            <w:noProof/>
          </w:rPr>
        </w:pPr>
      </w:p>
    </w:sdtContent>
  </w:sdt>
  <w:p w14:paraId="2B14C075"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D95BA" w14:textId="77777777" w:rsidR="000A0025" w:rsidRDefault="000A0025" w:rsidP="00CE33CC">
      <w:pPr>
        <w:spacing w:after="0" w:line="240" w:lineRule="auto"/>
      </w:pPr>
      <w:r>
        <w:separator/>
      </w:r>
    </w:p>
  </w:footnote>
  <w:footnote w:type="continuationSeparator" w:id="0">
    <w:p w14:paraId="02A9E1EC" w14:textId="77777777" w:rsidR="000A0025" w:rsidRDefault="000A0025"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23C5" w14:textId="77777777" w:rsidR="00743564" w:rsidRDefault="00F87596" w:rsidP="00F87596">
    <w:pPr>
      <w:pStyle w:val="Header"/>
      <w:rPr>
        <w:noProof/>
      </w:rPr>
    </w:pPr>
    <w:r>
      <w:t xml:space="preserve">                                                                                     </w:t>
    </w:r>
  </w:p>
  <w:p w14:paraId="15DA3248"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3F11"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BD3"/>
    <w:multiLevelType w:val="hybridMultilevel"/>
    <w:tmpl w:val="8870C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62184"/>
    <w:multiLevelType w:val="hybridMultilevel"/>
    <w:tmpl w:val="F8C2F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806B2"/>
    <w:multiLevelType w:val="hybridMultilevel"/>
    <w:tmpl w:val="15D2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F5DB3"/>
    <w:multiLevelType w:val="hybridMultilevel"/>
    <w:tmpl w:val="D950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032A2"/>
    <w:multiLevelType w:val="hybridMultilevel"/>
    <w:tmpl w:val="E056F65A"/>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2EFA"/>
    <w:rsid w:val="0000347E"/>
    <w:rsid w:val="00024381"/>
    <w:rsid w:val="00024F00"/>
    <w:rsid w:val="00032C3A"/>
    <w:rsid w:val="00040B53"/>
    <w:rsid w:val="00042E92"/>
    <w:rsid w:val="000525F5"/>
    <w:rsid w:val="00054317"/>
    <w:rsid w:val="000731BD"/>
    <w:rsid w:val="000757F4"/>
    <w:rsid w:val="00077EBE"/>
    <w:rsid w:val="00084436"/>
    <w:rsid w:val="00085CA1"/>
    <w:rsid w:val="000A0025"/>
    <w:rsid w:val="000A4E3E"/>
    <w:rsid w:val="000A6D47"/>
    <w:rsid w:val="000A7643"/>
    <w:rsid w:val="000B021F"/>
    <w:rsid w:val="000B6183"/>
    <w:rsid w:val="000C2D11"/>
    <w:rsid w:val="000D2AC8"/>
    <w:rsid w:val="000E16B9"/>
    <w:rsid w:val="000E302B"/>
    <w:rsid w:val="000E64B7"/>
    <w:rsid w:val="000F3692"/>
    <w:rsid w:val="000F58E9"/>
    <w:rsid w:val="000F6885"/>
    <w:rsid w:val="001112F0"/>
    <w:rsid w:val="0011767A"/>
    <w:rsid w:val="0012661D"/>
    <w:rsid w:val="00137D7C"/>
    <w:rsid w:val="00141AD3"/>
    <w:rsid w:val="00142311"/>
    <w:rsid w:val="00144841"/>
    <w:rsid w:val="001473CB"/>
    <w:rsid w:val="00164336"/>
    <w:rsid w:val="00170C0C"/>
    <w:rsid w:val="0018576E"/>
    <w:rsid w:val="001913E5"/>
    <w:rsid w:val="00192196"/>
    <w:rsid w:val="0019538C"/>
    <w:rsid w:val="00197CB7"/>
    <w:rsid w:val="001A129D"/>
    <w:rsid w:val="001A1984"/>
    <w:rsid w:val="001B662D"/>
    <w:rsid w:val="001C2CAF"/>
    <w:rsid w:val="001E21A8"/>
    <w:rsid w:val="001E6AB1"/>
    <w:rsid w:val="001F115B"/>
    <w:rsid w:val="001F18C8"/>
    <w:rsid w:val="001F28C8"/>
    <w:rsid w:val="001F405F"/>
    <w:rsid w:val="001F66ED"/>
    <w:rsid w:val="002146EA"/>
    <w:rsid w:val="00216A63"/>
    <w:rsid w:val="00223B8E"/>
    <w:rsid w:val="00224D57"/>
    <w:rsid w:val="002255FC"/>
    <w:rsid w:val="00230229"/>
    <w:rsid w:val="00232821"/>
    <w:rsid w:val="00235F29"/>
    <w:rsid w:val="0023605A"/>
    <w:rsid w:val="00250C94"/>
    <w:rsid w:val="00252A19"/>
    <w:rsid w:val="002541C1"/>
    <w:rsid w:val="00254927"/>
    <w:rsid w:val="00254B5A"/>
    <w:rsid w:val="00256CB8"/>
    <w:rsid w:val="00264C3C"/>
    <w:rsid w:val="0026664D"/>
    <w:rsid w:val="00267781"/>
    <w:rsid w:val="00270594"/>
    <w:rsid w:val="00286652"/>
    <w:rsid w:val="002A3A90"/>
    <w:rsid w:val="002B15FF"/>
    <w:rsid w:val="002B1AF7"/>
    <w:rsid w:val="002B7795"/>
    <w:rsid w:val="002D5FC1"/>
    <w:rsid w:val="002E0602"/>
    <w:rsid w:val="002E173C"/>
    <w:rsid w:val="002F395B"/>
    <w:rsid w:val="00320293"/>
    <w:rsid w:val="003234A2"/>
    <w:rsid w:val="003332E9"/>
    <w:rsid w:val="003520D2"/>
    <w:rsid w:val="003540DB"/>
    <w:rsid w:val="0036110D"/>
    <w:rsid w:val="003718CE"/>
    <w:rsid w:val="00372374"/>
    <w:rsid w:val="003726C6"/>
    <w:rsid w:val="00390659"/>
    <w:rsid w:val="003914F0"/>
    <w:rsid w:val="00393D13"/>
    <w:rsid w:val="003950A7"/>
    <w:rsid w:val="00397383"/>
    <w:rsid w:val="003A380A"/>
    <w:rsid w:val="003B2BCA"/>
    <w:rsid w:val="003C462E"/>
    <w:rsid w:val="003C64A1"/>
    <w:rsid w:val="003C6E14"/>
    <w:rsid w:val="003F72F1"/>
    <w:rsid w:val="003F7F97"/>
    <w:rsid w:val="004016E4"/>
    <w:rsid w:val="00402F00"/>
    <w:rsid w:val="0041234B"/>
    <w:rsid w:val="00415FC4"/>
    <w:rsid w:val="0043684E"/>
    <w:rsid w:val="004405FE"/>
    <w:rsid w:val="004540EE"/>
    <w:rsid w:val="00461529"/>
    <w:rsid w:val="00476BBB"/>
    <w:rsid w:val="004969CD"/>
    <w:rsid w:val="004974EC"/>
    <w:rsid w:val="00497528"/>
    <w:rsid w:val="004B21C7"/>
    <w:rsid w:val="004C02A3"/>
    <w:rsid w:val="004C2196"/>
    <w:rsid w:val="004C75E5"/>
    <w:rsid w:val="004D4DC9"/>
    <w:rsid w:val="004F0F35"/>
    <w:rsid w:val="00501A11"/>
    <w:rsid w:val="005148BB"/>
    <w:rsid w:val="005234CE"/>
    <w:rsid w:val="00531D70"/>
    <w:rsid w:val="005332A2"/>
    <w:rsid w:val="005421C3"/>
    <w:rsid w:val="00542768"/>
    <w:rsid w:val="005531AD"/>
    <w:rsid w:val="005537CB"/>
    <w:rsid w:val="00562177"/>
    <w:rsid w:val="005716DF"/>
    <w:rsid w:val="00597898"/>
    <w:rsid w:val="005A3F39"/>
    <w:rsid w:val="005B145C"/>
    <w:rsid w:val="005B576E"/>
    <w:rsid w:val="005D7FC2"/>
    <w:rsid w:val="005E58F0"/>
    <w:rsid w:val="005F4AFD"/>
    <w:rsid w:val="00602E39"/>
    <w:rsid w:val="006141A9"/>
    <w:rsid w:val="006149B7"/>
    <w:rsid w:val="00614DB2"/>
    <w:rsid w:val="00622EBA"/>
    <w:rsid w:val="0062444C"/>
    <w:rsid w:val="00625147"/>
    <w:rsid w:val="00631B88"/>
    <w:rsid w:val="0063271B"/>
    <w:rsid w:val="006419D2"/>
    <w:rsid w:val="00642258"/>
    <w:rsid w:val="0064225B"/>
    <w:rsid w:val="006513AE"/>
    <w:rsid w:val="0065147C"/>
    <w:rsid w:val="00667E55"/>
    <w:rsid w:val="00684DF9"/>
    <w:rsid w:val="00685929"/>
    <w:rsid w:val="00691DBB"/>
    <w:rsid w:val="00697610"/>
    <w:rsid w:val="00697B62"/>
    <w:rsid w:val="006A1E70"/>
    <w:rsid w:val="006B50B2"/>
    <w:rsid w:val="006C287A"/>
    <w:rsid w:val="006C6891"/>
    <w:rsid w:val="006D109F"/>
    <w:rsid w:val="006D2384"/>
    <w:rsid w:val="006D5800"/>
    <w:rsid w:val="006E23C6"/>
    <w:rsid w:val="006E585A"/>
    <w:rsid w:val="006F1611"/>
    <w:rsid w:val="006F5DAE"/>
    <w:rsid w:val="0070491D"/>
    <w:rsid w:val="007054F7"/>
    <w:rsid w:val="007072B4"/>
    <w:rsid w:val="007112D4"/>
    <w:rsid w:val="00711F84"/>
    <w:rsid w:val="00712D73"/>
    <w:rsid w:val="00715B7F"/>
    <w:rsid w:val="00716C74"/>
    <w:rsid w:val="00732239"/>
    <w:rsid w:val="0073320A"/>
    <w:rsid w:val="0073384B"/>
    <w:rsid w:val="00734AA3"/>
    <w:rsid w:val="00735156"/>
    <w:rsid w:val="0074067A"/>
    <w:rsid w:val="00743564"/>
    <w:rsid w:val="00750762"/>
    <w:rsid w:val="0075156F"/>
    <w:rsid w:val="007615F1"/>
    <w:rsid w:val="0077204D"/>
    <w:rsid w:val="00775C29"/>
    <w:rsid w:val="00786309"/>
    <w:rsid w:val="00786DDE"/>
    <w:rsid w:val="00791E32"/>
    <w:rsid w:val="007966B0"/>
    <w:rsid w:val="007968DE"/>
    <w:rsid w:val="007970EF"/>
    <w:rsid w:val="007A679C"/>
    <w:rsid w:val="007B0787"/>
    <w:rsid w:val="007C19A0"/>
    <w:rsid w:val="007D4D75"/>
    <w:rsid w:val="007E7A3A"/>
    <w:rsid w:val="007F25CB"/>
    <w:rsid w:val="00806548"/>
    <w:rsid w:val="00820A6F"/>
    <w:rsid w:val="00821A9F"/>
    <w:rsid w:val="00830630"/>
    <w:rsid w:val="00832D07"/>
    <w:rsid w:val="0083451C"/>
    <w:rsid w:val="008355B2"/>
    <w:rsid w:val="008515FF"/>
    <w:rsid w:val="008541A7"/>
    <w:rsid w:val="00874E38"/>
    <w:rsid w:val="0088341E"/>
    <w:rsid w:val="00885FA0"/>
    <w:rsid w:val="00886B8D"/>
    <w:rsid w:val="008C1525"/>
    <w:rsid w:val="008C29DF"/>
    <w:rsid w:val="008C79BD"/>
    <w:rsid w:val="008C7C9A"/>
    <w:rsid w:val="008D779E"/>
    <w:rsid w:val="008F014E"/>
    <w:rsid w:val="008F59D1"/>
    <w:rsid w:val="0090432C"/>
    <w:rsid w:val="009103D6"/>
    <w:rsid w:val="0091306D"/>
    <w:rsid w:val="00916573"/>
    <w:rsid w:val="00922308"/>
    <w:rsid w:val="00931F30"/>
    <w:rsid w:val="00937E49"/>
    <w:rsid w:val="00940A07"/>
    <w:rsid w:val="0095455F"/>
    <w:rsid w:val="00954A5B"/>
    <w:rsid w:val="009633BA"/>
    <w:rsid w:val="00995582"/>
    <w:rsid w:val="009A0C14"/>
    <w:rsid w:val="009A5BBC"/>
    <w:rsid w:val="009B0DAA"/>
    <w:rsid w:val="009C541E"/>
    <w:rsid w:val="009F21B2"/>
    <w:rsid w:val="009F2CD2"/>
    <w:rsid w:val="00A039AB"/>
    <w:rsid w:val="00A254CB"/>
    <w:rsid w:val="00A278DB"/>
    <w:rsid w:val="00A50015"/>
    <w:rsid w:val="00A62A5E"/>
    <w:rsid w:val="00A776DC"/>
    <w:rsid w:val="00A8031B"/>
    <w:rsid w:val="00A8114B"/>
    <w:rsid w:val="00A82C2B"/>
    <w:rsid w:val="00A854BE"/>
    <w:rsid w:val="00A85F73"/>
    <w:rsid w:val="00A86B40"/>
    <w:rsid w:val="00A9011E"/>
    <w:rsid w:val="00A905F2"/>
    <w:rsid w:val="00A92357"/>
    <w:rsid w:val="00A95CF8"/>
    <w:rsid w:val="00AA5173"/>
    <w:rsid w:val="00AB17E1"/>
    <w:rsid w:val="00AD5F2E"/>
    <w:rsid w:val="00AE0D8D"/>
    <w:rsid w:val="00AE1E85"/>
    <w:rsid w:val="00AF0E7D"/>
    <w:rsid w:val="00AF4307"/>
    <w:rsid w:val="00B176DB"/>
    <w:rsid w:val="00B32D17"/>
    <w:rsid w:val="00B53DEB"/>
    <w:rsid w:val="00B55BCF"/>
    <w:rsid w:val="00B613C9"/>
    <w:rsid w:val="00B675F8"/>
    <w:rsid w:val="00B67EDB"/>
    <w:rsid w:val="00B8283B"/>
    <w:rsid w:val="00B82EF8"/>
    <w:rsid w:val="00B9360E"/>
    <w:rsid w:val="00BA1CB5"/>
    <w:rsid w:val="00BA50FA"/>
    <w:rsid w:val="00BA5857"/>
    <w:rsid w:val="00BC03C8"/>
    <w:rsid w:val="00BD1E0B"/>
    <w:rsid w:val="00BD2A12"/>
    <w:rsid w:val="00BD2A57"/>
    <w:rsid w:val="00BD6023"/>
    <w:rsid w:val="00BD6EB3"/>
    <w:rsid w:val="00BE11CE"/>
    <w:rsid w:val="00BE2A05"/>
    <w:rsid w:val="00BE40E0"/>
    <w:rsid w:val="00C212E3"/>
    <w:rsid w:val="00C264B7"/>
    <w:rsid w:val="00C315FD"/>
    <w:rsid w:val="00C37FCD"/>
    <w:rsid w:val="00C5002C"/>
    <w:rsid w:val="00C51EFA"/>
    <w:rsid w:val="00C60F97"/>
    <w:rsid w:val="00C6435F"/>
    <w:rsid w:val="00C64DD6"/>
    <w:rsid w:val="00C67527"/>
    <w:rsid w:val="00C91A32"/>
    <w:rsid w:val="00C9447A"/>
    <w:rsid w:val="00C9518A"/>
    <w:rsid w:val="00CA57BF"/>
    <w:rsid w:val="00CA697D"/>
    <w:rsid w:val="00CA77CF"/>
    <w:rsid w:val="00CB1A6B"/>
    <w:rsid w:val="00CB2F7B"/>
    <w:rsid w:val="00CC0407"/>
    <w:rsid w:val="00CD3BA4"/>
    <w:rsid w:val="00CD66A1"/>
    <w:rsid w:val="00CE33CC"/>
    <w:rsid w:val="00CE6131"/>
    <w:rsid w:val="00CE64A2"/>
    <w:rsid w:val="00CF1732"/>
    <w:rsid w:val="00CF4D90"/>
    <w:rsid w:val="00D00B16"/>
    <w:rsid w:val="00D0393A"/>
    <w:rsid w:val="00D074F4"/>
    <w:rsid w:val="00D3547F"/>
    <w:rsid w:val="00D4181B"/>
    <w:rsid w:val="00D54C75"/>
    <w:rsid w:val="00D55BC9"/>
    <w:rsid w:val="00D60F27"/>
    <w:rsid w:val="00D61F1E"/>
    <w:rsid w:val="00D669AA"/>
    <w:rsid w:val="00D748A2"/>
    <w:rsid w:val="00D81321"/>
    <w:rsid w:val="00D83A02"/>
    <w:rsid w:val="00D904E7"/>
    <w:rsid w:val="00DA0925"/>
    <w:rsid w:val="00DA3A69"/>
    <w:rsid w:val="00DA4D2C"/>
    <w:rsid w:val="00DA51B8"/>
    <w:rsid w:val="00DA5F0A"/>
    <w:rsid w:val="00DB1708"/>
    <w:rsid w:val="00DB4132"/>
    <w:rsid w:val="00DB5E86"/>
    <w:rsid w:val="00DC11E3"/>
    <w:rsid w:val="00DD3C66"/>
    <w:rsid w:val="00DD7856"/>
    <w:rsid w:val="00DE330A"/>
    <w:rsid w:val="00DF24D3"/>
    <w:rsid w:val="00DF4E8C"/>
    <w:rsid w:val="00DF6D8B"/>
    <w:rsid w:val="00E0470F"/>
    <w:rsid w:val="00E050CF"/>
    <w:rsid w:val="00E05F2D"/>
    <w:rsid w:val="00E1318A"/>
    <w:rsid w:val="00E222D8"/>
    <w:rsid w:val="00E272A8"/>
    <w:rsid w:val="00E275E0"/>
    <w:rsid w:val="00E35384"/>
    <w:rsid w:val="00E417C4"/>
    <w:rsid w:val="00E41DE7"/>
    <w:rsid w:val="00E5187A"/>
    <w:rsid w:val="00E54449"/>
    <w:rsid w:val="00E548AE"/>
    <w:rsid w:val="00E57B17"/>
    <w:rsid w:val="00E57D82"/>
    <w:rsid w:val="00E621C8"/>
    <w:rsid w:val="00E747B6"/>
    <w:rsid w:val="00E755DC"/>
    <w:rsid w:val="00E96673"/>
    <w:rsid w:val="00EA0570"/>
    <w:rsid w:val="00EA4660"/>
    <w:rsid w:val="00EB1E45"/>
    <w:rsid w:val="00EB222A"/>
    <w:rsid w:val="00EC122E"/>
    <w:rsid w:val="00EC3A05"/>
    <w:rsid w:val="00ED4AEF"/>
    <w:rsid w:val="00ED5CA1"/>
    <w:rsid w:val="00EE09C9"/>
    <w:rsid w:val="00EE62C8"/>
    <w:rsid w:val="00EE6582"/>
    <w:rsid w:val="00EF48D7"/>
    <w:rsid w:val="00EF59B6"/>
    <w:rsid w:val="00F13C19"/>
    <w:rsid w:val="00F17A7B"/>
    <w:rsid w:val="00F2095C"/>
    <w:rsid w:val="00F3010D"/>
    <w:rsid w:val="00F510F3"/>
    <w:rsid w:val="00F54584"/>
    <w:rsid w:val="00F6479A"/>
    <w:rsid w:val="00F666E9"/>
    <w:rsid w:val="00F704C9"/>
    <w:rsid w:val="00F82508"/>
    <w:rsid w:val="00F86413"/>
    <w:rsid w:val="00F87596"/>
    <w:rsid w:val="00FC0313"/>
    <w:rsid w:val="00FC0E6C"/>
    <w:rsid w:val="00FC5BA6"/>
    <w:rsid w:val="00FC644F"/>
    <w:rsid w:val="00FD01F9"/>
    <w:rsid w:val="00FD2583"/>
    <w:rsid w:val="00FD4579"/>
    <w:rsid w:val="00FE3F2F"/>
    <w:rsid w:val="00FE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D3443"/>
  <w15:docId w15:val="{FCC222B6-2350-4668-9339-DBF19B40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rPr>
  </w:style>
  <w:style w:type="character" w:customStyle="1" w:styleId="FootnoteTextChar">
    <w:name w:val="Footnote Text Char"/>
    <w:link w:val="FootnoteText"/>
    <w:rsid w:val="00197CB7"/>
    <w:rPr>
      <w:rFonts w:ascii="Arial" w:eastAsia="Calibri" w:hAnsi="Arial"/>
      <w:lang w:val="sq-AL" w:eastAsia="en-US"/>
    </w:rPr>
  </w:style>
  <w:style w:type="character" w:styleId="FootnoteReference">
    <w:name w:val="footnote reference"/>
    <w:unhideWhenUsed/>
    <w:rsid w:val="00197CB7"/>
    <w:rPr>
      <w:vertAlign w:val="superscript"/>
    </w:rPr>
  </w:style>
  <w:style w:type="paragraph" w:styleId="ListParagraph">
    <w:name w:val="List Paragraph"/>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link w:val="ListParagraph"/>
    <w:uiPriority w:val="34"/>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35F29"/>
    <w:rPr>
      <w:color w:val="0563C1" w:themeColor="hyperlink"/>
      <w:u w:val="single"/>
    </w:rPr>
  </w:style>
  <w:style w:type="character" w:customStyle="1" w:styleId="UnresolvedMention1">
    <w:name w:val="Unresolved Mention1"/>
    <w:basedOn w:val="DefaultParagraphFont"/>
    <w:uiPriority w:val="99"/>
    <w:semiHidden/>
    <w:unhideWhenUsed/>
    <w:rsid w:val="00235F29"/>
    <w:rPr>
      <w:color w:val="605E5C"/>
      <w:shd w:val="clear" w:color="auto" w:fill="E1DFDD"/>
    </w:rPr>
  </w:style>
  <w:style w:type="character" w:styleId="CommentReference">
    <w:name w:val="annotation reference"/>
    <w:basedOn w:val="DefaultParagraphFont"/>
    <w:uiPriority w:val="99"/>
    <w:semiHidden/>
    <w:unhideWhenUsed/>
    <w:rsid w:val="003C6E14"/>
    <w:rPr>
      <w:sz w:val="16"/>
      <w:szCs w:val="16"/>
    </w:rPr>
  </w:style>
  <w:style w:type="paragraph" w:styleId="CommentText">
    <w:name w:val="annotation text"/>
    <w:basedOn w:val="Normal"/>
    <w:link w:val="CommentTextChar"/>
    <w:uiPriority w:val="99"/>
    <w:semiHidden/>
    <w:unhideWhenUsed/>
    <w:rsid w:val="003C6E14"/>
    <w:pPr>
      <w:spacing w:line="240" w:lineRule="auto"/>
    </w:pPr>
    <w:rPr>
      <w:sz w:val="20"/>
      <w:szCs w:val="20"/>
    </w:rPr>
  </w:style>
  <w:style w:type="character" w:customStyle="1" w:styleId="CommentTextChar">
    <w:name w:val="Comment Text Char"/>
    <w:basedOn w:val="DefaultParagraphFont"/>
    <w:link w:val="CommentText"/>
    <w:uiPriority w:val="99"/>
    <w:semiHidden/>
    <w:rsid w:val="003C6E14"/>
    <w:rPr>
      <w:lang w:eastAsia="en-US"/>
    </w:rPr>
  </w:style>
  <w:style w:type="paragraph" w:styleId="CommentSubject">
    <w:name w:val="annotation subject"/>
    <w:basedOn w:val="CommentText"/>
    <w:next w:val="CommentText"/>
    <w:link w:val="CommentSubjectChar"/>
    <w:uiPriority w:val="99"/>
    <w:semiHidden/>
    <w:unhideWhenUsed/>
    <w:rsid w:val="003C6E14"/>
    <w:rPr>
      <w:b/>
      <w:bCs/>
    </w:rPr>
  </w:style>
  <w:style w:type="character" w:customStyle="1" w:styleId="CommentSubjectChar">
    <w:name w:val="Comment Subject Char"/>
    <w:basedOn w:val="CommentTextChar"/>
    <w:link w:val="CommentSubject"/>
    <w:uiPriority w:val="99"/>
    <w:semiHidden/>
    <w:rsid w:val="003C6E1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ban.imeri@kost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6427-84A1-41FD-BC29-F4E032C5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2797</Words>
  <Characters>15946</Characters>
  <Application>Microsoft Office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9</cp:revision>
  <cp:lastPrinted>2015-01-05T12:29:00Z</cp:lastPrinted>
  <dcterms:created xsi:type="dcterms:W3CDTF">2024-07-24T08:20:00Z</dcterms:created>
  <dcterms:modified xsi:type="dcterms:W3CDTF">2024-10-16T12:49:00Z</dcterms:modified>
</cp:coreProperties>
</file>