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49AE" w14:textId="634EDE3A" w:rsidR="001D6D6B" w:rsidRPr="00663B5B" w:rsidRDefault="00873186" w:rsidP="00873186">
      <w:pPr>
        <w:pStyle w:val="Title"/>
        <w:pBdr>
          <w:bottom w:val="single" w:sz="8" w:space="0" w:color="5B9BD5"/>
        </w:pBdr>
        <w:spacing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14:paraId="0ACD532F" w14:textId="77777777" w:rsidR="001D6D6B" w:rsidRPr="006424C4" w:rsidRDefault="001D6D6B" w:rsidP="001D6D6B">
      <w:pPr>
        <w:jc w:val="center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Prvi deo</w:t>
      </w:r>
    </w:p>
    <w:p w14:paraId="01FCE3AF" w14:textId="77777777" w:rsidR="001D6D6B" w:rsidRPr="000B7DF4" w:rsidRDefault="001D6D6B" w:rsidP="001D6D6B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b/>
        </w:rPr>
      </w:pPr>
    </w:p>
    <w:p w14:paraId="5DB75581" w14:textId="77777777" w:rsidR="001D6D6B" w:rsidRDefault="001D6D6B" w:rsidP="001D6D6B">
      <w:pPr>
        <w:pStyle w:val="ListParagraph"/>
        <w:numPr>
          <w:ilvl w:val="0"/>
          <w:numId w:val="5"/>
        </w:numPr>
        <w:spacing w:line="276" w:lineRule="auto"/>
        <w:ind w:left="360"/>
        <w:rPr>
          <w:b/>
          <w:szCs w:val="20"/>
          <w:rFonts w:cs="Arial"/>
        </w:rPr>
      </w:pPr>
      <w:r>
        <w:rPr>
          <w:b/>
        </w:rPr>
        <w:t xml:space="preserve">OPŠTE INFORMACIJE</w:t>
      </w:r>
    </w:p>
    <w:p w14:paraId="5D581580" w14:textId="77777777" w:rsidR="001D6D6B" w:rsidRPr="00C67842" w:rsidRDefault="001D6D6B" w:rsidP="001D6D6B">
      <w:pPr>
        <w:pStyle w:val="ListParagraph"/>
        <w:spacing w:line="276" w:lineRule="auto"/>
        <w:ind w:left="36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34"/>
        <w:gridCol w:w="5616"/>
      </w:tblGrid>
      <w:tr w:rsidR="001D6D6B" w:rsidRPr="008E3B9B" w14:paraId="11F0B17A" w14:textId="77777777" w:rsidTr="00E739C0">
        <w:trPr>
          <w:trHeight w:val="34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DBF12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AC6" w14:textId="09C1DF78" w:rsidR="001D6D6B" w:rsidRPr="001D26D4" w:rsidRDefault="00873186" w:rsidP="00D8753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sanacija i modernizacija železničke linije 10 (granica sa Srbijom - Lešak - Kosovo Polje - Elez Han - granica sa Severnom Makedonijom), 149,11 km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D6D6B" w:rsidRPr="008E3B9B" w14:paraId="5DC7696A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55D1A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8BB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1D6D6B" w:rsidRPr="008E3B9B" w14:paraId="142EFD83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3EE89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CE3D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1D6D6B" w:rsidRPr="008E3B9B" w14:paraId="3C53DA8B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04E19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82D" w14:textId="77777777" w:rsidR="001D6D6B" w:rsidRPr="00663B5B" w:rsidRDefault="001D6D6B" w:rsidP="00663B5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 (MŽSPPI) i Ministarstvo ekonomije (ME)</w:t>
            </w:r>
          </w:p>
          <w:p w14:paraId="4D39C553" w14:textId="77777777" w:rsidR="001D6D6B" w:rsidRPr="00663B5B" w:rsidRDefault="00663B5B" w:rsidP="00663B5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infrastuktura Kosova A.D.– INFRAKOS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D6D6B" w:rsidRPr="008E3B9B" w14:paraId="00B79A55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41DB9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29B" w14:textId="77777777" w:rsidR="001D6D6B" w:rsidRPr="001D26D4" w:rsidRDefault="00663B5B" w:rsidP="001D26D4">
            <w:pPr>
              <w:spacing w:before="60" w:after="60" w:line="260" w:lineRule="atLeast"/>
              <w:ind w:left="55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infrastuktura Kosova A.D.– INFRAKOS, MŽSPPI</w:t>
            </w:r>
          </w:p>
        </w:tc>
      </w:tr>
      <w:tr w:rsidR="001D6D6B" w:rsidRPr="008E3B9B" w14:paraId="466F1381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85013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E4A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i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color w:val="2F5496" w:themeColor="accent5" w:themeShade="BF"/>
                <w:sz w:val="20"/>
                <w:rFonts w:ascii="Arial" w:hAnsi="Arial"/>
              </w:rPr>
              <w:drawing>
                <wp:inline distT="0" distB="0" distL="0" distR="0" wp14:anchorId="753C419F" wp14:editId="23AE64FA">
                  <wp:extent cx="3422650" cy="3345807"/>
                  <wp:effectExtent l="0" t="0" r="6350" b="762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957" cy="346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D6B" w:rsidRPr="008E3B9B" w14:paraId="7E532E20" w14:textId="77777777" w:rsidTr="00E739C0">
        <w:trPr>
          <w:trHeight w:val="330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C0A17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procenjena investicija:</w:t>
            </w:r>
          </w:p>
          <w:p w14:paraId="362BE01C" w14:textId="77777777" w:rsidR="001D6D6B" w:rsidRPr="008E3B9B" w:rsidRDefault="001D6D6B" w:rsidP="00D8753B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14:paraId="4C415E26" w14:textId="77777777" w:rsidR="001D6D6B" w:rsidRPr="008E3B9B" w:rsidRDefault="001D6D6B" w:rsidP="00D8753B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Građevinski radovi</w:t>
            </w:r>
          </w:p>
          <w:p w14:paraId="02C5B8B1" w14:textId="77777777" w:rsidR="001D6D6B" w:rsidRPr="008E3B9B" w:rsidRDefault="001D6D6B" w:rsidP="00D8753B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Nadzor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C74" w14:textId="54208834" w:rsidR="001D6D6B" w:rsidRPr="00663B5B" w:rsidRDefault="00540AA5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investicija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  <w:r>
              <w:rPr>
                <w:b/>
                <w:sz w:val="20"/>
                <w:rFonts w:ascii="Arial" w:hAnsi="Arial"/>
              </w:rPr>
              <w:t xml:space="preserve">323.765.000,00 EUR</w:t>
            </w:r>
          </w:p>
          <w:p w14:paraId="3829BA26" w14:textId="77777777" w:rsidR="001D6D6B" w:rsidRPr="00663B5B" w:rsidRDefault="001D6D6B" w:rsidP="00D8753B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14:paraId="33D725E3" w14:textId="64037B67" w:rsidR="001D6D6B" w:rsidRPr="001D26D4" w:rsidRDefault="001D6D6B" w:rsidP="00D8753B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rPr>
                <w:sz w:val="20"/>
                <w:szCs w:val="20"/>
                <w:rFonts w:eastAsia="Times New Roman" w:cs="Arial"/>
              </w:rPr>
            </w:pPr>
            <w:r>
              <w:rPr>
                <w:sz w:val="20"/>
              </w:rPr>
              <w:t xml:space="preserve">Pripremne aktivnosti: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4.998.000,00 EUR</w:t>
            </w:r>
          </w:p>
          <w:p w14:paraId="5FD54663" w14:textId="1D03DC4B" w:rsidR="001D6D6B" w:rsidRPr="001D26D4" w:rsidRDefault="001D6D6B" w:rsidP="00D8753B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rPr>
                <w:sz w:val="20"/>
                <w:szCs w:val="20"/>
                <w:rFonts w:eastAsia="Times New Roman" w:cs="Arial"/>
              </w:rPr>
            </w:pPr>
            <w:r>
              <w:rPr>
                <w:sz w:val="20"/>
              </w:rPr>
              <w:t xml:space="preserve">Građevinski radovi: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307.678.000,00 EUR</w:t>
            </w:r>
          </w:p>
          <w:p w14:paraId="13FA2467" w14:textId="4ACB2612" w:rsidR="001D6D6B" w:rsidRPr="00663B5B" w:rsidRDefault="00442DE7" w:rsidP="00D8753B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rPr>
                <w:sz w:val="20"/>
                <w:szCs w:val="20"/>
                <w:rFonts w:eastAsia="Times New Roman" w:cs="Arial"/>
              </w:rPr>
            </w:pPr>
            <w:r>
              <w:rPr>
                <w:sz w:val="20"/>
              </w:rPr>
              <w:t xml:space="preserve">Nadzor: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11.089.000,00 EUR</w:t>
            </w:r>
          </w:p>
        </w:tc>
      </w:tr>
      <w:tr w:rsidR="001D6D6B" w:rsidRPr="008E3B9B" w14:paraId="49916E38" w14:textId="77777777" w:rsidTr="00E739C0">
        <w:trPr>
          <w:trHeight w:val="34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D6FFE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528A" w14:textId="77777777" w:rsidR="001D6D6B" w:rsidRPr="00663B5B" w:rsidRDefault="001D6D6B" w:rsidP="00D8753B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Naser Krasnići</w:t>
            </w:r>
          </w:p>
        </w:tc>
      </w:tr>
      <w:tr w:rsidR="001D6D6B" w:rsidRPr="008E3B9B" w14:paraId="65AB7A0E" w14:textId="77777777" w:rsidTr="00E739C0">
        <w:trPr>
          <w:trHeight w:val="34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E3E5F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F28" w14:textId="77777777" w:rsidR="001D6D6B" w:rsidRPr="00663B5B" w:rsidRDefault="001D6D6B" w:rsidP="00D8753B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Izvršni direktor Železničke infrastukture Kosova A.D. - INFRAKOS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D6D6B" w:rsidRPr="008E3B9B" w14:paraId="3001F474" w14:textId="77777777" w:rsidTr="00E739C0">
        <w:trPr>
          <w:trHeight w:val="34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653D5" w14:textId="77777777" w:rsidR="001D6D6B" w:rsidRPr="008E3B9B" w:rsidRDefault="001D6D6B" w:rsidP="00D8753B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009" w14:textId="77777777" w:rsidR="001D6D6B" w:rsidRPr="00663B5B" w:rsidRDefault="00E739C0" w:rsidP="00D8753B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hyperlink r:id="rId6" w:history="1">
              <w:r>
                <w:rPr>
                  <w:rStyle w:val="Hyperlink"/>
                  <w:sz w:val="20"/>
                  <w:rFonts w:ascii="Arial" w:hAnsi="Arial"/>
                </w:rPr>
                <w:t xml:space="preserve">naser.krasniqi@kosovorailway.com</w:t>
              </w:r>
            </w:hyperlink>
            <w:r>
              <w:rPr>
                <w:sz w:val="20"/>
                <w:rFonts w:ascii="Arial" w:hAnsi="Arial"/>
              </w:rPr>
              <w:t xml:space="preserve">;</w:t>
            </w:r>
          </w:p>
          <w:p w14:paraId="3822F446" w14:textId="77777777" w:rsidR="001D6D6B" w:rsidRPr="00663B5B" w:rsidRDefault="00663B5B" w:rsidP="00D8753B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+383 38 550 550 505</w:t>
            </w:r>
          </w:p>
        </w:tc>
      </w:tr>
    </w:tbl>
    <w:p w14:paraId="560BC382" w14:textId="77777777" w:rsidR="001D6D6B" w:rsidRDefault="001D6D6B" w:rsidP="001D6D6B">
      <w:pPr>
        <w:pStyle w:val="ListParagraph"/>
        <w:spacing w:line="276" w:lineRule="auto"/>
        <w:ind w:left="360"/>
        <w:rPr>
          <w:rFonts w:cs="Arial"/>
          <w:b/>
          <w:szCs w:val="20"/>
        </w:rPr>
      </w:pPr>
    </w:p>
    <w:p w14:paraId="1C582300" w14:textId="77777777" w:rsidR="001D6D6B" w:rsidRDefault="001D6D6B" w:rsidP="001D6D6B">
      <w:pPr>
        <w:pStyle w:val="ListParagraph"/>
        <w:numPr>
          <w:ilvl w:val="0"/>
          <w:numId w:val="5"/>
        </w:numPr>
        <w:spacing w:line="276" w:lineRule="auto"/>
        <w:ind w:left="360"/>
        <w:rPr>
          <w:b/>
          <w:szCs w:val="20"/>
          <w:rFonts w:cs="Arial"/>
        </w:rPr>
      </w:pPr>
      <w:r>
        <w:rPr>
          <w:b/>
        </w:rPr>
        <w:t xml:space="preserve">OPIS PROJEKTA</w:t>
      </w:r>
    </w:p>
    <w:p w14:paraId="7C43897E" w14:textId="77777777" w:rsidR="001D6D6B" w:rsidRPr="00C67842" w:rsidRDefault="001D6D6B" w:rsidP="001D6D6B">
      <w:pPr>
        <w:pStyle w:val="ListParagraph"/>
        <w:spacing w:before="240" w:line="276" w:lineRule="auto"/>
        <w:ind w:left="360"/>
        <w:rPr>
          <w:rFonts w:cs="Arial"/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61"/>
        <w:gridCol w:w="5589"/>
      </w:tblGrid>
      <w:tr w:rsidR="001D6D6B" w:rsidRPr="008E3B9B" w14:paraId="58435337" w14:textId="77777777" w:rsidTr="00D8753B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EA674" w14:textId="77777777" w:rsidR="001D6D6B" w:rsidRPr="008E3B9B" w:rsidRDefault="001D6D6B" w:rsidP="00D8753B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765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Postojeće železničke linije na Kosovu su u lošem stanju.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Vladina strategija je razvoj železničkog saobraćaja, u ovom kontekstu posebno železničke trase 10.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Stoga je specifičan cilj ovog projekta sanacija i modernizacija železničke linije 10 u cilju povećanja bezbednosti, brzine, kapaciteta, kao i interoperabilne železničke infrastrukture zasnovane na standardima EU, kroz koje će se podržati siguran železnički saobraćaj i otvaranje železničkog tržišta za domaća, regionalna i međunarodna železnička preduzeća.</w:t>
            </w:r>
          </w:p>
          <w:p w14:paraId="3EA553EE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železničke trase 10 je od velikog interesa za Kosovo i pruža regionalnu ekonomsku, socijalnu i ekološku korist.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Kosovska preduzeća i industrija će imati potencijalni rast i bolje veze sa Srbijom, Severnom Makedonijom i preduzećima šireg regiona.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projekat je od velikog društvenog i ekonomskog interesa s obzirom na to da povezanost, posebno saobraćajne veze, doprinosi rastu omogućavajući kretanje roba, usluga, kapitala, ljudi i informacija između zemalja.</w:t>
            </w:r>
          </w:p>
          <w:p w14:paraId="67919D10" w14:textId="77777777" w:rsidR="001D6D6B" w:rsidRPr="008E3B9B" w:rsidRDefault="00540AA5" w:rsidP="00540AA5">
            <w:pPr>
              <w:spacing w:before="60" w:after="60" w:line="260" w:lineRule="atLeast"/>
              <w:contextualSpacing/>
              <w:jc w:val="both"/>
              <w:rPr>
                <w:i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Kroz realizaciju ovog projekta, Kosovo će imati dobru vezu sa regionalnim železnicama i panevropskim koridorima, povećan broj ljudi sa poboljšanim pristupom uslugama; i povećan broj zaposlenih u fazi izgradnje i kroz rad i održavanje.</w:t>
            </w:r>
          </w:p>
        </w:tc>
      </w:tr>
      <w:tr w:rsidR="001D6D6B" w:rsidRPr="008E3B9B" w14:paraId="76B4EA94" w14:textId="77777777" w:rsidTr="00D8753B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E1B" w14:textId="77777777" w:rsidR="001D6D6B" w:rsidRPr="008E3B9B" w:rsidRDefault="001D6D6B" w:rsidP="00D8753B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595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Razvojem ovog projekta INFRAKOS će realizovati neophodnu opštu sanaciju i modernizaciju ove pruge kako bi imala interoperabilnu železničku infrastrukturu kroz koju će se podržati siguran železnički transport i otvaranje železničkog tržišta za domaća, regionalna i međunarodna železnička preduzeća.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Glavni akteri na koje utiče ovaj projekat su Javno železničko preduzeće Kosova (TRAINKOS) i sva druga železnička preduzeća (lokalna, regionalna i EU) kao potencijalni korisnici ove infrastrukture u budućnosti.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6ED4B74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sanacija železničke trase 10 je preduslov za razvoj železničkog sektora na Kosovu, a sprovođenje ovog projekta će za posledicu imati: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78746F10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Povećane uslove bezbednosti i brzine na ovoj pruzi;</w:t>
            </w:r>
          </w:p>
          <w:p w14:paraId="25D5B56C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Interoperabilna železnička infrastruktura kao veza između susednih zemalja i šireg regiona;</w:t>
            </w:r>
          </w:p>
          <w:p w14:paraId="129DA669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Bolji uslovi za razvoj putničkog i teretnog saobraćaja;</w:t>
            </w:r>
          </w:p>
          <w:p w14:paraId="4505CA22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Povećani ekonomski rast i društveni razvoj;</w:t>
            </w:r>
          </w:p>
          <w:p w14:paraId="0A2858D7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Olakšane trgovinske i ekonomske veze sa susednim zemljama i državama članicama EU;</w:t>
            </w:r>
          </w:p>
          <w:p w14:paraId="48E4E574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transportnih kapaciteta;</w:t>
            </w:r>
          </w:p>
          <w:p w14:paraId="10437992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Razvoj multimodalnog i intermodalnog transporta na Kosovu i šire;</w:t>
            </w:r>
          </w:p>
          <w:p w14:paraId="079B9522" w14:textId="77777777" w:rsidR="001D6D6B" w:rsidRPr="00663B5B" w:rsidRDefault="001D6D6B" w:rsidP="00D8753B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Biti deo regionalne i EU integrisane železničke mreže.</w:t>
            </w:r>
          </w:p>
        </w:tc>
      </w:tr>
      <w:tr w:rsidR="001D6D6B" w:rsidRPr="008E3B9B" w14:paraId="16DD4997" w14:textId="77777777" w:rsidTr="00D8753B">
        <w:trPr>
          <w:trHeight w:val="190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81692" w14:textId="77777777" w:rsidR="001D6D6B" w:rsidRPr="008E3B9B" w:rsidRDefault="00540AA5" w:rsidP="00D8753B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A9C" w14:textId="77777777" w:rsidR="001D6D6B" w:rsidRPr="00663B5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trasa 10 pretrpela je značajna oštećenja u periodu 1990-1999, od kojih su neka delimično popravljena.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Nivo redovnog održavanja u istom periodu smanjen je na minimum što je rezultiralo trenutnim podstandardnim stanjem linije.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Maksimalne brzine su smanjene na 60-70 km/h, a u nekim specifičnim slučajevima maksimalna brzina je čak 20 km/h iz bezbednosnih razloga (npr. deonice sa tunelima).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408615A8" w14:textId="77777777" w:rsidR="001D6D6B" w:rsidRPr="00663B5B" w:rsidRDefault="00663B5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trasa 10 na Kosovu obuhvata neelektrifikovanu železničku prugu dužine 149,11 km sa jednim kolosekom standardnog koloseka (1435 mm) na centralnom Kosovu.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Sanacija će omogućiti rad do 120 km/h na većini deonica pruge uz osovinsko opterećenje od 22,5 tona u skladu sa standardima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Ovi standardi se ne mogu postići bez realizacije projekta generalne sanacije i modernizacije.</w:t>
            </w:r>
            <w:r>
              <w:rPr>
                <w:sz w:val="20"/>
                <w:rFonts w:ascii="Arial" w:hAnsi="Arial"/>
              </w:rPr>
              <w:t xml:space="preserve">  </w:t>
            </w:r>
          </w:p>
          <w:p w14:paraId="72F9B6B4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i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trasa 10 je deo indikativnog proširenja SEETO osnovne mreže do TEN-T i ova linija je alternativna linija Panevropskog koridora X, koja povezuje Lapovo (Srbija) – Kosovo Polje (Kosovo) – Skoplje (Severna Makedonija).</w:t>
            </w:r>
            <w:r>
              <w:rPr>
                <w:sz w:val="20"/>
                <w:rFonts w:ascii="Arial" w:hAnsi="Arial"/>
              </w:rPr>
              <w:cr/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očiglednu stratešku dimenziju sa regionalnog aspekta za razvoj železničkog saobraćaja.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70E30E13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Ovo je regionalni projekat koji povezuje Kosovo i susedne zemlje; doprinosi regionalnoj koheziji i pomoći će u razvoju besprekornih veza za putnike i teret na Zapadnom Balkanu.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je glavna direktna železnička veza između Srbije, Kosova i Severne Makedonije.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519FE450" w14:textId="77777777" w:rsidR="001D6D6B" w:rsidRPr="00663B5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tekući projekat je podeljen u tri faze:</w:t>
            </w:r>
          </w:p>
          <w:p w14:paraId="7E06C32D" w14:textId="77777777" w:rsidR="001D6D6B" w:rsidRPr="00663B5B" w:rsidRDefault="001D6D6B" w:rsidP="00D8753B">
            <w:pPr>
              <w:numPr>
                <w:ilvl w:val="0"/>
                <w:numId w:val="3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1. faza – deonica: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Granica sa Severnom Makedonijom - Elez Han - Kosovo Polje;</w:t>
            </w:r>
          </w:p>
          <w:p w14:paraId="647A87B0" w14:textId="77777777" w:rsidR="001D6D6B" w:rsidRPr="00663B5B" w:rsidRDefault="001D6D6B" w:rsidP="00D8753B">
            <w:pPr>
              <w:numPr>
                <w:ilvl w:val="0"/>
                <w:numId w:val="3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2. faza – deonica: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Kosovo Polje – Mitrovica;</w:t>
            </w:r>
          </w:p>
          <w:p w14:paraId="4BB44BF8" w14:textId="77777777" w:rsidR="001D6D6B" w:rsidRPr="00663B5B" w:rsidRDefault="001D6D6B" w:rsidP="00D8753B">
            <w:pPr>
              <w:numPr>
                <w:ilvl w:val="0"/>
                <w:numId w:val="3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3. faza – deonica: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Mitrovica - Lešak - Granica sa Srbijom.</w:t>
            </w:r>
          </w:p>
          <w:p w14:paraId="6B062D9F" w14:textId="7FA302C3" w:rsidR="001D6D6B" w:rsidRPr="00663B5B" w:rsidRDefault="001D6D6B" w:rsidP="00D8753B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cilju postizanja projektovane brzine i povećanja bezbednosnih uslova, hitna je potreba za opštom sanacijom i modernizacijom ove pruge.</w:t>
            </w:r>
          </w:p>
          <w:p w14:paraId="67111EF3" w14:textId="77777777" w:rsidR="001D6D6B" w:rsidRPr="00663B5B" w:rsidRDefault="001D6D6B" w:rsidP="00D8753B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Nakon opšte sanacije i modernizacije, železnička trasa 10 će ispuniti tehničke specifikacije o interoperabilnosti (TSI), evropski sistem upravljanja železničkim saobraćajem (ERTMS) i evropski sistem kontrole vozova (ETCS - nivo 1 sa ispunom).</w:t>
            </w:r>
          </w:p>
        </w:tc>
      </w:tr>
    </w:tbl>
    <w:p w14:paraId="425CDC41" w14:textId="77777777" w:rsidR="001D6D6B" w:rsidRDefault="001D6D6B" w:rsidP="001D6D6B">
      <w:pPr>
        <w:spacing w:before="240" w:line="276" w:lineRule="auto"/>
        <w:ind w:left="340"/>
        <w:contextualSpacing/>
        <w:rPr>
          <w:rFonts w:ascii="Arial" w:hAnsi="Arial" w:cs="Arial"/>
          <w:b/>
          <w:bCs/>
          <w:szCs w:val="20"/>
        </w:rPr>
      </w:pPr>
    </w:p>
    <w:p w14:paraId="7F7A7E81" w14:textId="77777777" w:rsidR="001D6D6B" w:rsidRPr="00C67842" w:rsidRDefault="001D6D6B" w:rsidP="001D6D6B">
      <w:pPr>
        <w:pStyle w:val="ListParagraph"/>
        <w:numPr>
          <w:ilvl w:val="0"/>
          <w:numId w:val="5"/>
        </w:numPr>
        <w:spacing w:line="276" w:lineRule="auto"/>
        <w:ind w:left="360"/>
        <w:rPr>
          <w:b/>
          <w:bCs/>
          <w:szCs w:val="24"/>
          <w:rFonts w:cs="Arial"/>
        </w:rPr>
      </w:pPr>
      <w:r>
        <w:rPr>
          <w:b/>
        </w:rPr>
        <w:t xml:space="preserve">PODOBNOST</w:t>
      </w:r>
    </w:p>
    <w:p w14:paraId="1954135A" w14:textId="77777777" w:rsidR="001D6D6B" w:rsidRPr="00C67842" w:rsidRDefault="001D6D6B" w:rsidP="001D6D6B">
      <w:pPr>
        <w:pStyle w:val="ListParagraph"/>
        <w:spacing w:line="276" w:lineRule="auto"/>
        <w:ind w:left="360"/>
        <w:rPr>
          <w:rFonts w:cs="Arial"/>
          <w:b/>
          <w:bC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61"/>
        <w:gridCol w:w="5889"/>
      </w:tblGrid>
      <w:tr w:rsidR="001D6D6B" w:rsidRPr="008E3B9B" w14:paraId="31059E4C" w14:textId="77777777" w:rsidTr="00D8753B">
        <w:trPr>
          <w:trHeight w:val="346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71A2B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važećim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BF7B" w14:textId="77777777" w:rsidR="001D6D6B" w:rsidRPr="00B93415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trasa 10 je deo indikativnog proširenja Ključne mreže SEETO na Transevropsku transportnu mrežu (TEN-T).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očiglednu stratešku dimenziju sa regionalnog aspekta za razvoj železničkog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Modernizacija železničke infrastrukture povezivanjem na panevropske koridore smatra se jednim od ciljeva Strategije za evropske integracije.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5145C60C" w14:textId="77777777" w:rsidR="001D6D6B" w:rsidRPr="00B93415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Ekonomskom i investicionom planu za zapadni Balkan, Brisel, 6.10.2020, navodi se da će „EU dati prioritet projektima i programima indikativnog proširenja transevropske transportne mreže (TEN-T) koji su od strateškog interesa za regionu i EU“.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Železnička trasa 10 je deo TEN-T osnovne mreže.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Plan predviđa „POVEZIVANJE SEVERA SA JUGOM: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Glavne veze sever-jug biće završene ili unapređene do 2024. godine – železnička trasa koja povezuje Beograd sa Prištinom biće dalje unapređena kroz građevinske radove na Kosovu i izradom neophodne tehničke dokumentacije za radove na sanaciji u Srbiji.”</w:t>
            </w:r>
            <w:r>
              <w:rPr>
                <w:sz w:val="20"/>
                <w:rFonts w:ascii="Arial" w:hAnsi="Arial"/>
              </w:rPr>
              <w:cr/>
            </w:r>
            <w:r>
              <w:rPr>
                <w:sz w:val="20"/>
                <w:rFonts w:ascii="Arial" w:hAnsi="Arial"/>
              </w:rPr>
              <w:br/>
            </w:r>
          </w:p>
          <w:p w14:paraId="7CCB97A4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drawing>
                <wp:anchor distT="0" distB="0" distL="114300" distR="114300" simplePos="0" relativeHeight="251659264" behindDoc="0" locked="0" layoutInCell="1" allowOverlap="1" wp14:anchorId="74649A2B" wp14:editId="527B4B2C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76835</wp:posOffset>
                  </wp:positionV>
                  <wp:extent cx="3561715" cy="2861945"/>
                  <wp:effectExtent l="0" t="0" r="635" b="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715" cy="286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rFonts w:ascii="Arial" w:hAnsi="Arial"/>
              </w:rPr>
              <w:t xml:space="preserve">Takođe, u Planu se navodi da su brze i efikasne transportne veze, kako unutar regiona, tako i sa susednim državama članicama EU, i održivi transport sa daljim ulaganjem u železnicu i unutrašnje plovne puteve od ključne važnosti.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promoviše „dalju regionalnu saradnju i integraciju, povezujući prestonice u regionu i sa EU“ i promoviše „multimodalna transportna rešenja i modalnu promenu, kao i smanjenje zagađenja u vezi sa transportom“.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Dakle, Plan predviđa da će se „preduzeti radnje na ubrzanju izgradnje nove saobraćajne infrastrukture i nadogradnje postojeće infrastrukture, u cilju dovođenja osnovne saobraćajne mreže do standarda EU“.</w:t>
            </w:r>
          </w:p>
          <w:p w14:paraId="29857440" w14:textId="77777777" w:rsid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Prema Evropskom zelenom dogovoru, Brisel, 11.12.2019.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7FC996E2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„Znatan deo od 75 odsto unutrašnjeg tereta koji se danas prevozi drumom, treba da se prebaci na železnicu i unutrašnje plovne puteve.</w:t>
            </w:r>
          </w:p>
          <w:p w14:paraId="73AE61EC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Smernice za sprovođenje Zelene agende za Zapadni Balkan, Brisel, 6.10.2020, smatraju revitalizaciju železničke mreže kao glavni prioritet i da je potrebna promocija multimodalnih transportnih rešenja i modalne promene, kroz ciljane politike, uključujući i ulaganja u unutrašnje plovne puteve.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navodi se da treba obezbediti „implementaciju tehničkih standarda EU u svim vidovima transporta, a posebno u Evropskom sistemu upravljanja železničkim saobraćajem“.</w:t>
            </w:r>
          </w:p>
          <w:p w14:paraId="03EF8476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Verodostojna perspektiva proširenja i pojačan angažman EU na Zapadnom Balkanu, Strazbur, 6.2.2018, navodi da je „politički prioritet povezati infrastrukturu i između EU i Zapadnog Balkana i ubrzati razvoj međusobno povezanih transevropskih mreža u oblastima transporta, energetike i digitalnih usluga.”</w:t>
            </w:r>
          </w:p>
          <w:p w14:paraId="16B961BC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održive i pametne mobilnosti, Brisel, 9.12.2020, glasi: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„Mobilnost u Evropi treba da se zasniva na efikasnom i međusobno povezanom multimodalnom transportnom sistemu, kako za putnike tako i za teret, poboljšanom pristupačnom brzom železničkom mrežom, obilnim infrastrukturamaza punjenje i dopunu goriva za vozila sa nultom emisijom i snabdevanje obnovljivim i niskougljeničnim gorivima, čistijom i aktivnijom mobilnošću u zelenijim gradovima koji doprinose dobrom zdravlju i blagostanju svojih građana.”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Ista strategija predviđa da će se do 2030. godine brzi železnički saobraćaj udvostručiti, a da se do 2050. godine udvostruči teretni, a utrostruči brzi železnički saobraćaj.</w:t>
            </w:r>
            <w:r>
              <w:rPr>
                <w:sz w:val="20"/>
                <w:rFonts w:ascii="Arial" w:hAnsi="Arial"/>
              </w:rPr>
              <w:t xml:space="preserve">  </w:t>
            </w:r>
            <w:r>
              <w:rPr>
                <w:sz w:val="20"/>
                <w:rFonts w:ascii="Arial" w:hAnsi="Arial"/>
              </w:rPr>
              <w:t xml:space="preserve">Takođe, predviđeno je da „multimodalna transevropska transportna mreža (TEN-T) opremljena za održiv i pametan transport sa velikom brzinom povezivanja bude operativna za sveobuhvatnu mrežu“.</w:t>
            </w:r>
          </w:p>
          <w:p w14:paraId="60E72BFB" w14:textId="77777777" w:rsidR="001D6D6B" w:rsidRPr="00F7553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održivu i pametnu mobilnost na Zapadnom Balkanu, jul 2021. navodi da su „potrebne intervencije da bi se povećao kapacitet železnice i omogućile konkurentnije železničke usluge“.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u Strategiji se navodi da: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1F8F2F5A" w14:textId="77777777" w:rsidR="001D6D6B" w:rsidRPr="00F7553B" w:rsidRDefault="001D6D6B" w:rsidP="00D875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2023. godine trebalo bi ponovo uspostaviti međugradski železnički saobraćaj između prestonica Zapadnog Balkana, na postojećim vezama;</w:t>
            </w:r>
          </w:p>
          <w:p w14:paraId="53184A23" w14:textId="77777777" w:rsidR="001D6D6B" w:rsidRPr="00F7553B" w:rsidRDefault="001D6D6B" w:rsidP="00D875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2030. godine, železnički teretni saobraćaj će porasti za 20 odsto.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treba da se udvostruči do 2050. godine;</w:t>
            </w:r>
          </w:p>
          <w:p w14:paraId="65E114A0" w14:textId="77777777" w:rsidR="001D6D6B" w:rsidRPr="00F7553B" w:rsidRDefault="001D6D6B" w:rsidP="00D875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2035. godine, osnovna železnička mreža će biti usklađena sa TEN-T standardima;</w:t>
            </w:r>
          </w:p>
          <w:p w14:paraId="06E13E42" w14:textId="77777777" w:rsidR="001D6D6B" w:rsidRPr="00F7553B" w:rsidRDefault="001D6D6B" w:rsidP="00D875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2035. godine, železnički i vodeni intermodalni transport će se ravnopravno takmičiti sa drumskim transportom na Zapadnom Balkanu.</w:t>
            </w:r>
          </w:p>
          <w:p w14:paraId="0A1E0E52" w14:textId="77777777" w:rsidR="001D6D6B" w:rsidRPr="00F7553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Četvrti železnički paket EU (2013) predviđa poboljšanje interoperabilnosti i bezbednosti nacionalnih mreža i razvoj infrastrukture železničkog saobraćaja.</w:t>
            </w:r>
          </w:p>
          <w:p w14:paraId="3E1816F0" w14:textId="77777777" w:rsidR="001D6D6B" w:rsidRPr="00F7553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Jedan od ciljeva EBRD-a navedenih u Strategiji transportnog sektora (2019-2024), oktobar 2019, jeste „ulaganje u sanaciju i proširenje nacionalne, regionalne i prigradske železničke infrastrukture i signalizacije, kako bi se poboljšao pristup tržištima i uslugama, i stvorile veze sa ključnim transportnim mrežama i koridorima, uključujući TEN-T, VBCN, CAREC, TRACECA i BRI u ekonomijama u koje Banka investira.”</w:t>
            </w:r>
          </w:p>
          <w:p w14:paraId="3D34C30A" w14:textId="77777777" w:rsidR="001D6D6B" w:rsidRPr="00F7553B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2021-2027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„Unapređenje održive povezanosti unutar korisnika IPA III, kao i između njih i Evropske unije, ključni je faktor rasta i doneće jasne koristi za privrede i građane regiona.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Saobraćajni sektor ima snažan potencijal da doprinese konkurentnosti i trgovini.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Konkurentna, održiva i ekološki prihvatljiva transportna rešenja zahtevaće efikasno kombinovanje vidova transporta drumskim, železničkim, pomorskim i unutrašnjim plovnim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Stoga postoji posebna potreba za većom multimodalnošću, dekarbonizacijom i elektrifikacijom.”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Moderna mreža infrastrukture neće služiti maloj svrsi ako institucionalni i regulatorni okviri ne budu ojačani i usklađeni sa uslovima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 sektoru transporta to znači pružanje podrške za promovisanje efikasnog i održivog upravljanja fizičkim sredstvima, uvođenje tehničkih standarda usklađenih sa EU, pojednostavljivanje procedura prelaska granice i jačanje kapaciteta graničnih prelaza.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To takođe znači završetak puteva, reforme pomorskog, železničkog i vazdušnog tržišta.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napominje se da su „ključne brze i efikasne transportne veze, kako unutar regiona, tako i sa susednim državama članicama EU, i ozelenjavanje saobraćaja uz dalja ulaganja u železnicu i plovne puteve.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 tom kontekstu, da bi se dalje podstakla regionalna saradnja i integracija, povezivanje prestonica u regionu i sa EU biće važan prioritet.</w:t>
            </w:r>
          </w:p>
          <w:p w14:paraId="0E5A15DE" w14:textId="77777777" w:rsidR="001D6D6B" w:rsidRPr="008E3B9B" w:rsidRDefault="001D6D6B" w:rsidP="00D8753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i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takođe u skladu sa Ugovorom o uspostavljanju Transportne zajednice (2017), koji između ostalog opisuje potrebu za indikativnom transevropskom transportnom mrežom (TEN-T) proširenja sveobuhvatnih i osnovnih mreža na Zapadni Balkan.</w:t>
            </w:r>
          </w:p>
        </w:tc>
      </w:tr>
      <w:tr w:rsidR="001D6D6B" w:rsidRPr="008E3B9B" w14:paraId="2EEF4190" w14:textId="77777777" w:rsidTr="00D8753B">
        <w:trPr>
          <w:trHeight w:val="330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68960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175" w14:textId="77777777" w:rsidR="001D6D6B" w:rsidRPr="00B90718" w:rsidRDefault="001D6D6B" w:rsidP="00D8753B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povezanosti unutar našeg regiona kao i sa EU je ključni faktor za rast i zapošljavanje na ZB.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Realizacijom ovog projekta INFRAKOS i Ministarstvo životne sredine, prostornog planiranja i infrastrukture ispuniće deo svojih razvojnih strategija.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Modernizacija železničke infrastrukture povezivanjem na panevropske koridore smatra se jednim od vladinih ciljeva Nacionalnog programa za evropske integracije 2023-2027.</w:t>
            </w:r>
          </w:p>
          <w:p w14:paraId="43DBD737" w14:textId="77777777" w:rsidR="001D6D6B" w:rsidRPr="00B90718" w:rsidRDefault="001D6D6B" w:rsidP="00D8753B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 skladu sa Sporazumom o stabilizaciji i pridruživanju (SSP), između Kosova i Evropske unije kao što je navedeno u članu 113 ovog Sporazuma:</w:t>
            </w:r>
          </w:p>
          <w:p w14:paraId="63DC3E48" w14:textId="77777777" w:rsidR="00015A4E" w:rsidRDefault="001D6D6B" w:rsidP="00015A4E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bi mogla posebno da ima za cilj restrukturiranje i modernizaciju transportnih sistema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povezanog sa sistemom EU, i poboljšanje zaštite životne sredine u oblasti transporta.”</w:t>
            </w:r>
          </w:p>
          <w:p w14:paraId="134E402D" w14:textId="77777777" w:rsidR="001D6D6B" w:rsidRPr="00015A4E" w:rsidRDefault="001D6D6B" w:rsidP="00015A4E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Programu vlade Republike Kosova 2021 – 2025, vlada naglašava svoju posvećenost stvaranju integrisanog sistema drumskog, železničkog i vazdušnog saobraćaja, u cilju ekonomskog razvoja, i modernizacije i razvoja železničke infrastrukture u cilju za pružanje održivijih usluga.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3C00C707" w14:textId="77777777" w:rsidR="00B90718" w:rsidRPr="00B90718" w:rsidRDefault="00B90718" w:rsidP="00B90718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 2024-2026 predviđa da bi dalje povezivanje sa susednim zemljama ojačalo integraciju zemlje u regionalno tržište.</w:t>
            </w:r>
          </w:p>
          <w:p w14:paraId="04E038BB" w14:textId="77777777" w:rsidR="001D6D6B" w:rsidRPr="00B9071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2023-2027 promoviše modernu i bolju regionalnu železničku infrastrukturu, u cilju povezivanja na panevropske koridore.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8ED019A" w14:textId="77777777" w:rsidR="001D6D6B" w:rsidRPr="00B9071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Strateški i operativni planovi Vlade Kosova 2021-2025 predviđaju sanaciju i modernizaciju železničke trase 10.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763361B" w14:textId="77777777" w:rsidR="001D6D6B" w:rsidRPr="00B90718" w:rsidRDefault="00BF3C19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2023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„Kosovo treba da sprovede tekuće projekte povezivanja i da ojača institucionalne i administrativne kapacitete za sprovođenje strateških infrastrukturnih projekata.</w:t>
            </w:r>
          </w:p>
          <w:p w14:paraId="241F7663" w14:textId="77777777" w:rsidR="001D6D6B" w:rsidRPr="00B9071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Srednjoročni okvir rashoda 2022-2024 kaže da će „Infrastruktura nastaviti sa ulaganjima u putnu i železničku infrastrukturu od nacionalnog i međunarodnog značaja, takođe će raditi na izgradnji infrastrukture od nacionalnog značaja koja povezuje regione Kosova i one koja obezbeđuje ekonomski rast“.</w:t>
            </w:r>
          </w:p>
          <w:p w14:paraId="660D7FDD" w14:textId="77777777" w:rsidR="001D6D6B" w:rsidRPr="00B90718" w:rsidRDefault="001D6D6B" w:rsidP="00015A4E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Vlada namerava da preko razvojnih banaka finansira sanaciju železničke trase 10, koja omogućava jeftiniji prevoz ljudi i robe.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Evropska banka za rekonstrukciju i razvoj (EBRD) odobrila je zajam vladi Kosova za infrastrukturu Kosovskih železnica (INFRAKOS), za finansiranje hitne rehabilitacije železničke trase 10.</w:t>
            </w:r>
          </w:p>
        </w:tc>
      </w:tr>
      <w:tr w:rsidR="001D6D6B" w:rsidRPr="008E3B9B" w14:paraId="05567B40" w14:textId="77777777" w:rsidTr="00D8753B">
        <w:trPr>
          <w:trHeight w:val="330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309F4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AEA" w14:textId="77777777" w:rsidR="001D6D6B" w:rsidRPr="00490BF0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multimodalnog transporta 2030 ima za cilj da donese održiv i integrisan transportni sistem jačanjem različitih vidova (drumski, železnički i vazdušni), kao što su pogodnost, brzina, cena, pouzdanost, predvidljivost, itd., i u kombinaciji, može ponuditi efikasnija transportna rešenja za ljude i robu što će pomoći da se smanji pritisak na našim zakrčenim putevima i da ceo sektor učini ekološki prihvatljivijim, bezbednijim i isplativijim.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navodi se da je „transportna politika EU prirodno usklađena sa gore navedenim globalnim trendovima.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Međutim, može se naglasiti da se posebna pažnja poklanja uvođenju vozila sa nultom emisijom, razvoju železničkog saobraćaja i jačanju jedinstvenog tržišta koje se zasniva na principu korisnik plaća.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navodi da „Pored niskog kvaliteta infrastrukture, kosovskoj železnici takođe nedostaje ERTMS.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je ključna komponenta za konkurentnost i bezbednost železničkog saobraćaja i stoga bi svi projekti modernizacije trebalo da uključuju uvođenje ERTMS-a.</w:t>
            </w:r>
            <w:r>
              <w:rPr>
                <w:sz w:val="20"/>
                <w:rFonts w:ascii="Arial" w:hAnsi="Arial"/>
              </w:rPr>
              <w:t xml:space="preserve">  </w:t>
            </w:r>
            <w:r>
              <w:rPr>
                <w:sz w:val="20"/>
                <w:rFonts w:ascii="Arial" w:hAnsi="Arial"/>
              </w:rPr>
              <w:t xml:space="preserve">Kako se većina nesreća na železnici dešava na putno-pružnim prelazima, postavljanje ERTMS-a će takođe pomoći da se smanji broj poginulih u železničkom saobraćaju.”</w:t>
            </w:r>
          </w:p>
        </w:tc>
      </w:tr>
    </w:tbl>
    <w:p w14:paraId="61C2E81E" w14:textId="77777777" w:rsidR="001D6D6B" w:rsidRPr="00C67842" w:rsidRDefault="001D6D6B" w:rsidP="001D6D6B">
      <w:pPr>
        <w:rPr>
          <w:rFonts w:ascii="Arial" w:eastAsia="Times New Roman" w:hAnsi="Arial" w:cs="Arial"/>
          <w:bCs/>
        </w:rPr>
      </w:pPr>
    </w:p>
    <w:p w14:paraId="0D4FA4A3" w14:textId="77777777" w:rsidR="001D6D6B" w:rsidRDefault="001D6D6B" w:rsidP="001D6D6B">
      <w:pPr>
        <w:numPr>
          <w:ilvl w:val="0"/>
          <w:numId w:val="5"/>
        </w:numPr>
        <w:spacing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STRATEŠKA RELEVANTNOST</w:t>
      </w:r>
    </w:p>
    <w:p w14:paraId="436BBD9B" w14:textId="77777777" w:rsidR="001D6D6B" w:rsidRPr="00C67842" w:rsidRDefault="001D6D6B" w:rsidP="001D6D6B">
      <w:pPr>
        <w:spacing w:line="276" w:lineRule="auto"/>
        <w:ind w:left="36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5761"/>
      </w:tblGrid>
      <w:tr w:rsidR="001D6D6B" w:rsidRPr="008E3B9B" w14:paraId="519651D6" w14:textId="77777777" w:rsidTr="00D8753B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5CC96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1D6D6B" w:rsidRPr="008E3B9B" w14:paraId="499B52BC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E5331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71D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Sprovođenjem opšte sanacije ove linije, Kosovo će poboljšati i razviti na najvišem nivou intermodalni transport na lokalnom, regionalnom i međunarodnom nivou.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će olakšati transport „od vrata do vrata“ korišćenjem železničkih i drumskih vozila kroz postojeći teretni terminal u čvorištu Kosovo Polje.</w:t>
            </w:r>
          </w:p>
        </w:tc>
      </w:tr>
      <w:tr w:rsidR="001D6D6B" w:rsidRPr="008E3B9B" w14:paraId="553A90B0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CFE9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putnici)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0C7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trasa 10 će olakšati veze za putnički i teretni saobraćaj između pojedinih zemalja i istovremeno poboljšati uslove za transport.</w:t>
            </w:r>
          </w:p>
          <w:p w14:paraId="48F491AF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i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 osnovu Plana razvoja mreže INFRAKOS-a (2018), procenat putnika koji prelaze sa automobila na železnicu po scenariju gde se trasa 10 rehabilituje 2025. za segment Mitrovica – Lešak je 2%.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Potencijal za prelazak na železnicu je takođe veći ako se poboljša železnička usluga.</w:t>
            </w:r>
          </w:p>
          <w:p w14:paraId="6985B3AC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i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tereta koji se odnosi na BDP (teret) se pretpostavlja kao 4% (isto kao i stopa rasta BDP-a), dok je OD prognoza, železnički teret koji prolazi granicu Kosova/Srbije, u 2025. godini 415.063 tona.</w:t>
            </w:r>
          </w:p>
          <w:p w14:paraId="494ACA2A" w14:textId="77777777" w:rsidR="001D6D6B" w:rsidRPr="009568A8" w:rsidRDefault="009568A8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Trenutni broj vozova na železničkoj trasi 10 prikazan u redu vožnje kosovske železnice je 11 vozova/24h, dok je predviđeni broj vozova (za period od narednih 10-15 godina) 56 vozova/24h.</w:t>
            </w:r>
          </w:p>
        </w:tc>
      </w:tr>
      <w:tr w:rsidR="001D6D6B" w:rsidRPr="008E3B9B" w14:paraId="65A0810A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D8B33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681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je u najnoviji SEETO višegodišnji plan (</w:t>
            </w:r>
            <w:hyperlink r:id="rId8" w:history="1">
              <w:r>
                <w:rPr>
                  <w:sz w:val="20"/>
                  <w:u w:val="single"/>
                  <w:rFonts w:ascii="Arial" w:hAnsi="Arial"/>
                </w:rPr>
                <w:t xml:space="preserve">MAP</w:t>
              </w:r>
            </w:hyperlink>
            <w:r>
              <w:rPr>
                <w:sz w:val="20"/>
                <w:rFonts w:ascii="Arial" w:hAnsi="Arial"/>
              </w:rPr>
              <w:t xml:space="preserve">).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D6D6B" w:rsidRPr="008E3B9B" w14:paraId="32AB9D75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35857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72D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Linija je povezana sa TEN-T koridorom preko Lapova u Srbiji i Skoplja u Severnoj Makedoniji.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Železnička trasa 10 grana iz Lapova (Srbija) između Beograda i Niša (Koridor X povezuje se sa Beogradom preko Lapova) i čini alternativni pravac za Skoplje: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Beograd – Lapovo – Kraljevo – Kosovo Polje – Skoplje.</w:t>
            </w:r>
          </w:p>
        </w:tc>
      </w:tr>
      <w:tr w:rsidR="001D6D6B" w:rsidRPr="008E3B9B" w14:paraId="2BA260D0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46F9C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946" w14:textId="77777777" w:rsidR="001D6D6B" w:rsidRPr="009568A8" w:rsidRDefault="001D6D6B" w:rsidP="009568A8">
            <w:pPr>
              <w:spacing w:before="60" w:after="60" w:line="260" w:lineRule="atLeast"/>
              <w:jc w:val="both"/>
              <w:rPr>
                <w:bCs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ove pruge biće urađena u skladu sa savremenim standardima bezbednosti na železnici.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Imajući u vidu trenutno stanje dotične železničke pruge, ovaj projekat će imati značajan uticaj na poboljšanje uslova bezbednosti.</w:t>
            </w:r>
          </w:p>
        </w:tc>
      </w:tr>
      <w:tr w:rsidR="001D6D6B" w:rsidRPr="008E3B9B" w14:paraId="0DE92B59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8CFC0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sanirana infrastruktura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B777" w14:textId="77777777" w:rsidR="001D6D6B" w:rsidRPr="009568A8" w:rsidRDefault="009568A8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sanacija i modernizacija železničke trase 10.</w:t>
            </w:r>
          </w:p>
        </w:tc>
      </w:tr>
      <w:tr w:rsidR="001D6D6B" w:rsidRPr="008E3B9B" w14:paraId="01807167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0A403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725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ispunjava tražene kriterijume za rast saobraćaja.</w:t>
            </w:r>
          </w:p>
        </w:tc>
      </w:tr>
      <w:tr w:rsidR="001D6D6B" w:rsidRPr="008E3B9B" w14:paraId="47C7FBFC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B32B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0F3" w14:textId="77777777" w:rsidR="001D6D6B" w:rsidRPr="009568A8" w:rsidRDefault="001D6D6B" w:rsidP="009568A8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Plan razvoja mreže INFRAKOS-a (2018) predviđa da će smanjenje vremena za putovanja na ovoj liniji za južni deo biti oko 104 min, gde sada voz iz Leška za Elez Han stiže 214 min.</w:t>
            </w:r>
          </w:p>
        </w:tc>
      </w:tr>
      <w:tr w:rsidR="001D6D6B" w:rsidRPr="008E3B9B" w14:paraId="488302EF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AC6FD" w14:textId="77777777" w:rsidR="001D6D6B" w:rsidRPr="008E3B9B" w:rsidRDefault="001D6D6B" w:rsidP="00D8753B">
            <w:pPr>
              <w:spacing w:before="240" w:after="20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CF3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 ovog projekta će dovesti do toga da se veći deo drumskog teretnog saobraćaja prebaci na železnicu, što bi značajno uticalo na smanjenje emisije CO2 i buke.</w:t>
            </w:r>
          </w:p>
          <w:p w14:paraId="6AD35579" w14:textId="77777777" w:rsidR="001D6D6B" w:rsidRPr="009568A8" w:rsidRDefault="001D6D6B" w:rsidP="00BF3C1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ima održivost u odnosu na ekološke aspekte, zbog činjenice da vozovi imaju veoma nisku emisiju CO2 u poređenju sa drumskim vozilima.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1D6D6B" w:rsidRPr="008E3B9B" w14:paraId="123E66CA" w14:textId="77777777" w:rsidTr="00D8753B">
        <w:trPr>
          <w:trHeight w:val="530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46DF4" w14:textId="77777777" w:rsidR="001D6D6B" w:rsidRPr="008E3B9B" w:rsidRDefault="001D6D6B" w:rsidP="00D8753B">
            <w:pPr>
              <w:spacing w:before="240" w:after="20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F64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Unapređenje saobraćajne infrastrukture širom zapadnog Balkana je ključni element za osiguranje povezanosti, održivog ekonomskog rasta i kohezije između regionalnih strana i Evropske unije.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181A62CC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Jačanje povezanosti unutar zapadnog Balkana predstavlja strateški interes za obe strane.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Povećanje saobraćajnih veza omogućiće veću konkurentnost, ekonomski rast i sigurnost snabdevanja, a istovremeno je važan preduslov za ekonomsku integraciju u okviru zapadnog Balkana.</w:t>
            </w:r>
          </w:p>
          <w:p w14:paraId="474CDC10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Zapadni Balkan je geografski okružen državama članicama EU i politički je prioritet povezati infrastrukturu između EU i zapadnog Balkana i ubrzati razvoj međusobno povezanih transevropskih mreža u transportu.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6AA3353D" w14:textId="77777777" w:rsidR="001D6D6B" w:rsidRPr="008E3B9B" w:rsidRDefault="001D6D6B" w:rsidP="00D8753B">
            <w:pPr>
              <w:spacing w:before="60" w:after="60" w:line="260" w:lineRule="atLeast"/>
              <w:jc w:val="both"/>
              <w:rPr>
                <w:bCs/>
                <w:i/>
                <w:color w:val="2F5496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Unapređenje međunarodne železničke mreže pomoći će izvozu minerala i poljoprivrednih proizvoda.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Poboljšana saobraćajna infrastruktura će takođe podstaći nove investicije.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Kumulativni efekat biće veće stope privrednog rasta.</w:t>
            </w:r>
          </w:p>
        </w:tc>
      </w:tr>
      <w:tr w:rsidR="001D6D6B" w:rsidRPr="008E3B9B" w14:paraId="16E6D246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A0FFF" w14:textId="77777777" w:rsidR="001D6D6B" w:rsidRPr="008E3B9B" w:rsidRDefault="001D6D6B" w:rsidP="00D8753B">
            <w:pPr>
              <w:spacing w:before="240" w:after="20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7D1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u direktnoj vezi sa ulaganjima u železničku infrastrukturu u regionu.</w:t>
            </w:r>
          </w:p>
        </w:tc>
      </w:tr>
      <w:tr w:rsidR="001D6D6B" w:rsidRPr="008E3B9B" w14:paraId="0E21C144" w14:textId="77777777" w:rsidTr="00D8753B">
        <w:trPr>
          <w:trHeight w:val="467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76A3" w14:textId="77777777" w:rsidR="001D6D6B" w:rsidRPr="008E3B9B" w:rsidRDefault="001D6D6B" w:rsidP="00D8753B">
            <w:pPr>
              <w:spacing w:before="240" w:after="20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F52" w14:textId="77777777" w:rsidR="001D6D6B" w:rsidRPr="009568A8" w:rsidRDefault="001D6D6B" w:rsidP="00D8753B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pogledu usklađivanja, nije bilo potrebe za alternativnim analizama s obzirom na to da se projekat odnosi na sanaciju postojećeg voda.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Međutim, alternativne opcije su istražene kada su u pitanju opcije telekomunikacija, signalizacije i elektrifikacije.</w:t>
            </w:r>
          </w:p>
        </w:tc>
      </w:tr>
    </w:tbl>
    <w:p w14:paraId="40000693" w14:textId="77777777" w:rsidR="001D6D6B" w:rsidRPr="000B7DF4" w:rsidRDefault="001D6D6B" w:rsidP="001D6D6B">
      <w:pPr>
        <w:spacing w:line="276" w:lineRule="auto"/>
        <w:jc w:val="center"/>
        <w:rPr>
          <w:rFonts w:ascii="Arial" w:eastAsia="Times New Roman" w:hAnsi="Arial" w:cs="Arial"/>
          <w:b/>
        </w:rPr>
      </w:pPr>
    </w:p>
    <w:p w14:paraId="61D4381E" w14:textId="1D155BBD" w:rsidR="001D6D6B" w:rsidRPr="00A47636" w:rsidRDefault="001D6D6B" w:rsidP="00A47636">
      <w:pPr>
        <w:jc w:val="center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Drugi deo</w:t>
      </w:r>
    </w:p>
    <w:p w14:paraId="2579C01A" w14:textId="77777777" w:rsidR="001D6D6B" w:rsidRPr="008E3B9B" w:rsidRDefault="001D6D6B" w:rsidP="001D6D6B">
      <w:pPr>
        <w:numPr>
          <w:ilvl w:val="0"/>
          <w:numId w:val="5"/>
        </w:numPr>
        <w:spacing w:before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ZRELOST</w:t>
      </w:r>
    </w:p>
    <w:p w14:paraId="4ACB59D2" w14:textId="77777777" w:rsidR="001D6D6B" w:rsidRPr="008E3B9B" w:rsidRDefault="001D6D6B" w:rsidP="001D6D6B">
      <w:pPr>
        <w:spacing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953"/>
        <w:gridCol w:w="869"/>
        <w:gridCol w:w="806"/>
        <w:gridCol w:w="851"/>
        <w:gridCol w:w="806"/>
        <w:gridCol w:w="806"/>
        <w:gridCol w:w="819"/>
        <w:gridCol w:w="806"/>
        <w:gridCol w:w="806"/>
      </w:tblGrid>
      <w:tr w:rsidR="001D6D6B" w:rsidRPr="008E3B9B" w14:paraId="20642442" w14:textId="77777777" w:rsidTr="00D8753B">
        <w:trPr>
          <w:trHeight w:val="417"/>
          <w:jc w:val="center"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1A5DA" w14:textId="77777777" w:rsidR="001D6D6B" w:rsidRPr="008E3B9B" w:rsidRDefault="001D6D6B" w:rsidP="00D8753B">
            <w:pPr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490DC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61AB8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BD3AC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1D6D6B" w:rsidRPr="008E3B9B" w14:paraId="3DD88339" w14:textId="77777777" w:rsidTr="00D8753B">
        <w:trPr>
          <w:trHeight w:val="417"/>
          <w:jc w:val="center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FC959" w14:textId="77777777" w:rsidR="001D6D6B" w:rsidRPr="008E3B9B" w:rsidRDefault="001D6D6B" w:rsidP="00D8753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C3F37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1D953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BB35C5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AA0B5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406EF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AEE18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CDE85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158F4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8E4ACE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Faza III</w:t>
            </w:r>
          </w:p>
        </w:tc>
      </w:tr>
      <w:tr w:rsidR="001D6D6B" w:rsidRPr="008E3B9B" w14:paraId="6C48D940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EF900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FEE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983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E72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657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2CB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3AB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C9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237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89C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3479A14C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35D2B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A44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621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7A8A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F612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6C9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631E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54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DC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D2E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6FC23E48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DB44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A0E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D2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73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F5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9725" w14:textId="77777777" w:rsidR="001D6D6B" w:rsidRPr="009568A8" w:rsidDel="00C254AA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20CF" w14:textId="77777777" w:rsidR="001D6D6B" w:rsidRPr="009568A8" w:rsidDel="00C254AA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9225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379" w14:textId="77777777" w:rsidR="001D6D6B" w:rsidRPr="009568A8" w:rsidDel="00C254AA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E796" w14:textId="77777777" w:rsidR="001D6D6B" w:rsidRPr="009568A8" w:rsidDel="00C254AA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  <w:tr w:rsidR="001D6D6B" w:rsidRPr="008E3B9B" w14:paraId="40480732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C335D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D24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D6C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6EED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A02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562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57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FB7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A86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59D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1D6D6B" w:rsidRPr="008E3B9B" w14:paraId="4DA8DA08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8D6D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3FC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35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1C6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BFBC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217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A51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DF2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4F5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EE4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  <w:tr w:rsidR="001D6D6B" w:rsidRPr="008E3B9B" w14:paraId="709D2BF6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15080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386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BED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D62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41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0A7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D9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ACB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6A77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6A7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highlight w:val="yellow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  <w:tr w:rsidR="001D6D6B" w:rsidRPr="008E3B9B" w14:paraId="6963CF6D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C7E84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B6C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689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99E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EFB1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31B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96D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38A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FE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21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0B23CAD0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98594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7B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58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6E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C4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9A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784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DBB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036A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33D" w14:textId="77777777" w:rsidR="001D6D6B" w:rsidRPr="009568A8" w:rsidRDefault="00BF3C19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  <w:tr w:rsidR="001D6D6B" w:rsidRPr="008E3B9B" w14:paraId="63CF4F00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84442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8BE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C919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96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49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072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A03B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7D4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52D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BEC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5EDF7975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68CEB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5A6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693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400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A299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EF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965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0F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C71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066D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1E0EC891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372F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CEB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A9F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4B2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74B3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F4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8E8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01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80E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647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716E1937" w14:textId="77777777" w:rsidTr="00D8753B">
        <w:trPr>
          <w:trHeight w:val="4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1340C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43D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6DE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34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1C5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2C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76AF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438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0DE" w14:textId="77777777" w:rsidR="001D6D6B" w:rsidRPr="009568A8" w:rsidRDefault="001D6D6B" w:rsidP="00D8753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D79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</w:tbl>
    <w:p w14:paraId="27CA4027" w14:textId="77777777" w:rsidR="001D6D6B" w:rsidRPr="008E3B9B" w:rsidRDefault="001D6D6B" w:rsidP="001D6D6B">
      <w:pPr>
        <w:spacing w:before="200" w:line="276" w:lineRule="auto"/>
        <w:ind w:left="450"/>
        <w:contextualSpacing/>
        <w:rPr>
          <w:rFonts w:ascii="Arial" w:hAnsi="Arial" w:cs="Arial"/>
          <w:b/>
          <w:bCs/>
        </w:rPr>
      </w:pPr>
    </w:p>
    <w:p w14:paraId="150BE4AC" w14:textId="77777777" w:rsidR="001D6D6B" w:rsidRDefault="001D6D6B" w:rsidP="001D6D6B">
      <w:pPr>
        <w:numPr>
          <w:ilvl w:val="0"/>
          <w:numId w:val="5"/>
        </w:numPr>
        <w:spacing w:before="200" w:after="120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ODREĐIVANJE IZVORA FINANSIRANJA</w:t>
      </w:r>
    </w:p>
    <w:p w14:paraId="04505F6C" w14:textId="77777777" w:rsidR="001D6D6B" w:rsidRPr="001D58F9" w:rsidRDefault="001D6D6B" w:rsidP="001D6D6B">
      <w:pPr>
        <w:spacing w:before="200" w:after="120"/>
        <w:ind w:left="36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075"/>
        <w:gridCol w:w="3925"/>
        <w:gridCol w:w="527"/>
      </w:tblGrid>
      <w:tr w:rsidR="001D6D6B" w:rsidRPr="008E3B9B" w14:paraId="2D3BAEF3" w14:textId="77777777" w:rsidTr="00D8753B">
        <w:trPr>
          <w:trHeight w:val="417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6969E9" w14:textId="77777777" w:rsidR="001D6D6B" w:rsidRPr="008E3B9B" w:rsidRDefault="001D6D6B" w:rsidP="00D8753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0C18C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DDF0A6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5F382" w14:textId="77777777" w:rsidR="001D6D6B" w:rsidRPr="008E3B9B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1D6D6B" w:rsidRPr="008E3B9B" w14:paraId="2D5FC93E" w14:textId="77777777" w:rsidTr="00D8753B">
        <w:trPr>
          <w:trHeight w:val="267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B36941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FAC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307" w14:textId="77777777" w:rsidR="001D6D6B" w:rsidRPr="009568A8" w:rsidRDefault="001D6D6B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Realizacija projekta će imati direktan uticaj na poboljšanje železničke veze unutar Kosova, sa zemljama regiona i Integrisanom mrežom EU.</w:t>
            </w:r>
            <w:r>
              <w:rPr>
                <w:sz w:val="20"/>
                <w:rFonts w:ascii="Arial" w:hAnsi="Arial"/>
              </w:rPr>
              <w:cr/>
            </w:r>
            <w:r>
              <w:rPr>
                <w:sz w:val="20"/>
                <w:rFonts w:ascii="Arial" w:hAnsi="Arial"/>
              </w:rPr>
              <w:br/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091" w14:textId="77777777" w:rsidR="001D6D6B" w:rsidRPr="008E3B9B" w:rsidRDefault="001D6D6B" w:rsidP="00D8753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6AF140C8" w14:textId="77777777" w:rsidTr="00D8753B">
        <w:trPr>
          <w:trHeight w:val="417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81CB3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C51" w14:textId="77777777" w:rsidR="001D6D6B" w:rsidRPr="009568A8" w:rsidRDefault="001D6D6B" w:rsidP="00D8753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BDDC85E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027" w14:textId="77777777" w:rsidR="001D6D6B" w:rsidRPr="009568A8" w:rsidRDefault="001D6D6B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 železnička linija ima prekogranični uticaj sa Srbijom i Severnom Makedonijom, a imaće uticaj i na druge susedne zemlje.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157" w14:textId="77777777" w:rsidR="001D6D6B" w:rsidRPr="008E3B9B" w:rsidRDefault="001D6D6B" w:rsidP="00D8753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1D22D74E" w14:textId="77777777" w:rsidTr="00D8753B">
        <w:trPr>
          <w:trHeight w:val="417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4F321D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D4F" w14:textId="77777777" w:rsidR="001D6D6B" w:rsidRPr="009568A8" w:rsidRDefault="001D6D6B" w:rsidP="00D8753B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351" w14:textId="77777777" w:rsidR="001D6D6B" w:rsidRPr="009568A8" w:rsidRDefault="001D6D6B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Uzimajući u obzir SEETO sveobuhvatnu železničku mrežu i povezivanje sa TEN-T, ovaj projekat se takođe može smatrati regionalnim projektom.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F8B" w14:textId="77777777" w:rsidR="001D6D6B" w:rsidRPr="008E3B9B" w:rsidRDefault="001D6D6B" w:rsidP="00D8753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5CAA7A77" w14:textId="77777777" w:rsidR="001D6D6B" w:rsidRPr="008E3B9B" w:rsidRDefault="001D6D6B" w:rsidP="001D6D6B">
      <w:pPr>
        <w:spacing w:before="200" w:line="276" w:lineRule="auto"/>
        <w:contextualSpacing/>
        <w:rPr>
          <w:rFonts w:ascii="Arial" w:eastAsia="Times New Roman" w:hAnsi="Arial" w:cs="Arial"/>
          <w:b/>
          <w:bCs/>
        </w:rPr>
      </w:pPr>
    </w:p>
    <w:p w14:paraId="132921BE" w14:textId="77777777" w:rsidR="001D6D6B" w:rsidRDefault="001D6D6B" w:rsidP="001D6D6B">
      <w:pPr>
        <w:numPr>
          <w:ilvl w:val="0"/>
          <w:numId w:val="5"/>
        </w:numPr>
        <w:spacing w:before="200" w:after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RASPORED POTROŠNJE</w:t>
      </w:r>
    </w:p>
    <w:p w14:paraId="2C0028D4" w14:textId="77777777" w:rsidR="001D6D6B" w:rsidRPr="001D58F9" w:rsidRDefault="001D6D6B" w:rsidP="001D6D6B">
      <w:pPr>
        <w:spacing w:before="200" w:after="200" w:line="276" w:lineRule="auto"/>
        <w:ind w:left="36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846"/>
        <w:gridCol w:w="785"/>
        <w:gridCol w:w="866"/>
        <w:gridCol w:w="793"/>
        <w:gridCol w:w="699"/>
        <w:gridCol w:w="661"/>
        <w:gridCol w:w="661"/>
        <w:gridCol w:w="828"/>
        <w:gridCol w:w="661"/>
        <w:gridCol w:w="661"/>
        <w:gridCol w:w="661"/>
      </w:tblGrid>
      <w:tr w:rsidR="001D6D6B" w:rsidRPr="008E3B9B" w14:paraId="1BE5FE3E" w14:textId="77777777" w:rsidTr="00D8753B">
        <w:trPr>
          <w:cantSplit/>
          <w:trHeight w:val="593"/>
        </w:trPr>
        <w:tc>
          <w:tcPr>
            <w:tcW w:w="657" w:type="pct"/>
            <w:shd w:val="clear" w:color="auto" w:fill="D9D9D9"/>
            <w:vAlign w:val="center"/>
          </w:tcPr>
          <w:p w14:paraId="1D2B0657" w14:textId="77777777" w:rsidR="001D6D6B" w:rsidRPr="008E3B9B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D9D9D9"/>
            <w:vAlign w:val="center"/>
          </w:tcPr>
          <w:p w14:paraId="169EE95C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696B3946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51811DE0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448" w:type="pct"/>
            <w:shd w:val="clear" w:color="auto" w:fill="D9D9D9"/>
            <w:vAlign w:val="center"/>
          </w:tcPr>
          <w:p w14:paraId="61640658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398" w:type="pct"/>
            <w:shd w:val="clear" w:color="auto" w:fill="D9D9D9"/>
            <w:vAlign w:val="center"/>
          </w:tcPr>
          <w:p w14:paraId="5554545B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1F35009A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4F64C9BE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443" w:type="pct"/>
            <w:shd w:val="clear" w:color="auto" w:fill="D9D9D9"/>
            <w:vAlign w:val="center"/>
          </w:tcPr>
          <w:p w14:paraId="689C67E5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308" w:type="pct"/>
            <w:shd w:val="clear" w:color="auto" w:fill="D9D9D9"/>
            <w:vAlign w:val="center"/>
          </w:tcPr>
          <w:p w14:paraId="534AAF48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733336FE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0ED1A650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1D6D6B" w:rsidRPr="008E3B9B" w14:paraId="132578CC" w14:textId="77777777" w:rsidTr="00D8753B">
        <w:trPr>
          <w:trHeight w:val="602"/>
        </w:trPr>
        <w:tc>
          <w:tcPr>
            <w:tcW w:w="657" w:type="pct"/>
            <w:shd w:val="clear" w:color="auto" w:fill="D9D9D9"/>
          </w:tcPr>
          <w:p w14:paraId="61574652" w14:textId="77777777" w:rsidR="001D6D6B" w:rsidRPr="008E3B9B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Cena (u EUR):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31A1A9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15,2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713C37C" w14:textId="77777777" w:rsidR="001D6D6B" w:rsidRPr="009568A8" w:rsidRDefault="001D6D6B" w:rsidP="00D8753B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15,1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3F45E2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23,5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68E724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67,2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D78031C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56,5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01BF109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56,5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FAC906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60,2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1FED474" w14:textId="77777777" w:rsidR="001D6D6B" w:rsidRPr="009568A8" w:rsidRDefault="001D6D6B" w:rsidP="00D8753B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29,565</w:t>
            </w:r>
          </w:p>
        </w:tc>
        <w:tc>
          <w:tcPr>
            <w:tcW w:w="308" w:type="pct"/>
            <w:shd w:val="clear" w:color="auto" w:fill="auto"/>
          </w:tcPr>
          <w:p w14:paraId="082947DA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14:paraId="32B62447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14:paraId="109A8679" w14:textId="77777777" w:rsidR="001D6D6B" w:rsidRPr="008E3B9B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D6D6B" w:rsidRPr="008E3B9B" w14:paraId="15842870" w14:textId="77777777" w:rsidTr="00D8753B">
        <w:tc>
          <w:tcPr>
            <w:tcW w:w="657" w:type="pct"/>
            <w:shd w:val="clear" w:color="auto" w:fill="D9D9D9"/>
            <w:vAlign w:val="center"/>
          </w:tcPr>
          <w:p w14:paraId="1F97DD5D" w14:textId="77777777" w:rsidR="001D6D6B" w:rsidRPr="008E3B9B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013F58E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3,7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8C007FA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FECEEC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550A0C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2,2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C6F7826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B614B81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9A7DE3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1,5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7DC4821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2,5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8C7EB95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8A5ABEA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6C1025A" w14:textId="77777777" w:rsidR="001D6D6B" w:rsidRPr="008E3B9B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D6D6B" w:rsidRPr="008E3B9B" w14:paraId="1F1C7986" w14:textId="77777777" w:rsidTr="00D8753B">
        <w:tc>
          <w:tcPr>
            <w:tcW w:w="657" w:type="pct"/>
            <w:shd w:val="clear" w:color="auto" w:fill="D9D9D9"/>
            <w:vAlign w:val="center"/>
          </w:tcPr>
          <w:p w14:paraId="0A102031" w14:textId="77777777" w:rsidR="001D6D6B" w:rsidRPr="008E3B9B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Ulaganje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AFA090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11,5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AF86F6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D94C41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21,5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4F3EFF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65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53066E6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55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CE84A1E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55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6703319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58,7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9650385" w14:textId="77777777" w:rsidR="001D6D6B" w:rsidRPr="009568A8" w:rsidRDefault="001D6D6B" w:rsidP="00D8753B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27,065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345036B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9A1149B" w14:textId="77777777" w:rsidR="001D6D6B" w:rsidRPr="009568A8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3A07E5C" w14:textId="77777777" w:rsidR="001D6D6B" w:rsidRPr="008E3B9B" w:rsidRDefault="001D6D6B" w:rsidP="00D8753B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226EC4F3" w14:textId="77777777" w:rsidR="001D6D6B" w:rsidRPr="008E3B9B" w:rsidRDefault="001D6D6B" w:rsidP="001D6D6B">
      <w:pPr>
        <w:spacing w:before="12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E866BC2" w14:textId="77777777" w:rsidR="001D6D6B" w:rsidRDefault="001D6D6B" w:rsidP="001D6D6B">
      <w:pPr>
        <w:numPr>
          <w:ilvl w:val="0"/>
          <w:numId w:val="5"/>
        </w:numPr>
        <w:spacing w:before="12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OSTALI ASPEKTI</w:t>
      </w:r>
    </w:p>
    <w:p w14:paraId="55E09DE8" w14:textId="77777777" w:rsidR="001D6D6B" w:rsidRPr="001D58F9" w:rsidRDefault="001D6D6B" w:rsidP="001D6D6B">
      <w:pPr>
        <w:spacing w:before="120" w:line="276" w:lineRule="auto"/>
        <w:ind w:left="36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98"/>
      </w:tblGrid>
      <w:tr w:rsidR="001D6D6B" w:rsidRPr="008E3B9B" w14:paraId="3385A14F" w14:textId="77777777" w:rsidTr="00D8753B">
        <w:trPr>
          <w:trHeight w:val="4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6C279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2BA" w14:textId="68458610" w:rsidR="001D6D6B" w:rsidRPr="009568A8" w:rsidRDefault="00873186" w:rsidP="00873186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D6D6B" w:rsidRPr="008E3B9B" w14:paraId="36D2CEC9" w14:textId="77777777" w:rsidTr="00D8753B">
        <w:trPr>
          <w:trHeight w:val="245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A115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096E" w14:textId="77777777" w:rsidR="005A51A1" w:rsidRPr="005A51A1" w:rsidRDefault="001D6D6B" w:rsidP="00D8753B">
            <w:pPr>
              <w:jc w:val="both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Tekuće:</w:t>
            </w:r>
          </w:p>
          <w:p w14:paraId="627BA956" w14:textId="77777777" w:rsidR="001D6D6B" w:rsidRPr="005A51A1" w:rsidRDefault="005A51A1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-Detaljni dizajn i priprema tendera za severni deo železničke trase 10 (Mitrovica - Lešak - granica sa Srbijom), 3.239.873 evra</w:t>
            </w:r>
          </w:p>
          <w:p w14:paraId="3D1C230E" w14:textId="77777777" w:rsidR="005A51A1" w:rsidRDefault="005A51A1" w:rsidP="005A51A1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-Detaljno tehničko rešenje projekta i priprema tendera za železničku liniju Kosovo Polje - Mitrovica (pruga 10), 1.000.000 evra</w:t>
            </w:r>
          </w:p>
          <w:p w14:paraId="7B79AF9E" w14:textId="77777777" w:rsidR="005A51A1" w:rsidRPr="005A51A1" w:rsidRDefault="005A51A1" w:rsidP="005A51A1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65330F2" w14:textId="77777777" w:rsidR="005A51A1" w:rsidRPr="005A51A1" w:rsidRDefault="005A51A1" w:rsidP="005A51A1">
            <w:pPr>
              <w:jc w:val="both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Završeno:</w:t>
            </w:r>
          </w:p>
          <w:p w14:paraId="408960CC" w14:textId="77777777" w:rsidR="005A51A1" w:rsidRPr="005A51A1" w:rsidRDefault="005A51A1" w:rsidP="005A51A1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Nadzor radova na sanaciji železničke trase 10 Faza 1: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Deonica Kosovo Polje – Granica sa Severnom Makedonijom 1.400.000 evra</w:t>
            </w:r>
          </w:p>
          <w:p w14:paraId="71534461" w14:textId="77777777" w:rsidR="005A51A1" w:rsidRPr="005A51A1" w:rsidRDefault="005A51A1" w:rsidP="005A51A1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železničke trase 10: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Kosovo Polje – Deonica Elez Han, 1.840.000 evra</w:t>
            </w:r>
          </w:p>
          <w:p w14:paraId="22732803" w14:textId="77777777" w:rsidR="005A51A1" w:rsidRPr="009568A8" w:rsidRDefault="005A51A1" w:rsidP="005A51A1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železničke trase 10 (Lešak – Mitrovica – Kosovo Polje – Uroševac – Elez Han), 500.000 evra</w:t>
            </w:r>
          </w:p>
        </w:tc>
      </w:tr>
      <w:tr w:rsidR="001D6D6B" w:rsidRPr="008E3B9B" w14:paraId="385DA39F" w14:textId="77777777" w:rsidTr="00D8753B">
        <w:trPr>
          <w:trHeight w:val="245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3CABD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6B5" w14:textId="3F4784FD" w:rsidR="001D6D6B" w:rsidRPr="009568A8" w:rsidRDefault="001D6D6B" w:rsidP="00873186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finansija, rada i transfera je obavešteno i odobrilo projekat.</w:t>
            </w:r>
          </w:p>
        </w:tc>
      </w:tr>
      <w:tr w:rsidR="001D6D6B" w:rsidRPr="008E3B9B" w14:paraId="2E6BA6D3" w14:textId="77777777" w:rsidTr="00D8753B">
        <w:trPr>
          <w:trHeight w:val="348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AEABE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stvara prihode od krajnjih korisnika?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F03" w14:textId="77777777" w:rsidR="001D6D6B" w:rsidRPr="009568A8" w:rsidRDefault="001D6D6B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preduslov za budući razvoj i ostvariće prihode od železničkih preduzeća.</w:t>
            </w:r>
          </w:p>
        </w:tc>
      </w:tr>
      <w:tr w:rsidR="001D6D6B" w:rsidRPr="008E3B9B" w14:paraId="7BD01DFA" w14:textId="77777777" w:rsidTr="00D8753B">
        <w:trPr>
          <w:trHeight w:val="348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BB33B" w14:textId="77777777" w:rsidR="001D6D6B" w:rsidRPr="008E3B9B" w:rsidRDefault="001D6D6B" w:rsidP="00D8753B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projektnog tima za primenu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2AE" w14:textId="77777777" w:rsidR="001D6D6B" w:rsidRPr="009568A8" w:rsidRDefault="001D6D6B" w:rsidP="00D8753B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INFRAKOS je formirao Jedinicu za realizaciju projekta (JRP) za ovaj projekat.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14:paraId="7A1AE7D1" w14:textId="77777777" w:rsidR="008132F5" w:rsidRDefault="008132F5"/>
    <w:sectPr w:rsidR="0081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46C"/>
    <w:multiLevelType w:val="hybridMultilevel"/>
    <w:tmpl w:val="C640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4D2B"/>
    <w:multiLevelType w:val="hybridMultilevel"/>
    <w:tmpl w:val="4B764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4C95"/>
    <w:multiLevelType w:val="hybridMultilevel"/>
    <w:tmpl w:val="908E3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4396"/>
    <w:multiLevelType w:val="hybridMultilevel"/>
    <w:tmpl w:val="B530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50358"/>
    <w:multiLevelType w:val="hybridMultilevel"/>
    <w:tmpl w:val="F73A0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C0"/>
    <w:rsid w:val="00015A4E"/>
    <w:rsid w:val="00101898"/>
    <w:rsid w:val="001D26D4"/>
    <w:rsid w:val="001D6D6B"/>
    <w:rsid w:val="00442DE7"/>
    <w:rsid w:val="00490BF0"/>
    <w:rsid w:val="00540AA5"/>
    <w:rsid w:val="005A51A1"/>
    <w:rsid w:val="00663B5B"/>
    <w:rsid w:val="00693CDE"/>
    <w:rsid w:val="006D47C4"/>
    <w:rsid w:val="008132F5"/>
    <w:rsid w:val="00873186"/>
    <w:rsid w:val="009568A8"/>
    <w:rsid w:val="00A47636"/>
    <w:rsid w:val="00A90BC0"/>
    <w:rsid w:val="00AF3A12"/>
    <w:rsid w:val="00B90718"/>
    <w:rsid w:val="00B93415"/>
    <w:rsid w:val="00BF3C19"/>
    <w:rsid w:val="00DF6370"/>
    <w:rsid w:val="00E102C2"/>
    <w:rsid w:val="00E65653"/>
    <w:rsid w:val="00E739C0"/>
    <w:rsid w:val="00F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FEED"/>
  <w15:chartTrackingRefBased/>
  <w15:docId w15:val="{74D6BCB1-6A91-42E7-AC72-31F64CC7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6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lp"/>
    <w:basedOn w:val="Normal"/>
    <w:link w:val="ListParagraphChar"/>
    <w:uiPriority w:val="34"/>
    <w:qFormat/>
    <w:rsid w:val="001D6D6B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locked/>
    <w:rsid w:val="001D6D6B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3B5B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663B5B"/>
    <w:rPr>
      <w:rFonts w:ascii="Calibri Light" w:eastAsia="Times New Roman" w:hAnsi="Calibri Light" w:cs="Times New Roman"/>
      <w:color w:val="323E4F"/>
      <w:spacing w:val="5"/>
      <w:sz w:val="52"/>
      <w:szCs w:val="52"/>
      <w:lang w:val="sr-Latn-RS"/>
    </w:rPr>
  </w:style>
  <w:style w:type="character" w:styleId="Hyperlink">
    <w:name w:val="Hyperlink"/>
    <w:basedOn w:val="DefaultParagraphFont"/>
    <w:uiPriority w:val="99"/>
    <w:unhideWhenUsed/>
    <w:rsid w:val="00DF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1A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1A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A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seetoint.org/library/multi-annual-pla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er.krasniqi@kosovorailwa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Tringe Sokoli</dc:creator>
  <cp:keywords/>
  <dc:description/>
  <cp:lastModifiedBy>Tringe Sokoli</cp:lastModifiedBy>
  <cp:revision>10</cp:revision>
  <dcterms:created xsi:type="dcterms:W3CDTF">2024-07-23T07:20:00Z</dcterms:created>
  <dcterms:modified xsi:type="dcterms:W3CDTF">2024-08-20T08:57:00Z</dcterms:modified>
</cp:coreProperties>
</file>