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6ABC1" w14:textId="496226A7" w:rsidR="00FC644F" w:rsidRPr="0018295D" w:rsidRDefault="00170C0C" w:rsidP="006B424F">
      <w:pPr>
        <w:pStyle w:val="Title"/>
        <w:pBdr>
          <w:bottom w:val="single" w:sz="8" w:space="0" w:color="5B9BD5"/>
        </w:pBdr>
        <w:spacing w:before="120" w:after="0" w:line="276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/>
          <w:sz w:val="36"/>
        </w:rPr>
        <w:t>Formulari i identifikimit të projektit (FIP): Sektori i Mjedisit</w:t>
      </w:r>
    </w:p>
    <w:p w14:paraId="2457E21B" w14:textId="77777777" w:rsidR="00DA5F0A" w:rsidRPr="0018295D" w:rsidRDefault="0074067A" w:rsidP="0074067A">
      <w:pPr>
        <w:pStyle w:val="Heading1"/>
        <w:spacing w:before="240" w:after="12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</w:rPr>
        <w:t>Pjesa e parë</w:t>
      </w:r>
    </w:p>
    <w:p w14:paraId="5A89FB3A" w14:textId="77777777" w:rsidR="0074067A" w:rsidRPr="0018295D" w:rsidRDefault="0074067A" w:rsidP="00D4297A">
      <w:pPr>
        <w:pStyle w:val="ListParagraph"/>
        <w:numPr>
          <w:ilvl w:val="0"/>
          <w:numId w:val="2"/>
        </w:numPr>
        <w:spacing w:before="200" w:after="120"/>
        <w:rPr>
          <w:rFonts w:cs="Arial"/>
          <w:b/>
          <w:szCs w:val="20"/>
        </w:rPr>
      </w:pPr>
      <w:r>
        <w:rPr>
          <w:b/>
          <w:bCs/>
        </w:rPr>
        <w:t>INFORMACIONE TË PËRGJITHSHME</w:t>
      </w:r>
    </w:p>
    <w:tbl>
      <w:tblPr>
        <w:tblW w:w="4947" w:type="pct"/>
        <w:jc w:val="center"/>
        <w:tblLook w:val="01E0" w:firstRow="1" w:lastRow="1" w:firstColumn="1" w:lastColumn="1" w:noHBand="0" w:noVBand="0"/>
      </w:tblPr>
      <w:tblGrid>
        <w:gridCol w:w="3332"/>
        <w:gridCol w:w="6248"/>
      </w:tblGrid>
      <w:tr w:rsidR="007128F1" w:rsidRPr="0018295D" w14:paraId="25D46E08" w14:textId="77777777" w:rsidTr="006C253D">
        <w:trPr>
          <w:trHeight w:val="346"/>
          <w:jc w:val="center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77BC9A" w14:textId="72B03AB3" w:rsidR="007128F1" w:rsidRPr="0018295D" w:rsidRDefault="00462563" w:rsidP="007128F1">
            <w:pPr>
              <w:spacing w:before="60" w:after="6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Titulli i projektit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6CA9" w14:textId="6337330C" w:rsidR="007128F1" w:rsidRPr="0018295D" w:rsidRDefault="00C85FBE" w:rsidP="00464DCF">
            <w:pPr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0F0F0F"/>
                <w:sz w:val="20"/>
              </w:rPr>
              <w:t xml:space="preserve">Imperativi strategjik: </w:t>
            </w:r>
            <w:r w:rsidR="00462563">
              <w:rPr>
                <w:rFonts w:ascii="Arial" w:hAnsi="Arial"/>
                <w:b/>
                <w:color w:val="0F0F0F"/>
                <w:sz w:val="20"/>
              </w:rPr>
              <w:t>Rritja e numrit të i</w:t>
            </w:r>
            <w:r w:rsidR="002D4F32">
              <w:rPr>
                <w:rFonts w:ascii="Arial" w:hAnsi="Arial"/>
                <w:b/>
                <w:color w:val="0F0F0F"/>
                <w:sz w:val="20"/>
              </w:rPr>
              <w:t xml:space="preserve">mpianteve të </w:t>
            </w:r>
            <w:r w:rsidR="00462563">
              <w:rPr>
                <w:rFonts w:ascii="Arial" w:hAnsi="Arial"/>
                <w:b/>
                <w:color w:val="0F0F0F"/>
                <w:sz w:val="20"/>
              </w:rPr>
              <w:t>trajtimit të ujërave të z</w:t>
            </w:r>
            <w:r w:rsidR="002D4F32">
              <w:rPr>
                <w:rFonts w:ascii="Arial" w:hAnsi="Arial"/>
                <w:b/>
                <w:color w:val="0F0F0F"/>
                <w:sz w:val="20"/>
              </w:rPr>
              <w:t>eza në K</w:t>
            </w:r>
            <w:r>
              <w:rPr>
                <w:rFonts w:ascii="Arial" w:hAnsi="Arial"/>
                <w:b/>
                <w:color w:val="0F0F0F"/>
                <w:sz w:val="20"/>
              </w:rPr>
              <w:t>osovë</w:t>
            </w:r>
          </w:p>
        </w:tc>
      </w:tr>
      <w:tr w:rsidR="007128F1" w:rsidRPr="0018295D" w14:paraId="651236BF" w14:textId="77777777" w:rsidTr="006C253D">
        <w:trPr>
          <w:trHeight w:val="330"/>
          <w:jc w:val="center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DEC31" w14:textId="77777777" w:rsidR="007128F1" w:rsidRPr="0018295D" w:rsidRDefault="007128F1" w:rsidP="007128F1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Sektori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F1FD" w14:textId="5B20FE97" w:rsidR="007128F1" w:rsidRPr="0018295D" w:rsidRDefault="007E272C" w:rsidP="007128F1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Mjedisi </w:t>
            </w:r>
          </w:p>
        </w:tc>
      </w:tr>
      <w:tr w:rsidR="007128F1" w:rsidRPr="0018295D" w14:paraId="346E18FE" w14:textId="77777777" w:rsidTr="006C253D">
        <w:trPr>
          <w:trHeight w:val="330"/>
          <w:jc w:val="center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B344D" w14:textId="1B36B924" w:rsidR="007128F1" w:rsidRPr="0018295D" w:rsidRDefault="00462563" w:rsidP="00462563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Nënsektori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2B90" w14:textId="6298E6EA" w:rsidR="007128F1" w:rsidRPr="0018295D" w:rsidRDefault="002D4F32" w:rsidP="007128F1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Sistemi i kanalizimit së</w:t>
            </w:r>
            <w:r w:rsidR="007E272C">
              <w:rPr>
                <w:rFonts w:ascii="Arial" w:hAnsi="Arial"/>
                <w:sz w:val="20"/>
              </w:rPr>
              <w:t xml:space="preserve"> bashku me trajtimin</w:t>
            </w:r>
          </w:p>
        </w:tc>
      </w:tr>
      <w:tr w:rsidR="007128F1" w:rsidRPr="0018295D" w14:paraId="0AD8757A" w14:textId="77777777" w:rsidTr="006C253D">
        <w:trPr>
          <w:trHeight w:val="330"/>
          <w:jc w:val="center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18E67" w14:textId="0EED551A" w:rsidR="007128F1" w:rsidRPr="0018295D" w:rsidRDefault="007128F1" w:rsidP="007128F1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Përfituesi</w:t>
            </w:r>
            <w:r w:rsidR="00462563">
              <w:rPr>
                <w:rFonts w:ascii="Arial" w:hAnsi="Arial"/>
                <w:sz w:val="20"/>
              </w:rPr>
              <w:t>/propozuesi kryesor i projektit: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0638" w14:textId="322ADE5B" w:rsidR="007128F1" w:rsidRPr="0018295D" w:rsidRDefault="005C6505" w:rsidP="00462563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Ministria e Ekonomisë, </w:t>
            </w:r>
            <w:r w:rsidR="00462563">
              <w:rPr>
                <w:rFonts w:ascii="Arial" w:hAnsi="Arial"/>
                <w:sz w:val="20"/>
              </w:rPr>
              <w:t>k</w:t>
            </w:r>
            <w:r>
              <w:rPr>
                <w:rFonts w:ascii="Arial" w:hAnsi="Arial"/>
                <w:sz w:val="20"/>
              </w:rPr>
              <w:t>omp</w:t>
            </w:r>
            <w:r w:rsidR="00462563">
              <w:rPr>
                <w:rFonts w:ascii="Arial" w:hAnsi="Arial"/>
                <w:sz w:val="20"/>
              </w:rPr>
              <w:t>anitë rajonale të ujësjellësit, k</w:t>
            </w:r>
            <w:r>
              <w:rPr>
                <w:rFonts w:ascii="Arial" w:hAnsi="Arial"/>
                <w:sz w:val="20"/>
              </w:rPr>
              <w:t>omunat</w:t>
            </w:r>
          </w:p>
        </w:tc>
      </w:tr>
      <w:tr w:rsidR="007128F1" w:rsidRPr="0018295D" w14:paraId="5953DBFD" w14:textId="77777777" w:rsidTr="006C253D">
        <w:trPr>
          <w:trHeight w:val="330"/>
          <w:jc w:val="center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3DBD3" w14:textId="77777777" w:rsidR="007128F1" w:rsidRPr="0018295D" w:rsidRDefault="007128F1" w:rsidP="007128F1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Institucioni që është autor i propozimit të projektit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08EA" w14:textId="54EEBC7B" w:rsidR="007128F1" w:rsidRPr="0018295D" w:rsidRDefault="000A647D" w:rsidP="007128F1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Kompa</w:t>
            </w:r>
            <w:r w:rsidR="00462563">
              <w:rPr>
                <w:rFonts w:ascii="Arial" w:hAnsi="Arial"/>
                <w:sz w:val="20"/>
              </w:rPr>
              <w:t>nitë rajonale të ujësjellësit, ko</w:t>
            </w:r>
            <w:r>
              <w:rPr>
                <w:rFonts w:ascii="Arial" w:hAnsi="Arial"/>
                <w:sz w:val="20"/>
              </w:rPr>
              <w:t>munat</w:t>
            </w:r>
          </w:p>
        </w:tc>
      </w:tr>
      <w:tr w:rsidR="007128F1" w:rsidRPr="0018295D" w14:paraId="09C21293" w14:textId="77777777" w:rsidTr="006C253D">
        <w:trPr>
          <w:trHeight w:val="330"/>
          <w:jc w:val="center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2B50BB" w14:textId="77777777" w:rsidR="007128F1" w:rsidRPr="0018295D" w:rsidRDefault="007128F1" w:rsidP="007128F1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Vendndodhja/Harta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1A94" w14:textId="4CB90531" w:rsidR="00046717" w:rsidRPr="0018295D" w:rsidRDefault="00046717" w:rsidP="007128F1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FC25252" w14:textId="247838B4" w:rsidR="00E93A1A" w:rsidRPr="0018295D" w:rsidRDefault="00E93A1A" w:rsidP="00254092">
            <w:pPr>
              <w:spacing w:before="60" w:after="60" w:line="26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        </w:t>
            </w:r>
          </w:p>
          <w:p w14:paraId="3324170A" w14:textId="1EC8FF50" w:rsidR="00254092" w:rsidRPr="0018295D" w:rsidRDefault="00254092" w:rsidP="00254092">
            <w:pPr>
              <w:spacing w:before="60" w:after="60" w:line="26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lang w:val="en-US"/>
              </w:rPr>
              <w:drawing>
                <wp:inline distT="0" distB="0" distL="0" distR="0" wp14:anchorId="1FF7587C" wp14:editId="6F0A5E44">
                  <wp:extent cx="3830452" cy="3647975"/>
                  <wp:effectExtent l="0" t="0" r="0" b="0"/>
                  <wp:docPr id="1230912110" name="Picture 1230912110" descr="A map of a countr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912110" name="Picture 3" descr="A map of a countr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77" b="12767"/>
                          <a:stretch/>
                        </pic:blipFill>
                        <pic:spPr bwMode="auto">
                          <a:xfrm>
                            <a:off x="0" y="0"/>
                            <a:ext cx="3835388" cy="3652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6ED7A0" w14:textId="77777777" w:rsidR="00254092" w:rsidRPr="0018295D" w:rsidRDefault="00254092" w:rsidP="00254092">
            <w:pPr>
              <w:spacing w:before="60" w:after="60" w:line="26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2A1D9395" w14:textId="77777777" w:rsidR="00E93A1A" w:rsidRPr="0018295D" w:rsidRDefault="00E93A1A" w:rsidP="007128F1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FDF6F6B" w14:textId="2FFD824F" w:rsidR="007A7C6F" w:rsidRPr="0018295D" w:rsidRDefault="007A7C6F" w:rsidP="007128F1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8F1" w:rsidRPr="0018295D" w14:paraId="1978BAE7" w14:textId="77777777" w:rsidTr="006C253D">
        <w:trPr>
          <w:trHeight w:val="330"/>
          <w:jc w:val="center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4F3571" w14:textId="77777777" w:rsidR="007128F1" w:rsidRPr="0018295D" w:rsidRDefault="007128F1" w:rsidP="007128F1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Investimi total i parashikuar:</w:t>
            </w:r>
          </w:p>
          <w:p w14:paraId="7AC2180C" w14:textId="77777777" w:rsidR="007128F1" w:rsidRPr="0018295D" w:rsidRDefault="007128F1" w:rsidP="00D4297A">
            <w:pPr>
              <w:numPr>
                <w:ilvl w:val="0"/>
                <w:numId w:val="3"/>
              </w:numPr>
              <w:spacing w:before="60" w:after="60" w:line="260" w:lineRule="atLeast"/>
              <w:ind w:left="223" w:hanging="2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Aktivitetet përgatitore (dokumentacioni planifikues, dokumentacioni teknik, marrja e tokës etj.) </w:t>
            </w:r>
          </w:p>
          <w:p w14:paraId="3893D24D" w14:textId="342F67A3" w:rsidR="007128F1" w:rsidRPr="0018295D" w:rsidRDefault="007128F1" w:rsidP="0019661E">
            <w:pPr>
              <w:spacing w:before="60" w:after="60" w:line="260" w:lineRule="atLeast"/>
              <w:ind w:left="2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BDD5" w14:textId="0844660B" w:rsidR="00B308B3" w:rsidRDefault="00B308B3" w:rsidP="007128F1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Investimi total i parashikuar: 296,243,720.00€</w:t>
            </w:r>
          </w:p>
          <w:p w14:paraId="430B5A6F" w14:textId="618B4312" w:rsidR="006C253D" w:rsidRPr="00340D43" w:rsidRDefault="006C253D" w:rsidP="007128F1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Nga të cilat: </w:t>
            </w:r>
          </w:p>
          <w:p w14:paraId="16DA762D" w14:textId="20693DA6" w:rsidR="00D740FB" w:rsidRPr="00340D43" w:rsidRDefault="00780388" w:rsidP="007128F1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Kostot indikative, Studimi i Aglomerimit dhe Fizibilitetit: </w:t>
            </w:r>
          </w:p>
          <w:p w14:paraId="0456EEAB" w14:textId="7B55A849" w:rsidR="00CE5C0C" w:rsidRPr="00340D43" w:rsidRDefault="0022230A" w:rsidP="007128F1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6,000,000 EUR</w:t>
            </w:r>
          </w:p>
          <w:p w14:paraId="4C3E9F79" w14:textId="266BF048" w:rsidR="00D740FB" w:rsidRPr="00C47766" w:rsidRDefault="00780388" w:rsidP="00C47766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Kostot indikative të ndërtimit dhe mbikëqyrjes: 290,243,720.00€ </w:t>
            </w:r>
          </w:p>
        </w:tc>
      </w:tr>
      <w:tr w:rsidR="00197808" w:rsidRPr="0018295D" w14:paraId="513C0B0A" w14:textId="77777777" w:rsidTr="006C253D">
        <w:trPr>
          <w:trHeight w:val="346"/>
          <w:jc w:val="center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6F082" w14:textId="77777777" w:rsidR="00197808" w:rsidRPr="0018295D" w:rsidRDefault="00197808" w:rsidP="00197808">
            <w:pPr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Personi përgjegjës ose i autorizuar për kontakt: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74BB" w14:textId="791533F7" w:rsidR="00197808" w:rsidRPr="0018295D" w:rsidRDefault="00197808" w:rsidP="00197808">
            <w:pPr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808" w:rsidRPr="0018295D" w14:paraId="73686222" w14:textId="77777777" w:rsidTr="006C253D">
        <w:trPr>
          <w:trHeight w:val="346"/>
          <w:jc w:val="center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806810" w14:textId="77777777" w:rsidR="00197808" w:rsidRPr="0018295D" w:rsidRDefault="00197808" w:rsidP="00197808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Emri – Pozita: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7245" w14:textId="5B08F6C0" w:rsidR="00FB7B3A" w:rsidRPr="00794CE8" w:rsidRDefault="00FB7B3A" w:rsidP="00FB7B3A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Anita Hajredini Krasniqi, Koordinatore për Projekte Kapitale</w:t>
            </w:r>
          </w:p>
          <w:p w14:paraId="7168A447" w14:textId="4C7CE285" w:rsidR="00FB7B3A" w:rsidRPr="00FB7B3A" w:rsidRDefault="00764DC6" w:rsidP="00FB7B3A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Lulzim Paçarizi, Drejtor i Departamentit për Ujëra të Zeza</w:t>
            </w:r>
          </w:p>
          <w:p w14:paraId="1CA0018D" w14:textId="19FA1CF0" w:rsidR="00FB7B3A" w:rsidRPr="00794CE8" w:rsidRDefault="00FB7B3A" w:rsidP="00197808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Bashkim Halabaku, Udhëheqës i GIS – Zyra e Pasurive</w:t>
            </w:r>
          </w:p>
          <w:p w14:paraId="6424D0BA" w14:textId="2A7F916F" w:rsidR="00794CE8" w:rsidRPr="00794CE8" w:rsidRDefault="00794CE8" w:rsidP="00197808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Agron Dreshaj, Departamenti Teknik i KRU HIDRODRINI</w:t>
            </w:r>
          </w:p>
        </w:tc>
      </w:tr>
      <w:tr w:rsidR="00197808" w:rsidRPr="0018295D" w14:paraId="3E7B1590" w14:textId="77777777" w:rsidTr="006C253D">
        <w:trPr>
          <w:trHeight w:val="346"/>
          <w:jc w:val="center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9A825" w14:textId="77777777" w:rsidR="00197808" w:rsidRPr="0018295D" w:rsidRDefault="00197808" w:rsidP="00197808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Adresa e emailit - Telefoni: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95C8" w14:textId="006D8F02" w:rsidR="00FB7B3A" w:rsidRPr="00794CE8" w:rsidRDefault="0018302E" w:rsidP="00FB7B3A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6401B">
                <w:rPr>
                  <w:rStyle w:val="Hyperlink"/>
                  <w:rFonts w:ascii="Arial" w:hAnsi="Arial"/>
                  <w:color w:val="auto"/>
                  <w:sz w:val="20"/>
                </w:rPr>
                <w:t>anita.hajredini@kru-prishtina.com</w:t>
              </w:r>
            </w:hyperlink>
            <w:r w:rsidR="00B6401B">
              <w:rPr>
                <w:rStyle w:val="Hyperlink"/>
                <w:rFonts w:ascii="Arial" w:hAnsi="Arial"/>
                <w:color w:val="auto"/>
                <w:sz w:val="20"/>
              </w:rPr>
              <w:t>;</w:t>
            </w:r>
            <w:r w:rsidR="00B6401B">
              <w:rPr>
                <w:rFonts w:ascii="Arial" w:hAnsi="Arial"/>
                <w:sz w:val="20"/>
              </w:rPr>
              <w:t xml:space="preserve">   + 383 44 429 977</w:t>
            </w:r>
          </w:p>
          <w:p w14:paraId="7A73BA41" w14:textId="53CB126E" w:rsidR="00FB7B3A" w:rsidRPr="00C41BD2" w:rsidRDefault="0018302E" w:rsidP="00FB7B3A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B6401B">
                <w:rPr>
                  <w:rStyle w:val="Hyperlink"/>
                  <w:rFonts w:ascii="Arial" w:hAnsi="Arial"/>
                  <w:color w:val="auto"/>
                  <w:sz w:val="20"/>
                </w:rPr>
                <w:t>lulzimpacarizi@gmail.com</w:t>
              </w:r>
            </w:hyperlink>
            <w:r w:rsidR="00B6401B">
              <w:rPr>
                <w:rStyle w:val="Hyperlink"/>
                <w:rFonts w:ascii="Arial" w:hAnsi="Arial"/>
                <w:color w:val="auto"/>
                <w:sz w:val="20"/>
              </w:rPr>
              <w:t>;</w:t>
            </w:r>
            <w:r w:rsidR="00B6401B">
              <w:rPr>
                <w:rFonts w:ascii="Arial" w:hAnsi="Arial"/>
                <w:sz w:val="20"/>
              </w:rPr>
              <w:t xml:space="preserve">  + 38344156838</w:t>
            </w:r>
          </w:p>
          <w:p w14:paraId="5F5C7C77" w14:textId="67E5B5AB" w:rsidR="00FB7B3A" w:rsidRPr="00794CE8" w:rsidRDefault="0018302E" w:rsidP="00FB7B3A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B6401B">
                <w:rPr>
                  <w:rStyle w:val="Hyperlink"/>
                  <w:rFonts w:ascii="Arial" w:hAnsi="Arial"/>
                  <w:color w:val="auto"/>
                  <w:sz w:val="20"/>
                </w:rPr>
                <w:t>bashkimhalabaku@gmail.com</w:t>
              </w:r>
            </w:hyperlink>
            <w:r w:rsidR="00B6401B">
              <w:rPr>
                <w:rStyle w:val="Hyperlink"/>
                <w:rFonts w:ascii="Arial" w:hAnsi="Arial"/>
                <w:color w:val="auto"/>
                <w:sz w:val="20"/>
              </w:rPr>
              <w:t>;</w:t>
            </w:r>
            <w:r w:rsidR="00B6401B">
              <w:rPr>
                <w:rFonts w:ascii="Arial" w:hAnsi="Arial"/>
                <w:sz w:val="20"/>
              </w:rPr>
              <w:t xml:space="preserve">  + 38344250484</w:t>
            </w:r>
          </w:p>
          <w:p w14:paraId="6A04353B" w14:textId="4FF4BA11" w:rsidR="00FB7B3A" w:rsidRPr="00794CE8" w:rsidRDefault="0018302E" w:rsidP="00FB7B3A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B6401B">
                <w:rPr>
                  <w:rFonts w:ascii="Arial" w:hAnsi="Arial"/>
                  <w:sz w:val="20"/>
                  <w:u w:val="single"/>
                </w:rPr>
                <w:t>a.dreshaj@hidrodrini.com</w:t>
              </w:r>
            </w:hyperlink>
            <w:r w:rsidR="00B6401B">
              <w:rPr>
                <w:rFonts w:ascii="Arial" w:hAnsi="Arial"/>
                <w:sz w:val="20"/>
                <w:u w:val="single"/>
              </w:rPr>
              <w:t>;</w:t>
            </w:r>
            <w:r w:rsidR="00B6401B">
              <w:rPr>
                <w:rFonts w:ascii="Arial" w:hAnsi="Arial"/>
                <w:sz w:val="20"/>
              </w:rPr>
              <w:t xml:space="preserve">  +38349222545</w:t>
            </w:r>
          </w:p>
        </w:tc>
      </w:tr>
    </w:tbl>
    <w:p w14:paraId="2D014657" w14:textId="77777777" w:rsidR="0083451C" w:rsidRPr="0018295D" w:rsidRDefault="0074067A" w:rsidP="00D4297A">
      <w:pPr>
        <w:pStyle w:val="ListParagraph"/>
        <w:numPr>
          <w:ilvl w:val="0"/>
          <w:numId w:val="2"/>
        </w:numPr>
        <w:spacing w:before="200" w:after="120"/>
        <w:jc w:val="both"/>
        <w:rPr>
          <w:rFonts w:cs="Arial"/>
          <w:b/>
          <w:szCs w:val="20"/>
        </w:rPr>
      </w:pPr>
      <w:r>
        <w:rPr>
          <w:b/>
        </w:rPr>
        <w:t>PËRSHKRIMI I PROJEKTIT</w:t>
      </w:r>
    </w:p>
    <w:tbl>
      <w:tblPr>
        <w:tblW w:w="4947" w:type="pct"/>
        <w:tblInd w:w="108" w:type="dxa"/>
        <w:tblLook w:val="01E0" w:firstRow="1" w:lastRow="1" w:firstColumn="1" w:lastColumn="1" w:noHBand="0" w:noVBand="0"/>
      </w:tblPr>
      <w:tblGrid>
        <w:gridCol w:w="3853"/>
        <w:gridCol w:w="5727"/>
      </w:tblGrid>
      <w:tr w:rsidR="007128F1" w:rsidRPr="0018295D" w14:paraId="425AA815" w14:textId="77777777" w:rsidTr="00596577">
        <w:trPr>
          <w:trHeight w:val="3230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43679" w14:textId="77777777" w:rsidR="007128F1" w:rsidRPr="0018295D" w:rsidRDefault="007128F1" w:rsidP="007128F1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Qëllimi i projektit infrastrukturor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DEE" w14:textId="28486BCD" w:rsidR="00046717" w:rsidRPr="0018295D" w:rsidRDefault="00046717" w:rsidP="00F40511">
            <w:pPr>
              <w:spacing w:before="60" w:after="60" w:line="26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Projekti synon të: </w:t>
            </w:r>
          </w:p>
          <w:p w14:paraId="7D08FD39" w14:textId="062A9059" w:rsidR="00046717" w:rsidRPr="0018295D" w:rsidRDefault="00046717" w:rsidP="00F40511">
            <w:pPr>
              <w:spacing w:before="60" w:after="60" w:line="26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 Sigurojë ndikim të konsiderueshëm pozitiv në shëndetin publik përmes përmirësimit të grumbullimit dhe trajtimit të ujërave të zeza në komunat e përzgjedhura;</w:t>
            </w:r>
          </w:p>
          <w:p w14:paraId="5CE764C6" w14:textId="4934FB7C" w:rsidR="00046717" w:rsidRPr="0018295D" w:rsidRDefault="009E4AA8" w:rsidP="00F40511">
            <w:pPr>
              <w:spacing w:before="60" w:after="60" w:line="26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- Kontribuojë në plotësimin e nevojave të ardhshme </w:t>
            </w:r>
            <w:r w:rsidR="00DA665A">
              <w:rPr>
                <w:rFonts w:ascii="Arial" w:hAnsi="Arial"/>
                <w:sz w:val="20"/>
              </w:rPr>
              <w:t>të Kosovës për pajtueshmëri me Legjislacionin M</w:t>
            </w:r>
            <w:r>
              <w:rPr>
                <w:rFonts w:ascii="Arial" w:hAnsi="Arial"/>
                <w:sz w:val="20"/>
              </w:rPr>
              <w:t>jedisor të KE-së, në veçanti Direktivën e KE-së për trajtimin e ujërave të zeza urbane dhe procesin e para-anëtarësimit të Kosovës;</w:t>
            </w:r>
          </w:p>
          <w:p w14:paraId="3411DD84" w14:textId="77777777" w:rsidR="00046717" w:rsidRPr="0018295D" w:rsidRDefault="00046717" w:rsidP="00F40511">
            <w:pPr>
              <w:spacing w:before="60" w:after="60" w:line="26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 Largojë ndotjen serioze nga lumenjtë urban dhe në rrjedhën e poshtme dhe të ruajë burimet e ujit të pijshëm dhe cilësisë mjedisore të rrjedhave të lumenjve.</w:t>
            </w:r>
          </w:p>
          <w:p w14:paraId="2C6BE5C6" w14:textId="77777777" w:rsidR="00046717" w:rsidRPr="0018295D" w:rsidRDefault="00046717" w:rsidP="00F40511">
            <w:pPr>
              <w:spacing w:before="60" w:after="60" w:line="26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28F1" w:rsidRPr="0018295D" w14:paraId="414D5161" w14:textId="77777777" w:rsidTr="007128F1">
        <w:trPr>
          <w:trHeight w:val="330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EF0E96" w14:textId="77777777" w:rsidR="007128F1" w:rsidRPr="0018295D" w:rsidRDefault="007128F1" w:rsidP="007128F1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Rezultatet e projektit infrastrukturor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DA0" w14:textId="77777777" w:rsidR="00596577" w:rsidRPr="0018295D" w:rsidRDefault="00596577" w:rsidP="0059657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R1. Përmirësimi i cilësisë së ujit: Procedurat e trajtimit të optimizuara rezultojnë në ujëra të zeza të trajtuara që janë përmirësuar ndjeshëm në cilësi.</w:t>
            </w:r>
          </w:p>
          <w:p w14:paraId="20F818E3" w14:textId="77777777" w:rsidR="00596577" w:rsidRPr="0018295D" w:rsidRDefault="00596577" w:rsidP="0059657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R1. Pajtueshmëria mjedisore: U sigurua që ligjet dhe udhëzimet mjedisore lokale, shtetërore, federale dhe ndërkombëtare të ndiqen.</w:t>
            </w:r>
          </w:p>
          <w:p w14:paraId="5F745B1C" w14:textId="701D1382" w:rsidR="00596577" w:rsidRPr="0018295D" w:rsidRDefault="00596577" w:rsidP="0059657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R3. Mbrojtja e Shëndetit Publik: Ulja e rreziqeve shëndetësore nga ujërat e zeza të patrajtuara, duke përmirësuar mirëqenien e përgjithshme të komunitetit.</w:t>
            </w:r>
          </w:p>
          <w:p w14:paraId="3706EE76" w14:textId="594FB406" w:rsidR="00596577" w:rsidRPr="0018295D" w:rsidRDefault="00596577" w:rsidP="0059657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R4. Rritja e kapacitetit të trajtimit: Për të përmbushur kërkesat e një popullsie dhe industrie në rritje, kapaciteti i trajtimit u rrit.</w:t>
            </w:r>
          </w:p>
          <w:p w14:paraId="0FA4D35D" w14:textId="71942A3B" w:rsidR="00046717" w:rsidRPr="0018295D" w:rsidRDefault="00596577" w:rsidP="0059657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R5. Rikuperimi i burimeve: Kombinimi i teknikave për rikuperimin e burimeve, si nxjerrja e energjisë dhe lëndëve ushqyese, për të avancuar qëndrueshmërinë.</w:t>
            </w:r>
          </w:p>
        </w:tc>
      </w:tr>
      <w:tr w:rsidR="00CA046D" w:rsidRPr="0018295D" w14:paraId="2F13476E" w14:textId="77777777" w:rsidTr="007128F1">
        <w:trPr>
          <w:trHeight w:val="2898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7D1BA" w14:textId="1BA7103E" w:rsidR="00CA046D" w:rsidRPr="0018295D" w:rsidRDefault="00462563" w:rsidP="00462563">
            <w:pPr>
              <w:spacing w:before="60" w:after="60" w:line="260" w:lineRule="atLeas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Përshkrimi i përgjithshëm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16F0" w14:textId="63EF2C96" w:rsidR="00C43782" w:rsidRPr="0018295D" w:rsidRDefault="00C43782" w:rsidP="0059657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</w:rPr>
              <w:t>Shqyrtimi i Strategjisë Shtetërore për Ujëra 2023 – 2027 dhe Planit të Veprimit 2023 - 2025, synon rritjen e shkallës së popullsisë që ka qasje në sistemet e ujërave të zeza që trajtojnë ujërat e zeza nga 8% në 35% deri në vitin 2027.</w:t>
            </w:r>
          </w:p>
          <w:p w14:paraId="5C02A6A4" w14:textId="1C180647" w:rsidR="00086B72" w:rsidRPr="0018295D" w:rsidRDefault="00086B72" w:rsidP="00596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  <w:p w14:paraId="6F9A38E4" w14:textId="63A2EEC5" w:rsidR="00086B72" w:rsidRPr="0018295D" w:rsidRDefault="00C43782" w:rsidP="00596577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Trajtimi i ujërave të zeza është thelbësor për mbrojtjen e mjedisit dhe shëndetit publik. Në Kosovë, si në çdo rajon tjetër, nevojat specifike për trajtimin e ujërave të zeza mund të ndryshojnë në bazë të faktorëve si dendësia e popullsisë, aktivitetet industriale dhe kërkesat rregullatore.</w:t>
            </w:r>
          </w:p>
          <w:p w14:paraId="25AC7AED" w14:textId="77777777" w:rsidR="00780388" w:rsidRPr="0018295D" w:rsidRDefault="00780388" w:rsidP="00086B72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F593C2" w14:textId="486897F4" w:rsidR="00086B72" w:rsidRPr="0018295D" w:rsidRDefault="00086B72" w:rsidP="00086B72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Ky projekt është në fazat e para të përgatitjes.</w:t>
            </w:r>
          </w:p>
          <w:p w14:paraId="1AE55615" w14:textId="49C34346" w:rsidR="00086B72" w:rsidRPr="0018295D" w:rsidRDefault="00086B72" w:rsidP="00086B72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Studimet e aglomerimit dhe studimet e fizibilitetit duhet të kryhen për të përcaktuar më në detaje fizibilitetin ekonomik dhe financiar të investimit të parashikuar. Një studim grumbullimi për ndërtimin e një impianti për trajtimin e ujërave të zeza përfshin vlerësimin e faktorëve të ndryshëm që lidhen me vendndodhjen, projektimin dhe funksionimin e impiantit të </w:t>
            </w:r>
            <w:r>
              <w:rPr>
                <w:rFonts w:ascii="Arial" w:hAnsi="Arial"/>
                <w:sz w:val="20"/>
              </w:rPr>
              <w:lastRenderedPageBreak/>
              <w:t>trajtimit të ujërave të zeza. Qëllimi i studimit është përcaktimi i vendndodhjes më të mirë për ndërtimin e një impianti për trajtimin e ujërave të zeza, duke marrë parasysh faktorët gjeografikë, mjedisorë, socialë dhe ekonomikë.</w:t>
            </w:r>
          </w:p>
          <w:p w14:paraId="0554D672" w14:textId="77777777" w:rsidR="00596577" w:rsidRPr="0018295D" w:rsidRDefault="00086B72" w:rsidP="00086B72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14:paraId="34D15DAF" w14:textId="51DC71BE" w:rsidR="00086B72" w:rsidRPr="0018295D" w:rsidRDefault="00086B72" w:rsidP="00086B72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Përcaktimi i numrit të impianteve të nevojshme për trajtimin e ujërave të zeza në Kosovë kërkon një analizë të detajuar që merr parasysh faktorë të ndryshëm si dendësia e popullsisë, aktiviteti industrial, trendet e urbanizimit, modelet e përdorimit të ujit, objektivat mjedisore dhe kërkesat rregullatore. Për shkak të këtyre faktorëve dinamikë, numri aktual i impianteve të trajtimit të ujërave të zeza mund të ndryshojë. Kërkohet një studim gjithëpërfshirës teknik dhe i fizibilitetit për të përcaktuar numrin e saktë dhe kapacitetin e impianteve të trajtimit të ujërave të zeza që nevojiten në Kosovë.</w:t>
            </w:r>
          </w:p>
          <w:p w14:paraId="70AB7044" w14:textId="77777777" w:rsidR="00086B72" w:rsidRPr="0018295D" w:rsidRDefault="00086B72" w:rsidP="00086B72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5E8452" w14:textId="6D148543" w:rsidR="00EB710A" w:rsidRDefault="002A0752" w:rsidP="00EB710A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Pas rezultateve të studimit, priten ndërhyrje prioritare në vendet e mëposhtme: </w:t>
            </w:r>
          </w:p>
          <w:p w14:paraId="47493E65" w14:textId="77777777" w:rsidR="00CB4557" w:rsidRPr="0018295D" w:rsidRDefault="00CB4557" w:rsidP="00EB710A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9C2FF7" w14:textId="6F5CCD3E" w:rsidR="000426D1" w:rsidRPr="00B66989" w:rsidRDefault="000426D1" w:rsidP="005D4820">
            <w:pPr>
              <w:pStyle w:val="ListParagraph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="Arial"/>
                <w:szCs w:val="20"/>
              </w:rPr>
            </w:pPr>
            <w:r>
              <w:t xml:space="preserve">Impianti për trajtimin e ujërave të zeza për Kosovën qendrore (Lipjan, Shtime dhe Drenas), Masat e investimit në total (bazuar në </w:t>
            </w:r>
            <w:r>
              <w:rPr>
                <w:color w:val="000000"/>
              </w:rPr>
              <w:t>Masterplanin dhe studimin e fizibilitetit nga SRP</w:t>
            </w:r>
            <w:r>
              <w:t>, financuar nga KfW/BE janë 175,500,000.00</w:t>
            </w:r>
            <w:r>
              <w:rPr>
                <w:color w:val="000000"/>
              </w:rPr>
              <w:t>€</w:t>
            </w:r>
            <w:r>
              <w:t xml:space="preserve">. Numri i personave që do të përfitojnë nga projekti është: </w:t>
            </w:r>
            <w:r>
              <w:rPr>
                <w:color w:val="000000"/>
              </w:rPr>
              <w:t xml:space="preserve">për Lipjanin 57,413 banorë, për Shtimen 20,069 banorë dhe për Drenasin 60,525 banorë. </w:t>
            </w:r>
          </w:p>
          <w:p w14:paraId="1949DE60" w14:textId="77994C3D" w:rsidR="00CB4557" w:rsidRPr="00B66989" w:rsidRDefault="00CB4557" w:rsidP="005D4820">
            <w:pPr>
              <w:pStyle w:val="ListParagraph"/>
              <w:numPr>
                <w:ilvl w:val="0"/>
                <w:numId w:val="5"/>
              </w:numPr>
              <w:spacing w:after="400" w:line="240" w:lineRule="auto"/>
              <w:jc w:val="both"/>
              <w:rPr>
                <w:rFonts w:cs="Arial"/>
                <w:szCs w:val="20"/>
              </w:rPr>
            </w:pPr>
            <w:r>
              <w:t>Trajtimi i ujërave të zeza në pellgun e sipërm të lumit Drin i Bardhë. Investimi total i vlerësuar është 53,570,000€ për 200,000 banorë.</w:t>
            </w:r>
          </w:p>
          <w:p w14:paraId="5D168960" w14:textId="2412E066" w:rsidR="00CB4557" w:rsidRPr="00B66989" w:rsidRDefault="00CB4557" w:rsidP="005D4820">
            <w:pPr>
              <w:pStyle w:val="ListParagraph"/>
              <w:numPr>
                <w:ilvl w:val="0"/>
                <w:numId w:val="5"/>
              </w:numPr>
              <w:spacing w:after="400" w:line="240" w:lineRule="auto"/>
              <w:jc w:val="both"/>
              <w:rPr>
                <w:rFonts w:cs="Arial"/>
                <w:szCs w:val="20"/>
              </w:rPr>
            </w:pPr>
            <w:r>
              <w:t>Impianti për trajtimin e ujërave të zeza për qytetin e Kamenicës dhe Ranillugut, duke përfshirë rrjetin e kanalizimit dhe trajtimin terciar.  Investimi total i parashikuar: 18,000,000€ për 50,000 banorë</w:t>
            </w:r>
          </w:p>
          <w:p w14:paraId="03099F26" w14:textId="77777777" w:rsidR="003903CE" w:rsidRPr="00B66989" w:rsidRDefault="00CB4557" w:rsidP="005D4820">
            <w:pPr>
              <w:pStyle w:val="ListParagraph"/>
              <w:numPr>
                <w:ilvl w:val="0"/>
                <w:numId w:val="5"/>
              </w:numPr>
              <w:spacing w:after="400" w:line="240" w:lineRule="auto"/>
              <w:jc w:val="both"/>
              <w:rPr>
                <w:rFonts w:cs="Arial"/>
                <w:szCs w:val="20"/>
              </w:rPr>
            </w:pPr>
            <w:r>
              <w:t>Ndërtimi i Impiantit të Trajtimit të Ujërave të Zeza për qytetin e Vitisë dhe Kllokotit (përfshirë rrjetin e kanalizimit dhe trajtimin terciar). Investimi total i parashikuar 53,570,000€ për 50,000 banorë</w:t>
            </w:r>
          </w:p>
          <w:p w14:paraId="59789D66" w14:textId="3D893981" w:rsidR="00CB4557" w:rsidRPr="00B66989" w:rsidRDefault="00CB4557" w:rsidP="005D4820">
            <w:pPr>
              <w:pStyle w:val="ListParagraph"/>
              <w:numPr>
                <w:ilvl w:val="0"/>
                <w:numId w:val="5"/>
              </w:numPr>
              <w:spacing w:after="400" w:line="240" w:lineRule="auto"/>
              <w:jc w:val="both"/>
              <w:rPr>
                <w:rFonts w:cs="Arial"/>
                <w:szCs w:val="20"/>
              </w:rPr>
            </w:pPr>
            <w:r>
              <w:t>Rrjeti i kanalizimeve dhe impianti i trajtimit të ujërave të zeza për rajonin e Zhupës. Investimi total i parashikuar: 16,500,000€ për 25,000 banorë.</w:t>
            </w:r>
          </w:p>
          <w:p w14:paraId="46831D99" w14:textId="1F834929" w:rsidR="00D3786F" w:rsidRPr="002F400E" w:rsidRDefault="00CB4557" w:rsidP="00D3786F">
            <w:pPr>
              <w:pStyle w:val="ListParagraph"/>
              <w:numPr>
                <w:ilvl w:val="0"/>
                <w:numId w:val="5"/>
              </w:numPr>
              <w:spacing w:after="400" w:line="240" w:lineRule="auto"/>
              <w:jc w:val="both"/>
              <w:rPr>
                <w:rFonts w:cs="Arial"/>
                <w:color w:val="FF0000"/>
                <w:sz w:val="24"/>
                <w:szCs w:val="24"/>
              </w:rPr>
            </w:pPr>
            <w:r>
              <w:t>Impianti i tra</w:t>
            </w:r>
            <w:r w:rsidR="008C05D9">
              <w:t>jtimit të ujërave të zeza</w:t>
            </w:r>
            <w:r>
              <w:t xml:space="preserve"> dhe kolektori kryesor për qytetet Suharekë dhe Mamushë. Investimi total i parashikuar 14,673,720€ për 74,109 banorë.</w:t>
            </w:r>
          </w:p>
        </w:tc>
      </w:tr>
    </w:tbl>
    <w:p w14:paraId="11A8206E" w14:textId="1E259B10" w:rsidR="007128F1" w:rsidRDefault="007128F1" w:rsidP="007128F1">
      <w:pPr>
        <w:pStyle w:val="ListParagraph"/>
        <w:spacing w:before="200" w:after="120"/>
        <w:ind w:left="340"/>
        <w:jc w:val="both"/>
        <w:rPr>
          <w:rFonts w:eastAsiaTheme="minorHAnsi" w:cs="Arial"/>
          <w:szCs w:val="20"/>
        </w:rPr>
      </w:pPr>
    </w:p>
    <w:p w14:paraId="79F0CACA" w14:textId="153D84A4" w:rsidR="006F1611" w:rsidRPr="0018295D" w:rsidRDefault="00462563" w:rsidP="00D4297A">
      <w:pPr>
        <w:pStyle w:val="ListParagraph"/>
        <w:numPr>
          <w:ilvl w:val="0"/>
          <w:numId w:val="2"/>
        </w:numPr>
        <w:spacing w:line="240" w:lineRule="auto"/>
        <w:rPr>
          <w:rFonts w:cs="Arial"/>
          <w:b/>
        </w:rPr>
      </w:pPr>
      <w:r>
        <w:rPr>
          <w:b/>
        </w:rPr>
        <w:t>KUALIFIKUE</w:t>
      </w:r>
      <w:r w:rsidR="0074067A">
        <w:rPr>
          <w:b/>
        </w:rPr>
        <w:t>SHMËRIA</w:t>
      </w:r>
    </w:p>
    <w:tbl>
      <w:tblPr>
        <w:tblW w:w="4947" w:type="pct"/>
        <w:tblInd w:w="108" w:type="dxa"/>
        <w:tblLook w:val="01E0" w:firstRow="1" w:lastRow="1" w:firstColumn="1" w:lastColumn="1" w:noHBand="0" w:noVBand="0"/>
      </w:tblPr>
      <w:tblGrid>
        <w:gridCol w:w="2307"/>
        <w:gridCol w:w="7273"/>
      </w:tblGrid>
      <w:tr w:rsidR="00360285" w:rsidRPr="0018295D" w14:paraId="6A70D8F8" w14:textId="77777777" w:rsidTr="00360285">
        <w:trPr>
          <w:trHeight w:val="346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740C96" w14:textId="2F773CF5" w:rsidR="00360285" w:rsidRPr="0018295D" w:rsidRDefault="0046256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Koherenca</w:t>
            </w:r>
            <w:r w:rsidR="00360285">
              <w:rPr>
                <w:rFonts w:ascii="Arial" w:hAnsi="Arial"/>
                <w:sz w:val="20"/>
              </w:rPr>
              <w:t xml:space="preserve"> me politikat dhe strategjitë e vlefshme të BE-së 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9A01" w14:textId="77777777" w:rsidR="00360285" w:rsidRPr="0018295D" w:rsidRDefault="00360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Direktiva për trajtimin e ujërave të zeza urbane 2019/904</w:t>
            </w:r>
            <w:r>
              <w:rPr>
                <w:rFonts w:ascii="Arial" w:hAnsi="Arial"/>
                <w:sz w:val="20"/>
              </w:rPr>
              <w:t xml:space="preserve"> – Qëllimi i direktivës është të mbrojë mjedisin dhe shëndetin publik duke siguruar që ujërat e zeza urbane të trajtohen siç duhet përpara se të derdhen në lumenj, liqene dhe ujëra bregdetare. Direktiva kërkon që shtetet anëtare të BE-së të krijojnë një sistem lejesh për shkarkimin e ujërave të zeza dhe të sigurojnë që të gjitha ujërat e zeza të grumbullohen dhe trajtohen në përputhje me standarde të caktuara.</w:t>
            </w:r>
          </w:p>
          <w:p w14:paraId="2BEC7D32" w14:textId="55F97824" w:rsidR="00360285" w:rsidRPr="0018295D" w:rsidRDefault="00360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Sipas direktivës, të gjitha zonat urbane me një popullsi ekuivalente prej më shumë se 2,000 banorë duhet të kenë një impiant për trajtimin e ujërave të zeza që plotëson disa kërkesa teknike. Direktiva përcakton gjithashtu standarde për cilësinë e ujërave të zeza të trajtuara dhe monitorimin e shkarkimeve.</w:t>
            </w:r>
          </w:p>
          <w:p w14:paraId="2A8BB8D6" w14:textId="53681C81" w:rsidR="00360285" w:rsidRPr="0018295D" w:rsidRDefault="00360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Instrumenti për Asistencën e Para-A</w:t>
            </w:r>
            <w:r w:rsidR="0070096E">
              <w:rPr>
                <w:rFonts w:ascii="Arial" w:hAnsi="Arial"/>
                <w:b/>
                <w:sz w:val="20"/>
              </w:rPr>
              <w:t xml:space="preserve">nëtarësimit </w:t>
            </w:r>
            <w:r>
              <w:rPr>
                <w:rFonts w:ascii="Arial" w:hAnsi="Arial"/>
                <w:b/>
                <w:sz w:val="20"/>
              </w:rPr>
              <w:t xml:space="preserve">(IPA III) </w:t>
            </w:r>
            <w:r>
              <w:rPr>
                <w:rFonts w:ascii="Arial" w:hAnsi="Arial"/>
                <w:sz w:val="20"/>
              </w:rPr>
              <w:t xml:space="preserve">Korniza </w:t>
            </w:r>
            <w:r w:rsidR="0070096E">
              <w:rPr>
                <w:rFonts w:ascii="Arial" w:hAnsi="Arial"/>
                <w:sz w:val="20"/>
              </w:rPr>
              <w:t>Programuese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 xml:space="preserve"> për periudhën 2021-2027</w:t>
            </w:r>
          </w:p>
          <w:p w14:paraId="4D3EC322" w14:textId="77777777" w:rsidR="00360285" w:rsidRPr="0018295D" w:rsidRDefault="00360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Dritarja 3</w:t>
            </w:r>
            <w:r>
              <w:rPr>
                <w:rFonts w:ascii="Arial" w:hAnsi="Arial"/>
                <w:sz w:val="20"/>
              </w:rPr>
              <w:t xml:space="preserve">: Agjenda e gjelbër dhe lidhshmëria e qëndrueshme </w:t>
            </w:r>
          </w:p>
          <w:p w14:paraId="1205A285" w14:textId="3A5C18AB" w:rsidR="00360285" w:rsidRPr="0018295D" w:rsidRDefault="003602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</w:rPr>
              <w:t>Prioriteti tematik 1</w:t>
            </w:r>
            <w:r>
              <w:rPr>
                <w:rFonts w:ascii="Arial" w:hAnsi="Arial"/>
                <w:sz w:val="20"/>
              </w:rPr>
              <w:t xml:space="preserve">: Mjedisi dhe ndryshimi klimatik </w:t>
            </w:r>
          </w:p>
          <w:p w14:paraId="7D38945D" w14:textId="04199817" w:rsidR="00360285" w:rsidRPr="0018295D" w:rsidRDefault="003602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Plani ekonomik dhe investiv për Ballkanin Perëndimor</w:t>
            </w:r>
          </w:p>
          <w:p w14:paraId="783F4A8B" w14:textId="3782E51C" w:rsidR="00360285" w:rsidRPr="00DC4251" w:rsidRDefault="00360285">
            <w:pPr>
              <w:jc w:val="both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Fusha prioritare VI. Gjelbërimi i Ballkanit Perëndimor – Investimi në mjedis dhe klimë; </w:t>
            </w:r>
            <w:r>
              <w:rPr>
                <w:rFonts w:ascii="Arial" w:hAnsi="Arial"/>
                <w:sz w:val="20"/>
              </w:rPr>
              <w:t xml:space="preserve">FLAGSHIP 7 – Menaxhimi i mbeturinave dhe ujërave të zeza </w:t>
            </w:r>
          </w:p>
          <w:p w14:paraId="2F1BC0E4" w14:textId="77777777" w:rsidR="00360285" w:rsidRPr="0018295D" w:rsidRDefault="003602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Agjenda e Gjelbër për Ballkanin Perëndimor </w:t>
            </w:r>
          </w:p>
          <w:p w14:paraId="56C3B12F" w14:textId="4A03C77A" w:rsidR="00360285" w:rsidRPr="0018295D" w:rsidRDefault="003602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Shtylla e katërt: Pastërti</w:t>
            </w:r>
            <w:r w:rsidR="008C05D9">
              <w:rPr>
                <w:rFonts w:ascii="Arial" w:hAnsi="Arial"/>
                <w:sz w:val="20"/>
              </w:rPr>
              <w:t xml:space="preserve">a: e ajrit, ujit dhe tokës; Uji. </w:t>
            </w:r>
            <w:r>
              <w:rPr>
                <w:rFonts w:ascii="Arial" w:hAnsi="Arial"/>
                <w:sz w:val="20"/>
              </w:rPr>
              <w:t>Ballkani Perëndimor është shtëpia e disa prej lumenjve të fundit të pacenuar të kontinentit, por mbrojtja e tyre mbetet një sfidë.</w:t>
            </w:r>
            <w:r>
              <w:rPr>
                <w:rFonts w:ascii="Arial" w:hAnsi="Arial"/>
                <w:color w:val="252525"/>
                <w:sz w:val="20"/>
              </w:rPr>
              <w:t xml:space="preserve"> </w:t>
            </w:r>
          </w:p>
          <w:p w14:paraId="2C71476B" w14:textId="77777777" w:rsidR="00360285" w:rsidRPr="0018295D" w:rsidRDefault="00360285">
            <w:pPr>
              <w:jc w:val="both"/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Agjenda e Reformës Evropiane (ARE) II Faza e Dytë e Prioriteteve Politike BE-Kosovë:  </w:t>
            </w:r>
          </w:p>
          <w:p w14:paraId="10CDAA91" w14:textId="77777777" w:rsidR="00360285" w:rsidRPr="0018295D" w:rsidRDefault="00360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Shtylla II: Konkurrueshmëria, Investimet dhe Zhvillimi i Qëndrueshëm</w:t>
            </w:r>
          </w:p>
          <w:p w14:paraId="71CDEF5D" w14:textId="58959AB4" w:rsidR="00360285" w:rsidRPr="0018295D" w:rsidRDefault="003602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2.3. Trajtojnë sfidat prioritare mjedisore: Reflektojnë objektivat e Agjendës së Gjelbër të Ballkanit Perëndimor në zbatimin e politikave në fushën e mjedisit duke u fokusuar në: Reduktimi i ndotjes së ajrit dhe ujit dhe përmirësimi i menaxhimit të mbeturina</w:t>
            </w:r>
            <w:r w:rsidR="008C05D9">
              <w:rPr>
                <w:rFonts w:ascii="Arial" w:hAnsi="Arial"/>
                <w:sz w:val="20"/>
              </w:rPr>
              <w:t>ve</w:t>
            </w:r>
            <w:r>
              <w:rPr>
                <w:rFonts w:ascii="Arial" w:hAnsi="Arial"/>
                <w:sz w:val="20"/>
              </w:rPr>
              <w:t>.</w:t>
            </w:r>
          </w:p>
          <w:p w14:paraId="4538E5ED" w14:textId="77777777" w:rsidR="00581148" w:rsidRPr="00B60EB5" w:rsidRDefault="00581148" w:rsidP="00581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Raporti i BE-së për Kosovën (2023)</w:t>
            </w:r>
          </w:p>
          <w:p w14:paraId="610770CC" w14:textId="77777777" w:rsidR="00581148" w:rsidRDefault="00581148" w:rsidP="005811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Uji: Kosova ka arritur progres të kufizuar në përafrimin e legjislacionit për ujerat me acquis të BE-së. Mekanizmi monitorues i Strategjisë së Ujërave 2017-2036 dhe zbatimi i Ligjit për Ujërat kanë nevojë për përmirësime të mëtejshme. Kosova duhet të vendosë urgjentisht sistemet e monitorimit me të dhëna në dispozicion të publikut. </w:t>
            </w:r>
          </w:p>
          <w:p w14:paraId="5FC02C50" w14:textId="757F3F50" w:rsidR="00360285" w:rsidRPr="002D47D5" w:rsidRDefault="00581148" w:rsidP="005811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Planifikimi dhe ndërtimi i impianteve të trajtimit të ujërave të zeza në qytetet e mëdha po shkon mirë, por identifikimi i aglomerateve dhe zonave të ndjeshme në përputhje me Direktivën e Trajtimit të Ujërave të Zeza Urbane mbetet i dobët. Reduktimi i humbjeve të ujit dhe mbledhja e qarkullimit duhet të intensifikohet.</w:t>
            </w:r>
          </w:p>
        </w:tc>
      </w:tr>
      <w:tr w:rsidR="00360285" w:rsidRPr="0018295D" w14:paraId="6B275AAC" w14:textId="77777777" w:rsidTr="00360285">
        <w:trPr>
          <w:trHeight w:val="33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08F1E" w14:textId="77777777" w:rsidR="00360285" w:rsidRPr="0018295D" w:rsidRDefault="0036028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Kontributi në objektivat e vlefshme të zhvillimit kombëtar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DC63" w14:textId="77777777" w:rsidR="00581148" w:rsidRPr="00697017" w:rsidRDefault="00581148" w:rsidP="005811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Programi i Reformave Ekonomike (PRE) 2024-2026</w:t>
            </w:r>
          </w:p>
          <w:p w14:paraId="7C8F933F" w14:textId="77777777" w:rsidR="00360285" w:rsidRPr="0018295D" w:rsidRDefault="00360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Masa e reformës #9: Reduktimi i ndotjes së mjedisit dhe ruajtja e biodiversitetit.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420D8735" w14:textId="771DE5AE" w:rsidR="00360285" w:rsidRPr="002D47D5" w:rsidRDefault="00360285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5.2.2. Tranzicioni i gjelbër: Kosova përballet me çështje të ndryshme mjedisore si ndryshimet klimatike, fatkeqësitë natyrore dhe ndotjet e ndryshme. Këto çështje mjedisore paraqesin sfida të konsiderueshme zhvillimore për institucionet e Kosovës, të cilat ende nuk kanë kapacitete të mjaftueshme për t'i trajtuar ato. Ato synohen të realizohen përmes disa aktiviteteve të planifikuara, për të përmbushur objektivin e masës. Sasia e vogël e ujërave në rrjedhat ujore lokale, me një vëllim mesatar vjetor më të vogël se 100 m</w:t>
            </w:r>
            <w:r>
              <w:rPr>
                <w:rFonts w:ascii="Arial" w:hAnsi="Arial"/>
                <w:sz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</w:rPr>
              <w:t>/s, nënkupton nevojën për ndërtimin e Impianteve të Trajtimit të Ujërave të Ze</w:t>
            </w:r>
            <w:r w:rsidR="008C05D9">
              <w:rPr>
                <w:rFonts w:ascii="Arial" w:hAnsi="Arial"/>
                <w:sz w:val="20"/>
              </w:rPr>
              <w:t>za Urbane dhe Industriale</w:t>
            </w:r>
            <w:r>
              <w:rPr>
                <w:rFonts w:ascii="Arial" w:hAnsi="Arial"/>
                <w:sz w:val="20"/>
              </w:rPr>
              <w:t>.</w:t>
            </w:r>
          </w:p>
          <w:p w14:paraId="1C08CA55" w14:textId="77777777" w:rsidR="00360285" w:rsidRPr="0018295D" w:rsidRDefault="00360285">
            <w:pPr>
              <w:jc w:val="both"/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Strategjia Kombëtare për Zhvillim (SKZh) 2030</w:t>
            </w:r>
            <w:r>
              <w:rPr>
                <w:rFonts w:ascii="Arial" w:hAnsi="Arial"/>
                <w:b/>
                <w:color w:val="70AD47" w:themeColor="accent6"/>
                <w:sz w:val="20"/>
              </w:rPr>
              <w:t xml:space="preserve"> </w:t>
            </w:r>
          </w:p>
          <w:p w14:paraId="1846DCB3" w14:textId="45C45726" w:rsidR="00360285" w:rsidRPr="0018295D" w:rsidRDefault="002D47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Shtylla 1: Zhvillimi i Qëndrueshëm Ekonomik</w:t>
            </w:r>
          </w:p>
          <w:p w14:paraId="718D6CE1" w14:textId="28DF8296" w:rsidR="00360285" w:rsidRPr="00DC4251" w:rsidRDefault="00360285" w:rsidP="00D4297A">
            <w:pPr>
              <w:pStyle w:val="ListParagraph"/>
              <w:numPr>
                <w:ilvl w:val="1"/>
                <w:numId w:val="4"/>
              </w:numPr>
              <w:jc w:val="both"/>
              <w:rPr>
                <w:rFonts w:eastAsiaTheme="majorEastAsia" w:cs="Arial"/>
                <w:szCs w:val="20"/>
              </w:rPr>
            </w:pPr>
            <w:bookmarkStart w:id="1" w:name="_Toc104504632"/>
            <w:bookmarkStart w:id="2" w:name="_Toc104816800"/>
            <w:r>
              <w:t>Ekonomi inovative, qarkore dhe konkurruese</w:t>
            </w:r>
            <w:bookmarkStart w:id="3" w:name="_Toc104816801"/>
            <w:bookmarkEnd w:id="1"/>
            <w:bookmarkEnd w:id="2"/>
          </w:p>
          <w:p w14:paraId="5996FA3C" w14:textId="25B10829" w:rsidR="00360285" w:rsidRPr="00DC4251" w:rsidRDefault="00360285" w:rsidP="00D4297A">
            <w:pPr>
              <w:pStyle w:val="ListParagraph"/>
              <w:numPr>
                <w:ilvl w:val="1"/>
                <w:numId w:val="4"/>
              </w:numPr>
              <w:jc w:val="both"/>
              <w:rPr>
                <w:rFonts w:eastAsiaTheme="majorEastAsia" w:cs="Arial"/>
                <w:szCs w:val="20"/>
              </w:rPr>
            </w:pPr>
            <w:r>
              <w:t>Infrastrukturë me cilësi të lartë, të qëndrueshme dhe të integruar</w:t>
            </w:r>
            <w:bookmarkStart w:id="4" w:name="_Toc104504634"/>
            <w:bookmarkStart w:id="5" w:name="_Toc104816802"/>
            <w:bookmarkEnd w:id="3"/>
          </w:p>
          <w:p w14:paraId="100AAB70" w14:textId="19A99C05" w:rsidR="00360285" w:rsidRPr="00DC4251" w:rsidRDefault="00360285" w:rsidP="00D4297A">
            <w:pPr>
              <w:pStyle w:val="ListParagraph"/>
              <w:numPr>
                <w:ilvl w:val="1"/>
                <w:numId w:val="4"/>
              </w:numPr>
              <w:jc w:val="both"/>
              <w:rPr>
                <w:rFonts w:eastAsiaTheme="majorEastAsia" w:cs="Arial"/>
                <w:szCs w:val="20"/>
              </w:rPr>
            </w:pPr>
            <w:r>
              <w:t>Mjedis i pastër dhe shfrytëzim i qëndrueshëm i burimeve natyrore</w:t>
            </w:r>
            <w:bookmarkEnd w:id="4"/>
            <w:bookmarkEnd w:id="5"/>
          </w:p>
          <w:p w14:paraId="045FA0C9" w14:textId="77777777" w:rsidR="00360285" w:rsidRPr="0018295D" w:rsidRDefault="00360285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Ky synim zhvillimor do të arrihet përmes këtyre objektivave strategjikë: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Menaxhimi i integruar i mbeturinave dhe rritja e qarkullimit të burimeve, qasja e përmirësuar në ujë dhe kanalizime dhe reduktimi i ndotjes së ujit, rritja e pjesës </w:t>
            </w:r>
            <w:r>
              <w:rPr>
                <w:rFonts w:ascii="Arial" w:hAnsi="Arial"/>
                <w:sz w:val="20"/>
              </w:rPr>
              <w:lastRenderedPageBreak/>
              <w:t>së burimeve të rinovueshme në përzierjen e energjisë, përmirësimi i efiçiencës së energjisë, disponueshmëria dhe efikasiteti i përmirësuar i ujit, promovimi i lëvizshmërisë së qëndrueshme digjitale, menaxhimi dhe përdorimi i qëndrueshëm i burimeve pyjore dhe i mbrojtjes së biodiversitetit, planifikimi përgjegjës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dhe zhvillimi i integruar territorial.</w:t>
            </w:r>
          </w:p>
          <w:p w14:paraId="3F6A68A7" w14:textId="5BE8F5B0" w:rsidR="00360285" w:rsidRPr="0018295D" w:rsidRDefault="004964DD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22222"/>
                <w:sz w:val="20"/>
                <w:shd w:val="clear" w:color="auto" w:fill="FFFFFF"/>
              </w:rPr>
              <w:t>Programi Kombëtar për Integrimin në BE 2023-2027, </w:t>
            </w:r>
            <w:r>
              <w:rPr>
                <w:rFonts w:ascii="Arial" w:hAnsi="Arial"/>
                <w:color w:val="222222"/>
                <w:sz w:val="20"/>
                <w:shd w:val="clear" w:color="auto" w:fill="FFFFFF"/>
              </w:rPr>
              <w:t xml:space="preserve">si dokumenti kryesor kombëtar i politikave për anëtarësimin në BE, vendos një kuadër gjithëpërfshirës afatmesëm të të gjitha reformave të nevojshme për të përmbushur detyrimet që rrjedhin nga Marrëveshja e Stabilizim-Asociimit.  Ai përfshin gjithashtu veprime në lidhje me zbatimin e masave afatmesme që adresojnë kërkesat bazuar në kapitullin 27 (Mjedisi) të acquis të BE-së. </w:t>
            </w:r>
            <w:r>
              <w:rPr>
                <w:rFonts w:ascii="Arial" w:hAnsi="Arial"/>
                <w:b/>
                <w:color w:val="222222"/>
                <w:sz w:val="20"/>
                <w:shd w:val="clear" w:color="auto" w:fill="FFFFFF"/>
              </w:rPr>
              <w:t>Kapitulli 27 </w:t>
            </w:r>
            <w:r>
              <w:rPr>
                <w:rFonts w:ascii="Arial" w:hAnsi="Arial"/>
                <w:color w:val="222222"/>
                <w:sz w:val="20"/>
                <w:shd w:val="clear" w:color="auto" w:fill="FFFFFF"/>
              </w:rPr>
              <w:t>i acquis të BE-së mbulon politikën mjedisore të BE-së që synon të promovojë zhvillimin e qëndrueshëm dhe të mbrojë mjedisin për brezat e tanishëm dhe të ardhshëm. Ai bazohet në veprimet parandaluese, përkatësisht parimin “ndotësi paguan”, luftimi i dëmit mjedisor në burim, përgjegjësia e përbashkët dhe integrimi i mbrojtjes së mjedisit në politika të tjera të BE-së.</w:t>
            </w:r>
          </w:p>
          <w:p w14:paraId="703D92A0" w14:textId="6BE173F0" w:rsidR="00360285" w:rsidRPr="0018295D" w:rsidRDefault="00360285">
            <w:pPr>
              <w:jc w:val="both"/>
              <w:rPr>
                <w:rFonts w:ascii="Arial" w:eastAsiaTheme="minorEastAsia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Programi i Qeverisë së Republikës së Kosovës 2021-2025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052EFAAA" w14:textId="77777777" w:rsidR="00360285" w:rsidRPr="0018295D" w:rsidRDefault="00360285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2.12.3 Menaxhimi i ujërave dhe zhvillimi i infrastrukturës</w:t>
            </w:r>
          </w:p>
          <w:p w14:paraId="76530D04" w14:textId="77777777" w:rsidR="00360285" w:rsidRPr="0018295D" w:rsidRDefault="00360285">
            <w:pPr>
              <w:jc w:val="both"/>
              <w:rPr>
                <w:rFonts w:ascii="Arial" w:eastAsia="MS Mincho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Menaxhimi efektiv i burimeve ujore është parakusht për sigurimin e ujit në sasi të mjaftueshme, në cilësinë e duhur dhe në kohën dhe vendin e duhur, për nevojat e popullatës dhe zhvillimin ekonomik. Për rrjedhojë, menaxhimi efektiv i burimeve ujore është i një rëndësie themelore për mirëqenien sociale dhe zhvillimin e qëndrueshëm të çdo vendi. Për të arritur objektivat bazë lidhur me menaxhimin e burimeve ujore, që janë mbrojtja e ujit, 36 mbrojtje nga veprimet e dëmshme ujore dhe përdorimi efikas i ujit, ne do të përmirësojmë kornizën ligjore të ujit, i cili përfshin rishikimin e ligjit për ujërat ose hartimin e një ligji të ri, plotësimin e akteve nënligjore që kërkohen për zbatimin e ligjit, veçanërisht për koncesionet dhe hartimin e ligjit për financimin e burimeve ujore.</w:t>
            </w:r>
          </w:p>
        </w:tc>
      </w:tr>
      <w:tr w:rsidR="00360285" w:rsidRPr="0018295D" w14:paraId="78382793" w14:textId="77777777" w:rsidTr="00360285">
        <w:trPr>
          <w:trHeight w:val="33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CE5B03" w14:textId="77777777" w:rsidR="00360285" w:rsidRPr="0018295D" w:rsidRDefault="00360285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A mbulohet projekti nga strategjia sektoriale përkatëse, nga një plan veprimi sektorial apo nga një masterplan sektori?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00D" w14:textId="77777777" w:rsidR="009E4AA8" w:rsidRDefault="009E4AA8" w:rsidP="00320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E5277C" w14:textId="63E5DBE7" w:rsidR="00320766" w:rsidRPr="0018295D" w:rsidRDefault="00320766" w:rsidP="00320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Shqyrtimi i Strategjisë Shtetërore për Ujëra 2023 – 2027 dhe Planit të Veprimit 2023 - 2025</w:t>
            </w:r>
          </w:p>
          <w:p w14:paraId="1128976B" w14:textId="77777777" w:rsidR="00320766" w:rsidRPr="0018295D" w:rsidRDefault="00320766" w:rsidP="00320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458F67" w14:textId="77777777" w:rsidR="00320766" w:rsidRPr="0018295D" w:rsidRDefault="00320766" w:rsidP="00320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Rishikimi i Strategjisë Shtetërore për Ujëra 2023-2027 synon menaxhimin sa më efektiv të burimeve ujore për të siguruar sasinë e ujit dhe cilësinë e duhur të tij, për nevojat e popullsisë dhe zhvillimin ekonomik. Ai përcakton objektivat specifike të burimeve ujore, duke filluar nga gjendja ekzistuese e sektorit të ujit, duke detajuar kërkesat, strukturat menaxhuese, kërkesat për mbrojtjen dhe përmirësimin e gjendjes së cilësisë së ujit dhe mbrojtjen nga uji.</w:t>
            </w:r>
          </w:p>
          <w:p w14:paraId="509B50B6" w14:textId="77777777" w:rsidR="00320766" w:rsidRPr="0018295D" w:rsidRDefault="00320766" w:rsidP="00320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743E57" w14:textId="77777777" w:rsidR="00320766" w:rsidRPr="0018295D" w:rsidRDefault="00320766" w:rsidP="00320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Objektivat strategjikë janë riformuluar në kuadër të periudhës 5-vjeçare: </w:t>
            </w:r>
          </w:p>
          <w:p w14:paraId="138882D9" w14:textId="77777777" w:rsidR="00320766" w:rsidRPr="0018295D" w:rsidRDefault="00320766" w:rsidP="00320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Objektivi 1 - Përmirësimi i menaxhimit të ujit dhe konsolidimi i kornizës institucionale; </w:t>
            </w:r>
          </w:p>
          <w:p w14:paraId="77108064" w14:textId="77777777" w:rsidR="00320766" w:rsidRPr="0018295D" w:rsidRDefault="00320766" w:rsidP="00320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Objektivi 2 - Siguria afatgjatë e ujit për përdoruesit dhe siguria e digave ekzistuese; Objektivi 3 - Mbrojtja e burimeve ujore dhe mbrojtja nga uji, sigurimi i mbrojtjes së ekosistemit dhe popullsisë; </w:t>
            </w:r>
          </w:p>
          <w:p w14:paraId="4F1A7A0F" w14:textId="77777777" w:rsidR="00320766" w:rsidRPr="0018295D" w:rsidRDefault="00320766" w:rsidP="00320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Objektivi 4 - Përmirësimi i besueshmërisë dhe cilësisë së shërbimeve të ujit.</w:t>
            </w:r>
          </w:p>
          <w:p w14:paraId="2468997A" w14:textId="32F471AA" w:rsidR="00360285" w:rsidRPr="0018295D" w:rsidRDefault="00360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14302A" w14:textId="2C1F5B57" w:rsidR="00360285" w:rsidRPr="009E4AA8" w:rsidRDefault="00360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Strategjia e Ndryshimeve Klimatike 2019-2028 për Burimet Ujore</w:t>
            </w:r>
            <w:r>
              <w:rPr>
                <w:rFonts w:ascii="Arial" w:hAnsi="Arial"/>
                <w:sz w:val="20"/>
              </w:rPr>
              <w:t>; Cilësia e ujit të lumenjve në Kosovë është e dobët për shkak të mungesës së impianteve për trajtimin e ujërave të zeza, depozitimit të mbeturinave përgjatë/ose afër brigjeve të lumenjve, mirëmbajtjes së dobët ose mungesës së shtretërve të lumenjve.</w:t>
            </w:r>
          </w:p>
          <w:p w14:paraId="76F03542" w14:textId="2AF03248" w:rsidR="00360285" w:rsidRPr="0018295D" w:rsidRDefault="0036028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Zakonisht cilësia e lumenjve në rrjedhën e sipërme përbën një habitat ujor të shëndetshëm dhe plotëson standardet mjedisore. Disa nga lumenjtë kryesorë në rrjedhën e poshtme të komunave dhe industrive më të mëdha janë shumë të ndotur dhe uji nuk mund të përdoret për furnizim me ujë ose për qëllime ujitjeje. </w:t>
            </w:r>
            <w:r>
              <w:rPr>
                <w:rFonts w:ascii="Arial" w:hAnsi="Arial"/>
                <w:sz w:val="20"/>
              </w:rPr>
              <w:lastRenderedPageBreak/>
              <w:t>Lumenjtë kryesorë në Kosovë i përkasin kategorisë së ndotjes 2 dhe 3, ndërsa Lumi Sitnica është kategorizuar si "lum i vdekur".</w:t>
            </w:r>
          </w:p>
        </w:tc>
      </w:tr>
    </w:tbl>
    <w:p w14:paraId="23191C0B" w14:textId="77777777" w:rsidR="006F1611" w:rsidRPr="0018295D" w:rsidRDefault="0074067A" w:rsidP="00D4297A">
      <w:pPr>
        <w:pStyle w:val="ListParagraph"/>
        <w:numPr>
          <w:ilvl w:val="0"/>
          <w:numId w:val="2"/>
        </w:numPr>
        <w:spacing w:before="200" w:after="120"/>
        <w:rPr>
          <w:rFonts w:cs="Arial"/>
          <w:b/>
        </w:rPr>
      </w:pPr>
      <w:r>
        <w:rPr>
          <w:b/>
        </w:rPr>
        <w:lastRenderedPageBreak/>
        <w:t>RELEVANCA STRATEGJIKE</w:t>
      </w:r>
    </w:p>
    <w:tbl>
      <w:tblPr>
        <w:tblW w:w="4947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3"/>
        <w:gridCol w:w="5727"/>
      </w:tblGrid>
      <w:tr w:rsidR="007128F1" w:rsidRPr="0018295D" w14:paraId="0F47099A" w14:textId="77777777" w:rsidTr="007128F1">
        <w:trPr>
          <w:trHeight w:val="4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59523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Shpjegoni veçoritë e projektit në lidhje me:</w:t>
            </w:r>
          </w:p>
        </w:tc>
      </w:tr>
      <w:tr w:rsidR="007128F1" w:rsidRPr="0018295D" w14:paraId="73602915" w14:textId="77777777" w:rsidTr="007128F1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82107" w14:textId="08243956" w:rsidR="007128F1" w:rsidRPr="0018295D" w:rsidRDefault="00462563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Përfitimet e dre</w:t>
            </w:r>
            <w:r w:rsidR="007128F1">
              <w:rPr>
                <w:rFonts w:ascii="Arial" w:hAnsi="Arial"/>
                <w:sz w:val="20"/>
              </w:rPr>
              <w:t>jtpërdrejta për mjedisin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A469" w14:textId="3379504D" w:rsidR="007128F1" w:rsidRPr="0018295D" w:rsidRDefault="003A576A" w:rsidP="008E458F">
            <w:pPr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Projekti pritet të ndihmojë në mbrojtjen e burimeve ujore sipërfaqësore dhe nëntokësore si dhe të përshtatet me ndryshimet klimatike, të zvogëlojë ndikimet negative të shkarkimit të ujërave të zeza si dhe të kontribuojë në reduktimin e rreziqeve për shëndetin dhe nga kjo sjell një ndikim të konsiderueshëm pozitiv në shëndetin publik. Ai gjithashtu do të adresojë problemet e ndotjes së ujërave nëntokësore dhe sipërfaqësore, si dhe kanalizimet e dobëta, duke përmirësuar kështu cilësinë e ujit të pijes.</w:t>
            </w:r>
          </w:p>
        </w:tc>
      </w:tr>
      <w:tr w:rsidR="007128F1" w:rsidRPr="0018295D" w14:paraId="7B00EAD4" w14:textId="77777777" w:rsidTr="007128F1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4FBC5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Kontributin e tij në reduktimin e CO</w:t>
            </w:r>
            <w:r>
              <w:rPr>
                <w:rFonts w:ascii="Arial" w:hAnsi="Arial"/>
                <w:sz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</w:rPr>
              <w:t xml:space="preserve"> dhe/ose zhurmave dhe/ose emetimeve të tjera të dëmshme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9931" w14:textId="11DB6057" w:rsidR="007128F1" w:rsidRPr="0018295D" w:rsidRDefault="001D786D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Të përcaktohet me Studimin e Fizibilitetit. </w:t>
            </w:r>
          </w:p>
        </w:tc>
      </w:tr>
      <w:tr w:rsidR="007128F1" w:rsidRPr="0018295D" w14:paraId="74A65023" w14:textId="77777777" w:rsidTr="007128F1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3DB4EF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Numrin e personave që do të përfitojnë nga projekti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CF59" w14:textId="2CAA6A8D" w:rsidR="007128F1" w:rsidRPr="0018295D" w:rsidRDefault="00BF03F0" w:rsidP="001660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Projekti pritet të përmirësojë cilësinë e jetës për rreth 537,116 banorë në zonën e shërbimit. </w:t>
            </w:r>
          </w:p>
        </w:tc>
      </w:tr>
      <w:tr w:rsidR="007128F1" w:rsidRPr="0018295D" w14:paraId="2273F7F5" w14:textId="77777777" w:rsidTr="007128F1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5D4182" w14:textId="3B4F50C5" w:rsidR="007128F1" w:rsidRPr="0018295D" w:rsidRDefault="00462563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Shkallën në të cilën</w:t>
            </w:r>
            <w:r w:rsidR="007128F1">
              <w:rPr>
                <w:rFonts w:ascii="Arial" w:hAnsi="Arial"/>
                <w:sz w:val="20"/>
              </w:rPr>
              <w:t xml:space="preserve"> kontribuon në uljen e ndotjes në një rajon më të gjerë rreth vendndodhjes së tij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D631" w14:textId="0C29E575" w:rsidR="00A3098B" w:rsidRPr="0018295D" w:rsidRDefault="001F10B6" w:rsidP="001F10B6">
            <w:pPr>
              <w:spacing w:before="60" w:after="6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Impianti i trajtimit të ujërave të zeza luan një rol kryesor në zvogëlimin e ndjeshëm të ndotjes në të gjithë rajonin më të gjerë që rrethon vendndodhjen e tij. Nëpërmjet proceseve të avancuara të trajtimit, objekti përmirëson ndjeshëm cilësinë e ujit të shkarkuar, duke reduktuar praninë e kontaminuesve dhe ndotësve. Kjo jo vetëm që mbron ekosistemet lokale dhe jetën ujore, por gjithashtu parandalon përhapjen në rrjedhën e poshtme të substancave të dëmshme, duke ndikuar pozitivisht në trupat ujorë përtej afërsisë së drejtpërdrejtë të bimës. Duke siguruar respektimin e rregullave të rrepta mjedisore, impianti bëhet një element thelbësor në zbutjen e ndotjes ndërkufitare, veçanërisht nëse ndodhet pranë kufijve.</w:t>
            </w:r>
          </w:p>
        </w:tc>
      </w:tr>
      <w:tr w:rsidR="007128F1" w:rsidRPr="0018295D" w14:paraId="37EBD050" w14:textId="77777777" w:rsidTr="007128F1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C49E5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Përballueshmërinë e shërbimeve për përdoruesit fundorë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B281" w14:textId="5470AA20" w:rsidR="007128F1" w:rsidRPr="0018295D" w:rsidRDefault="00BF03F0" w:rsidP="003A5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Projekti është në fazën e parë të përgatitjes. Si i tillë, Studimi i Fizibilitetit do të përcaktojë më tej në detaje qëndrueshmërinë ekonomike dhe financiare të investimit të pritshëm.</w:t>
            </w:r>
          </w:p>
        </w:tc>
      </w:tr>
      <w:tr w:rsidR="007128F1" w:rsidRPr="0018295D" w14:paraId="15EDB028" w14:textId="77777777" w:rsidTr="007128F1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3518B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Rreziqet që lidhen me projektin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007B" w14:textId="3A76F5BF" w:rsidR="00616F41" w:rsidRPr="0018295D" w:rsidRDefault="00616F41" w:rsidP="00616F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Rritja e tarifave të kanalizimeve;</w:t>
            </w:r>
          </w:p>
          <w:p w14:paraId="16354C32" w14:textId="14FFDD29" w:rsidR="00616F41" w:rsidRPr="0018295D" w:rsidRDefault="00616F41" w:rsidP="00616F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Mungesa e burimeve financiare për realizimin e Projektit;</w:t>
            </w:r>
          </w:p>
          <w:p w14:paraId="15B8E804" w14:textId="6473770B" w:rsidR="00616F41" w:rsidRPr="0018295D" w:rsidRDefault="00616F41" w:rsidP="00616F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Ndodhja e përmbytjeve;</w:t>
            </w:r>
          </w:p>
          <w:p w14:paraId="71A9B0B9" w14:textId="555DC239" w:rsidR="00616F41" w:rsidRPr="0018295D" w:rsidRDefault="00616F41" w:rsidP="00616F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Mungesa e kapaciteteve njerëzore/stafit të kualifikuar për teknologjinë e re.</w:t>
            </w:r>
          </w:p>
        </w:tc>
      </w:tr>
      <w:tr w:rsidR="00920705" w:rsidRPr="0018295D" w14:paraId="14D12ECB" w14:textId="77777777" w:rsidTr="007128F1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BA740" w14:textId="77777777" w:rsidR="00920705" w:rsidRPr="0018295D" w:rsidRDefault="00920705" w:rsidP="009207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Partneritetin e organizatave dhe institucioneve të përfshira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B0A2" w14:textId="41FD50BB" w:rsidR="00920705" w:rsidRPr="0018295D" w:rsidRDefault="00920705" w:rsidP="00920705">
            <w:pPr>
              <w:jc w:val="both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Ministria e Ekonomisë</w:t>
            </w:r>
            <w:r>
              <w:rPr>
                <w:rFonts w:ascii="Arial" w:hAnsi="Arial"/>
                <w:sz w:val="20"/>
              </w:rPr>
              <w:t xml:space="preserve"> - Ministria e Ekonomisë, përmes Njësisë së saj për Politika dhe Monitorim (NjPM) për Ndërmarrjet Publike mbikëqyr afarizmin e ndërmarrjeve publike (përfshirë kompanitë rajonale të ujësjellësit) në Republikën e Kosovës dhe siguron funksionimin e tyre të përgjegjshëm dhe transparent. MZHE, përmes kësaj Njësie, mbikëqyr të 7 Kompanitë Rajonale të Ujësjellësit përgjegjës për ofrimin e shërbimeve të ujit (d.m.th., furnizimi me ujë, grumbullimi dhe trajtimi i ujërave të zeza). Prandaj, KRU-të janë përfituesit përfundimtarë të projekteve të tilla dhe janë përgjegjëse para MZHE-së. Ata së bashku janë përgjegjës për financimin e projekteve të infrastrukturës ujore, përfshirë punimet rehabilituese.</w:t>
            </w:r>
          </w:p>
          <w:p w14:paraId="10B10335" w14:textId="77777777" w:rsidR="00920705" w:rsidRPr="0018295D" w:rsidRDefault="00920705" w:rsidP="00920705">
            <w:pPr>
              <w:jc w:val="both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Ministria e Mjedisit, Planifikimit Hapësinor dhe Infrastrukturës</w:t>
            </w:r>
            <w:r>
              <w:rPr>
                <w:rFonts w:ascii="Arial" w:hAnsi="Arial"/>
                <w:sz w:val="20"/>
              </w:rPr>
              <w:t xml:space="preserve"> - MMPHI do të ketë një rol jetik në sigurimin e përmbushjes së standardeve mjedisore (vlerat kufitare të shkarkimit, etj.) dhe rrjedhave ujore në zonën e Prishtinës të </w:t>
            </w:r>
            <w:r>
              <w:rPr>
                <w:rFonts w:ascii="Arial" w:hAnsi="Arial"/>
                <w:sz w:val="20"/>
              </w:rPr>
              <w:lastRenderedPageBreak/>
              <w:t>cilat do të kenë një efekt të dobishëm në rajon. MMPHI është gjithashtu përgjegjës për të gjitha lejet e lëshuara të nevojshme (ujë, ndërtim, VNM, etj.) dhe për shpronësimet.</w:t>
            </w:r>
          </w:p>
          <w:p w14:paraId="3A9C2F59" w14:textId="20EE1C19" w:rsidR="00920705" w:rsidRPr="0018295D" w:rsidRDefault="00030D37" w:rsidP="003A57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Komunat e synuara </w:t>
            </w:r>
            <w:r>
              <w:rPr>
                <w:rFonts w:ascii="Arial" w:hAnsi="Arial"/>
                <w:sz w:val="20"/>
              </w:rPr>
              <w:t>- Investitori kryesor në rrjetin e kanalizimeve. Koordinimi me komunat është jetik për të siguruar që infrastruktura e ujërave të zeza të jetë e koordinuar me infrastrukturën tjetër në zonë.</w:t>
            </w:r>
          </w:p>
        </w:tc>
      </w:tr>
    </w:tbl>
    <w:p w14:paraId="37FCE3D5" w14:textId="77777777" w:rsidR="0074067A" w:rsidRPr="0018295D" w:rsidRDefault="0074067A" w:rsidP="001C2CAF">
      <w:pPr>
        <w:pStyle w:val="Heading1"/>
        <w:spacing w:before="240" w:after="12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</w:rPr>
        <w:lastRenderedPageBreak/>
        <w:t>Pjesa e dytë</w:t>
      </w:r>
    </w:p>
    <w:p w14:paraId="7BBD4428" w14:textId="77777777" w:rsidR="0074067A" w:rsidRPr="0018295D" w:rsidRDefault="0074067A" w:rsidP="00D4297A">
      <w:pPr>
        <w:pStyle w:val="ListParagraph"/>
        <w:numPr>
          <w:ilvl w:val="0"/>
          <w:numId w:val="2"/>
        </w:numPr>
        <w:spacing w:after="120"/>
        <w:rPr>
          <w:rFonts w:cs="Arial"/>
          <w:b/>
        </w:rPr>
      </w:pPr>
      <w:r>
        <w:rPr>
          <w:b/>
        </w:rPr>
        <w:t>MATURITETI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0"/>
        <w:gridCol w:w="1533"/>
        <w:gridCol w:w="1364"/>
        <w:gridCol w:w="1243"/>
      </w:tblGrid>
      <w:tr w:rsidR="007128F1" w:rsidRPr="0018295D" w14:paraId="042D88EF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 w:themeFill="background1" w:themeFillShade="D9"/>
            <w:vAlign w:val="center"/>
          </w:tcPr>
          <w:p w14:paraId="26ECB44F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Studimet dhe dokumentet në dispozicion</w:t>
            </w:r>
          </w:p>
        </w:tc>
        <w:tc>
          <w:tcPr>
            <w:tcW w:w="800" w:type="pct"/>
            <w:shd w:val="clear" w:color="auto" w:fill="D9D9D9" w:themeFill="background1" w:themeFillShade="D9"/>
            <w:vAlign w:val="center"/>
          </w:tcPr>
          <w:p w14:paraId="61CE0540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Gati dhe të miratuara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37AC5E30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Duke u punuar</w:t>
            </w: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14:paraId="6AA62D87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Nuk ka filluar ende</w:t>
            </w:r>
          </w:p>
        </w:tc>
      </w:tr>
      <w:tr w:rsidR="007128F1" w:rsidRPr="0018295D" w14:paraId="41ED0075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61EAFA16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Idea konceptuale</w:t>
            </w:r>
          </w:p>
        </w:tc>
        <w:tc>
          <w:tcPr>
            <w:tcW w:w="800" w:type="pct"/>
            <w:vAlign w:val="center"/>
          </w:tcPr>
          <w:p w14:paraId="0E88FFDA" w14:textId="16A77B28" w:rsidR="007128F1" w:rsidRPr="0018295D" w:rsidRDefault="00D740FB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712" w:type="pct"/>
            <w:vAlign w:val="center"/>
          </w:tcPr>
          <w:p w14:paraId="38CC0A37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06B0A66B" w14:textId="4B37000E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8F1" w:rsidRPr="0018295D" w14:paraId="462B65C0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3C375B13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Studimi paraprak i fizibilitetit</w:t>
            </w:r>
          </w:p>
        </w:tc>
        <w:tc>
          <w:tcPr>
            <w:tcW w:w="800" w:type="pct"/>
            <w:vAlign w:val="center"/>
          </w:tcPr>
          <w:p w14:paraId="32ADC830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4FE59C93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36B483A7" w14:textId="77777777" w:rsidR="007128F1" w:rsidRPr="0018295D" w:rsidRDefault="00BF03F0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7128F1" w:rsidRPr="0018295D" w14:paraId="750D1F87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09EB468D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Projektimi konceptual</w:t>
            </w:r>
          </w:p>
        </w:tc>
        <w:tc>
          <w:tcPr>
            <w:tcW w:w="800" w:type="pct"/>
            <w:vAlign w:val="center"/>
          </w:tcPr>
          <w:p w14:paraId="21FE53DC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34E3E116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53ECB61" w14:textId="77777777" w:rsidR="007128F1" w:rsidRPr="0018295D" w:rsidRDefault="00BF03F0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7128F1" w:rsidRPr="0018295D" w14:paraId="7F8E4EC6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137F6F56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Studimi i fizibilitetit + AKP</w:t>
            </w:r>
          </w:p>
        </w:tc>
        <w:tc>
          <w:tcPr>
            <w:tcW w:w="800" w:type="pct"/>
            <w:vAlign w:val="center"/>
          </w:tcPr>
          <w:p w14:paraId="1ADF024C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7867DF18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43E6927B" w14:textId="77777777" w:rsidR="007128F1" w:rsidRPr="0018295D" w:rsidRDefault="00BF03F0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7128F1" w:rsidRPr="0018295D" w14:paraId="71D3B1BC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1170F6D2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Studimi i VNM (nëse nevojitet)</w:t>
            </w:r>
          </w:p>
        </w:tc>
        <w:tc>
          <w:tcPr>
            <w:tcW w:w="800" w:type="pct"/>
            <w:vAlign w:val="center"/>
          </w:tcPr>
          <w:p w14:paraId="35B9978D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2BF7DE15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F0F87A5" w14:textId="77777777" w:rsidR="007128F1" w:rsidRPr="0018295D" w:rsidRDefault="00BF03F0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7128F1" w:rsidRPr="0018295D" w14:paraId="6B2D43B1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61566F9B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Dokumentet e vlefshme të planifikimit hapësinor</w:t>
            </w:r>
          </w:p>
        </w:tc>
        <w:tc>
          <w:tcPr>
            <w:tcW w:w="800" w:type="pct"/>
            <w:vAlign w:val="center"/>
          </w:tcPr>
          <w:p w14:paraId="4C048651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64A1B8AD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B36AA3A" w14:textId="77777777" w:rsidR="007128F1" w:rsidRPr="0018295D" w:rsidRDefault="00BF03F0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7128F1" w:rsidRPr="0018295D" w14:paraId="044F6F6D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428AC839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Prona tokë e zgjidhur</w:t>
            </w:r>
          </w:p>
        </w:tc>
        <w:tc>
          <w:tcPr>
            <w:tcW w:w="800" w:type="pct"/>
            <w:vAlign w:val="center"/>
          </w:tcPr>
          <w:p w14:paraId="61301456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0C891B16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02E0C76E" w14:textId="77777777" w:rsidR="007128F1" w:rsidRPr="0018295D" w:rsidRDefault="00BF03F0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7128F1" w:rsidRPr="0018295D" w14:paraId="3748C9DA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76725F5F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Projektimi paraprak</w:t>
            </w:r>
          </w:p>
        </w:tc>
        <w:tc>
          <w:tcPr>
            <w:tcW w:w="800" w:type="pct"/>
            <w:vAlign w:val="center"/>
          </w:tcPr>
          <w:p w14:paraId="1CC1A7E1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4C522E57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07C8A403" w14:textId="77777777" w:rsidR="007128F1" w:rsidRPr="0018295D" w:rsidRDefault="00BF03F0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7128F1" w:rsidRPr="0018295D" w14:paraId="3404E40C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7E7483F6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Projektimi kryesor/projektimi i detajuar</w:t>
            </w:r>
          </w:p>
        </w:tc>
        <w:tc>
          <w:tcPr>
            <w:tcW w:w="800" w:type="pct"/>
            <w:vAlign w:val="center"/>
          </w:tcPr>
          <w:p w14:paraId="56F7776A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6EAD11DE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0093753A" w14:textId="77777777" w:rsidR="007128F1" w:rsidRPr="0018295D" w:rsidRDefault="00BF03F0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7128F1" w:rsidRPr="0018295D" w14:paraId="7907598D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3AAD801F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Dokumentacioni i tenderit</w:t>
            </w:r>
          </w:p>
        </w:tc>
        <w:tc>
          <w:tcPr>
            <w:tcW w:w="800" w:type="pct"/>
            <w:vAlign w:val="center"/>
          </w:tcPr>
          <w:p w14:paraId="2D18E97C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2FC20F77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42D824C4" w14:textId="77777777" w:rsidR="007128F1" w:rsidRPr="0018295D" w:rsidRDefault="00BF03F0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7128F1" w:rsidRPr="0018295D" w14:paraId="2C2E51C5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2A037B12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Lejet e ndërtimit dhe të tjera</w:t>
            </w:r>
          </w:p>
        </w:tc>
        <w:tc>
          <w:tcPr>
            <w:tcW w:w="800" w:type="pct"/>
            <w:vAlign w:val="center"/>
          </w:tcPr>
          <w:p w14:paraId="62953D53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125E868D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4F5C8A31" w14:textId="77777777" w:rsidR="007128F1" w:rsidRPr="0018295D" w:rsidRDefault="00BF03F0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7128F1" w:rsidRPr="0018295D" w14:paraId="35274B2C" w14:textId="77777777" w:rsidTr="007128F1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0803AF7D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Kontrata e ndërtimit është nënshkruar</w:t>
            </w:r>
          </w:p>
        </w:tc>
        <w:tc>
          <w:tcPr>
            <w:tcW w:w="800" w:type="pct"/>
            <w:vAlign w:val="center"/>
          </w:tcPr>
          <w:p w14:paraId="106FF560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322528BC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6988B5D" w14:textId="77777777" w:rsidR="007128F1" w:rsidRPr="0018295D" w:rsidRDefault="00BF03F0" w:rsidP="00712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</w:tbl>
    <w:p w14:paraId="0704C2C9" w14:textId="71F90C3D" w:rsidR="001314A0" w:rsidRPr="0018295D" w:rsidRDefault="001314A0" w:rsidP="001C2CAF">
      <w:pPr>
        <w:spacing w:after="120"/>
        <w:rPr>
          <w:rFonts w:ascii="Arial" w:hAnsi="Arial" w:cs="Arial"/>
          <w:b/>
        </w:rPr>
      </w:pPr>
    </w:p>
    <w:p w14:paraId="5CB14D9E" w14:textId="77777777" w:rsidR="001C2CAF" w:rsidRPr="0018295D" w:rsidRDefault="001C2CAF" w:rsidP="00D4297A">
      <w:pPr>
        <w:pStyle w:val="ListParagraph"/>
        <w:numPr>
          <w:ilvl w:val="0"/>
          <w:numId w:val="2"/>
        </w:numPr>
        <w:spacing w:after="120"/>
        <w:rPr>
          <w:rFonts w:cs="Arial"/>
          <w:b/>
        </w:rPr>
      </w:pPr>
      <w:r>
        <w:rPr>
          <w:b/>
        </w:rPr>
        <w:t>PËRCAKTIMI I BURIMIT TË FINANCIMIT</w:t>
      </w:r>
    </w:p>
    <w:tbl>
      <w:tblPr>
        <w:tblW w:w="4947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7"/>
        <w:gridCol w:w="659"/>
        <w:gridCol w:w="4066"/>
        <w:gridCol w:w="548"/>
      </w:tblGrid>
      <w:tr w:rsidR="007128F1" w:rsidRPr="0018295D" w14:paraId="5CFCF62D" w14:textId="77777777" w:rsidTr="007128F1">
        <w:trPr>
          <w:trHeight w:val="41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B93DF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493F4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Po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CA51F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Arsyetimi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779EB" w14:textId="77777777" w:rsidR="007128F1" w:rsidRPr="0018295D" w:rsidRDefault="007128F1" w:rsidP="00712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Jo</w:t>
            </w:r>
          </w:p>
        </w:tc>
      </w:tr>
      <w:tr w:rsidR="007128F1" w:rsidRPr="0018295D" w14:paraId="1BA8D8E9" w14:textId="77777777" w:rsidTr="007128F1">
        <w:trPr>
          <w:trHeight w:val="26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CF2F6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e përmirëson projekti lidhjen?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C6AC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7F57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F1B1" w14:textId="77777777" w:rsidR="007128F1" w:rsidRPr="0018295D" w:rsidRDefault="00BF03F0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7128F1" w:rsidRPr="0018295D" w14:paraId="76EACA85" w14:textId="77777777" w:rsidTr="007128F1">
        <w:trPr>
          <w:trHeight w:val="41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632AB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ka projekti ndikim ndërkufitar apo në vendet e tjera të rajonit?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A3AA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2F91" w14:textId="63127285" w:rsidR="00392404" w:rsidRPr="0018295D" w:rsidRDefault="00392404" w:rsidP="00D740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D0C70F" w14:textId="3F678EBB" w:rsidR="007128F1" w:rsidRPr="0018295D" w:rsidRDefault="00290473" w:rsidP="00856E18">
            <w:pPr>
              <w:spacing w:before="60" w:after="6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Përcaktimi nëse një projekt i trajtimit të ujërave të zeza në Kosovë ka ndikime ndërkufitare apo ndikon në vendet e tjera të rajonit do të varet nga faktorë të ndryshëm, duke përfshirë vendndodhjen gjeografike të projektit, karakteristikat e trupave ujorë të përfshirë dhe potencialin për efekte mjedisore ndërkufitare.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5C32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8F1" w:rsidRPr="0018295D" w14:paraId="01A0E1BC" w14:textId="77777777" w:rsidTr="007128F1">
        <w:trPr>
          <w:trHeight w:val="41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6840EF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mundet projekti në ndonjë mënyrë tjetër të caktohet si projekt rajonal?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EAF7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CCEA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F5E9" w14:textId="77777777" w:rsidR="007128F1" w:rsidRPr="0018295D" w:rsidRDefault="00BF03F0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</w:tbl>
    <w:p w14:paraId="1400A6F7" w14:textId="77777777" w:rsidR="001C2CAF" w:rsidRPr="0018295D" w:rsidRDefault="001C2CAF" w:rsidP="001C2CAF">
      <w:pPr>
        <w:rPr>
          <w:rFonts w:ascii="Arial" w:hAnsi="Arial" w:cs="Arial"/>
          <w:b/>
        </w:rPr>
      </w:pPr>
    </w:p>
    <w:p w14:paraId="78121803" w14:textId="3191A308" w:rsidR="001C2CAF" w:rsidRPr="00CC52FF" w:rsidRDefault="00462563" w:rsidP="00D4297A">
      <w:pPr>
        <w:pStyle w:val="ListParagraph"/>
        <w:numPr>
          <w:ilvl w:val="0"/>
          <w:numId w:val="2"/>
        </w:numPr>
        <w:spacing w:after="120"/>
        <w:rPr>
          <w:rFonts w:cs="Arial"/>
          <w:b/>
        </w:rPr>
      </w:pPr>
      <w:r>
        <w:rPr>
          <w:b/>
        </w:rPr>
        <w:t>PLANIFIKIMI I SHPENZIMEVE</w:t>
      </w:r>
    </w:p>
    <w:tbl>
      <w:tblPr>
        <w:tblW w:w="51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915"/>
        <w:gridCol w:w="1263"/>
        <w:gridCol w:w="1387"/>
        <w:gridCol w:w="1387"/>
        <w:gridCol w:w="1387"/>
        <w:gridCol w:w="1387"/>
        <w:gridCol w:w="931"/>
      </w:tblGrid>
      <w:tr w:rsidR="00CC52FF" w:rsidRPr="00A41169" w14:paraId="2BBF9231" w14:textId="77777777" w:rsidTr="00E06E67">
        <w:trPr>
          <w:trHeight w:val="426"/>
        </w:trPr>
        <w:tc>
          <w:tcPr>
            <w:tcW w:w="668" w:type="pct"/>
            <w:shd w:val="clear" w:color="auto" w:fill="D9D9D9" w:themeFill="background1" w:themeFillShade="D9"/>
          </w:tcPr>
          <w:p w14:paraId="317B56D5" w14:textId="77777777" w:rsidR="00CC52FF" w:rsidRPr="00A41169" w:rsidRDefault="00CC52FF" w:rsidP="00DA665A">
            <w:pPr>
              <w:spacing w:after="0" w:line="260" w:lineRule="atLeast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58" w:type="pct"/>
            <w:shd w:val="clear" w:color="auto" w:fill="D9D9D9" w:themeFill="background1" w:themeFillShade="D9"/>
          </w:tcPr>
          <w:p w14:paraId="63BEF308" w14:textId="64B4D876" w:rsidR="00CC52FF" w:rsidRPr="00CC52FF" w:rsidRDefault="00CC52FF" w:rsidP="00DA665A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2025-2035</w:t>
            </w:r>
          </w:p>
        </w:tc>
        <w:tc>
          <w:tcPr>
            <w:tcW w:w="632" w:type="pct"/>
            <w:shd w:val="clear" w:color="auto" w:fill="D9D9D9" w:themeFill="background1" w:themeFillShade="D9"/>
          </w:tcPr>
          <w:p w14:paraId="2F7E68F4" w14:textId="3CB0DCBC" w:rsidR="00CC52FF" w:rsidRPr="00CC52FF" w:rsidRDefault="00CC52FF" w:rsidP="00DA665A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1F8D1376" w14:textId="7B8FB575" w:rsidR="00CC52FF" w:rsidRPr="00CC52FF" w:rsidRDefault="00CC52FF" w:rsidP="00DA665A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02305FE7" w14:textId="3863F24F" w:rsidR="00CC52FF" w:rsidRPr="00CC52FF" w:rsidRDefault="00CC52FF" w:rsidP="00DA665A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14DBBFB7" w14:textId="356968BC" w:rsidR="00CC52FF" w:rsidRPr="00CC52FF" w:rsidRDefault="00CC52FF" w:rsidP="00DA665A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4D569C0F" w14:textId="5D8BFFFD" w:rsidR="00CC52FF" w:rsidRPr="00CC52FF" w:rsidRDefault="00CC52FF" w:rsidP="00DA665A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2029</w:t>
            </w:r>
          </w:p>
        </w:tc>
        <w:tc>
          <w:tcPr>
            <w:tcW w:w="466" w:type="pct"/>
            <w:shd w:val="clear" w:color="auto" w:fill="D9D9D9" w:themeFill="background1" w:themeFillShade="D9"/>
          </w:tcPr>
          <w:p w14:paraId="0EADCE5C" w14:textId="3F1C50E3" w:rsidR="00CC52FF" w:rsidRPr="00CC52FF" w:rsidRDefault="00CC52FF" w:rsidP="00DA665A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2030</w:t>
            </w:r>
          </w:p>
        </w:tc>
      </w:tr>
      <w:tr w:rsidR="00CC52FF" w:rsidRPr="00A41169" w14:paraId="402C0EFA" w14:textId="77777777" w:rsidTr="00E06E67">
        <w:trPr>
          <w:trHeight w:val="435"/>
        </w:trPr>
        <w:tc>
          <w:tcPr>
            <w:tcW w:w="668" w:type="pct"/>
            <w:shd w:val="clear" w:color="auto" w:fill="D9D9D9" w:themeFill="background1" w:themeFillShade="D9"/>
          </w:tcPr>
          <w:p w14:paraId="6F583F29" w14:textId="77777777" w:rsidR="00CC52FF" w:rsidRPr="00CC52FF" w:rsidRDefault="00CC52FF" w:rsidP="00CC52FF">
            <w:pPr>
              <w:spacing w:after="0"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Kostot (në euro) të:</w:t>
            </w:r>
          </w:p>
        </w:tc>
        <w:tc>
          <w:tcPr>
            <w:tcW w:w="458" w:type="pct"/>
            <w:shd w:val="clear" w:color="auto" w:fill="auto"/>
          </w:tcPr>
          <w:p w14:paraId="277BEE2C" w14:textId="77777777" w:rsidR="00CC52FF" w:rsidRPr="00CC52FF" w:rsidRDefault="00CC52FF" w:rsidP="00CC52FF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2" w:type="pct"/>
            <w:shd w:val="clear" w:color="auto" w:fill="auto"/>
          </w:tcPr>
          <w:p w14:paraId="586CE593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64B01F34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53A9EFD2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396234A4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078A39E5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  <w:tc>
          <w:tcPr>
            <w:tcW w:w="466" w:type="pct"/>
            <w:shd w:val="clear" w:color="auto" w:fill="auto"/>
          </w:tcPr>
          <w:p w14:paraId="5CDBB026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</w:tr>
      <w:tr w:rsidR="00CC52FF" w:rsidRPr="00A41169" w14:paraId="69D5604F" w14:textId="77777777" w:rsidTr="00E06E67">
        <w:trPr>
          <w:trHeight w:val="639"/>
        </w:trPr>
        <w:tc>
          <w:tcPr>
            <w:tcW w:w="668" w:type="pct"/>
            <w:shd w:val="clear" w:color="auto" w:fill="D9D9D9" w:themeFill="background1" w:themeFillShade="D9"/>
          </w:tcPr>
          <w:p w14:paraId="754766BB" w14:textId="77777777" w:rsidR="00CC52FF" w:rsidRPr="00CC52FF" w:rsidRDefault="00CC52FF" w:rsidP="00CC52FF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Përgatitja e projektit (TA)</w:t>
            </w:r>
          </w:p>
        </w:tc>
        <w:tc>
          <w:tcPr>
            <w:tcW w:w="458" w:type="pct"/>
            <w:shd w:val="clear" w:color="auto" w:fill="auto"/>
          </w:tcPr>
          <w:p w14:paraId="4F3D12F0" w14:textId="77777777" w:rsidR="00CC52FF" w:rsidRPr="00CC52FF" w:rsidRDefault="00CC52FF" w:rsidP="00CC52FF">
            <w:pPr>
              <w:spacing w:after="0" w:line="260" w:lineRule="atLeas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32" w:type="pct"/>
            <w:shd w:val="clear" w:color="auto" w:fill="auto"/>
          </w:tcPr>
          <w:p w14:paraId="750C5687" w14:textId="30364B73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6,000,000.00</w:t>
            </w:r>
          </w:p>
        </w:tc>
        <w:tc>
          <w:tcPr>
            <w:tcW w:w="694" w:type="pct"/>
            <w:shd w:val="clear" w:color="auto" w:fill="auto"/>
          </w:tcPr>
          <w:p w14:paraId="756074F9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10745F15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5B706E63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0347A9EE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  <w:tc>
          <w:tcPr>
            <w:tcW w:w="466" w:type="pct"/>
            <w:shd w:val="clear" w:color="auto" w:fill="auto"/>
          </w:tcPr>
          <w:p w14:paraId="6F4EBA64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</w:tr>
      <w:tr w:rsidR="00CC52FF" w:rsidRPr="001D3FFB" w14:paraId="42184CEC" w14:textId="77777777" w:rsidTr="00E06E67">
        <w:trPr>
          <w:trHeight w:val="213"/>
        </w:trPr>
        <w:tc>
          <w:tcPr>
            <w:tcW w:w="668" w:type="pct"/>
            <w:shd w:val="clear" w:color="auto" w:fill="D9D9D9" w:themeFill="background1" w:themeFillShade="D9"/>
          </w:tcPr>
          <w:p w14:paraId="39DCB4BB" w14:textId="77777777" w:rsidR="00CC52FF" w:rsidRPr="00CC52FF" w:rsidRDefault="00CC52FF" w:rsidP="00CC52FF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Investimi </w:t>
            </w:r>
          </w:p>
        </w:tc>
        <w:tc>
          <w:tcPr>
            <w:tcW w:w="458" w:type="pct"/>
            <w:shd w:val="clear" w:color="auto" w:fill="auto"/>
          </w:tcPr>
          <w:p w14:paraId="630E3157" w14:textId="77777777" w:rsidR="00CC52FF" w:rsidRPr="00CC52FF" w:rsidRDefault="00CC52FF" w:rsidP="00CC52FF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3287B46B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56FF0B9D" w14:textId="77777777" w:rsidR="00CC52FF" w:rsidRPr="00462563" w:rsidRDefault="00CC52FF" w:rsidP="00CC52FF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62563">
              <w:rPr>
                <w:rFonts w:ascii="Arial" w:hAnsi="Arial"/>
                <w:sz w:val="20"/>
              </w:rPr>
              <w:t xml:space="preserve">58,048,744.00 </w:t>
            </w:r>
          </w:p>
          <w:p w14:paraId="1B21303C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116D71B6" w14:textId="77777777" w:rsidR="00CC52FF" w:rsidRPr="00462563" w:rsidRDefault="00CC52FF" w:rsidP="00CC52FF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62563">
              <w:rPr>
                <w:rFonts w:ascii="Arial" w:hAnsi="Arial"/>
                <w:sz w:val="20"/>
              </w:rPr>
              <w:t xml:space="preserve">58,048,744.00 </w:t>
            </w:r>
          </w:p>
          <w:p w14:paraId="63442C96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2EB00745" w14:textId="77777777" w:rsidR="00CC52FF" w:rsidRPr="00462563" w:rsidRDefault="00CC52FF" w:rsidP="00CC52FF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62563">
              <w:rPr>
                <w:rFonts w:ascii="Arial" w:hAnsi="Arial"/>
                <w:sz w:val="20"/>
              </w:rPr>
              <w:t xml:space="preserve">58,048,744.00 </w:t>
            </w:r>
          </w:p>
          <w:p w14:paraId="496F5893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3213A5BA" w14:textId="77777777" w:rsidR="00CC52FF" w:rsidRPr="00462563" w:rsidRDefault="00CC52FF" w:rsidP="00CC52FF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62563">
              <w:rPr>
                <w:rFonts w:ascii="Arial" w:hAnsi="Arial"/>
                <w:sz w:val="20"/>
              </w:rPr>
              <w:t xml:space="preserve">58,048,744.00 </w:t>
            </w:r>
          </w:p>
          <w:p w14:paraId="4FA5D053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  <w:tc>
          <w:tcPr>
            <w:tcW w:w="466" w:type="pct"/>
            <w:shd w:val="clear" w:color="auto" w:fill="auto"/>
          </w:tcPr>
          <w:p w14:paraId="36C9AB3C" w14:textId="77777777" w:rsidR="00CC52FF" w:rsidRPr="00462563" w:rsidRDefault="00CC52FF" w:rsidP="00CC52FF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62563">
              <w:rPr>
                <w:rFonts w:ascii="Arial" w:hAnsi="Arial"/>
                <w:sz w:val="20"/>
              </w:rPr>
              <w:t xml:space="preserve">58,048,744.00 </w:t>
            </w:r>
          </w:p>
          <w:p w14:paraId="2735E096" w14:textId="77777777" w:rsidR="00CC52FF" w:rsidRPr="00462563" w:rsidRDefault="00CC52FF" w:rsidP="00CC52FF">
            <w:pPr>
              <w:spacing w:after="0" w:line="260" w:lineRule="atLeast"/>
              <w:rPr>
                <w:rFonts w:ascii="Arial" w:hAnsi="Arial"/>
                <w:sz w:val="20"/>
              </w:rPr>
            </w:pPr>
          </w:p>
        </w:tc>
      </w:tr>
    </w:tbl>
    <w:p w14:paraId="6847ABE2" w14:textId="60CFDA56" w:rsidR="0074067A" w:rsidRPr="0018295D" w:rsidRDefault="0074067A" w:rsidP="001C2CAF">
      <w:pPr>
        <w:spacing w:before="200" w:after="120" w:line="240" w:lineRule="auto"/>
        <w:rPr>
          <w:rFonts w:ascii="Arial" w:hAnsi="Arial" w:cs="Arial"/>
          <w:b/>
        </w:rPr>
      </w:pPr>
    </w:p>
    <w:p w14:paraId="2099DA17" w14:textId="77777777" w:rsidR="0074067A" w:rsidRPr="0018295D" w:rsidRDefault="007128F1" w:rsidP="00D4297A">
      <w:pPr>
        <w:pStyle w:val="ListParagraph"/>
        <w:numPr>
          <w:ilvl w:val="0"/>
          <w:numId w:val="2"/>
        </w:numPr>
        <w:spacing w:after="120"/>
        <w:rPr>
          <w:rFonts w:cs="Arial"/>
          <w:b/>
        </w:rPr>
      </w:pPr>
      <w:r>
        <w:rPr>
          <w:b/>
        </w:rPr>
        <w:t>ASPEKTE TË TJERA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6"/>
        <w:gridCol w:w="5727"/>
      </w:tblGrid>
      <w:tr w:rsidR="007128F1" w:rsidRPr="0018295D" w14:paraId="2842DED3" w14:textId="77777777" w:rsidTr="007128F1">
        <w:trPr>
          <w:trHeight w:val="46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067CA" w14:textId="77777777" w:rsidR="007128F1" w:rsidRPr="0018295D" w:rsidRDefault="007128F1" w:rsidP="001E3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janë konsultuar IFN-të ose donatorë të tjerë për projektin? Kur? Cili ishte gjykimi i tyre?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9C81" w14:textId="7CF966F9" w:rsidR="007128F1" w:rsidRPr="0018295D" w:rsidRDefault="003F0801" w:rsidP="00DC21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Një takim konsultimi me donatorët u zhvillua më 23 janar 2024, ku IFN-të dhe donatorët e tjerë u ftuan të merrnin pjesë në një diskutim të përgjithshëm mbi projektet në sektorin e Mjedisit SPP përpara validimit dhe miratimit të tij.</w:t>
            </w:r>
          </w:p>
        </w:tc>
      </w:tr>
      <w:tr w:rsidR="007128F1" w:rsidRPr="0018295D" w14:paraId="42195C45" w14:textId="77777777" w:rsidTr="007128F1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6B15F4" w14:textId="6239EFD1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Mbështetja ekzistuese e BE-së </w:t>
            </w:r>
            <w:r w:rsidR="00F7436C">
              <w:rPr>
                <w:rFonts w:ascii="Arial" w:hAnsi="Arial"/>
                <w:sz w:val="20"/>
              </w:rPr>
              <w:t>ose WBIF</w:t>
            </w:r>
            <w:r>
              <w:rPr>
                <w:rFonts w:ascii="Arial" w:hAnsi="Arial"/>
                <w:sz w:val="20"/>
              </w:rPr>
              <w:t xml:space="preserve"> (TA): shuma, qëllimi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E831" w14:textId="47C2DDA0" w:rsidR="007128F1" w:rsidRPr="0018295D" w:rsidRDefault="00D740FB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Jo</w:t>
            </w:r>
          </w:p>
        </w:tc>
      </w:tr>
      <w:tr w:rsidR="007128F1" w:rsidRPr="0018295D" w14:paraId="6D05EC51" w14:textId="77777777" w:rsidTr="007128F1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58CF2" w14:textId="77777777" w:rsidR="007128F1" w:rsidRPr="0018295D" w:rsidRDefault="007128F1" w:rsidP="001E3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është konsultuar Ministria e Financave për projektin? Përshkruani reagimet.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FD80" w14:textId="71D9D4C0" w:rsidR="007128F1" w:rsidRPr="0018295D" w:rsidRDefault="008D0DAE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Jo</w:t>
            </w:r>
          </w:p>
        </w:tc>
      </w:tr>
      <w:tr w:rsidR="007128F1" w:rsidRPr="0018295D" w14:paraId="3D95CC96" w14:textId="77777777" w:rsidTr="007128F1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7D0F2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gjeneron projekti të ardhura nga përdoruesit fundorë?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8E95" w14:textId="23AC1C07" w:rsidR="007128F1" w:rsidRPr="0018295D" w:rsidRDefault="000B10B5" w:rsidP="000B10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Shërbimi i Trajtimit të Ujërave të Zeza do të faturohet dhe mblidhet nga përdoruesi përfundimtar.</w:t>
            </w:r>
          </w:p>
        </w:tc>
      </w:tr>
      <w:tr w:rsidR="007128F1" w:rsidRPr="0018295D" w14:paraId="716455AD" w14:textId="77777777" w:rsidTr="007128F1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663E5" w14:textId="77777777" w:rsidR="007128F1" w:rsidRPr="0018295D" w:rsidRDefault="007128F1" w:rsidP="00712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Përshkrimi i ekipit të projektit për zbatim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D399" w14:textId="09866516" w:rsidR="009448AA" w:rsidRPr="0018295D" w:rsidRDefault="009448AA" w:rsidP="009448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660F44" w14:textId="1B0590D0" w:rsidR="007128F1" w:rsidRPr="0018295D" w:rsidRDefault="007128F1" w:rsidP="000B10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31DA3A" w14:textId="17EA77C8" w:rsidR="006F1611" w:rsidRPr="0018295D" w:rsidRDefault="006F1611">
      <w:pPr>
        <w:spacing w:after="0" w:line="240" w:lineRule="auto"/>
        <w:rPr>
          <w:rFonts w:ascii="Arial" w:hAnsi="Arial" w:cs="Arial"/>
        </w:rPr>
      </w:pPr>
    </w:p>
    <w:p w14:paraId="128DA6BC" w14:textId="77777777" w:rsidR="00141AD3" w:rsidRPr="0018295D" w:rsidRDefault="00141AD3" w:rsidP="00DA5F0A">
      <w:pPr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F422E98" w14:textId="77777777" w:rsidR="0019538C" w:rsidRPr="0018295D" w:rsidRDefault="0019538C" w:rsidP="00BE2A05">
      <w:pPr>
        <w:jc w:val="right"/>
        <w:rPr>
          <w:rFonts w:ascii="Arial" w:hAnsi="Arial" w:cs="Arial"/>
          <w:sz w:val="20"/>
          <w:szCs w:val="20"/>
        </w:rPr>
      </w:pPr>
    </w:p>
    <w:sectPr w:rsidR="0019538C" w:rsidRPr="0018295D" w:rsidSect="00E06E67">
      <w:headerReference w:type="default" r:id="rId13"/>
      <w:footerReference w:type="default" r:id="rId14"/>
      <w:headerReference w:type="first" r:id="rId15"/>
      <w:footerReference w:type="first" r:id="rId16"/>
      <w:pgSz w:w="11913" w:h="16834" w:code="9"/>
      <w:pgMar w:top="720" w:right="933" w:bottom="720" w:left="720" w:header="397" w:footer="0" w:gutter="567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18B303" w16cid:durableId="2A5C7E4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2A6FD" w14:textId="77777777" w:rsidR="0018302E" w:rsidRDefault="0018302E" w:rsidP="00CE33CC">
      <w:pPr>
        <w:spacing w:after="0" w:line="240" w:lineRule="auto"/>
      </w:pPr>
      <w:r>
        <w:separator/>
      </w:r>
    </w:p>
  </w:endnote>
  <w:endnote w:type="continuationSeparator" w:id="0">
    <w:p w14:paraId="6BD9F309" w14:textId="77777777" w:rsidR="0018302E" w:rsidRDefault="0018302E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700F3075" w14:textId="689A8B57" w:rsidR="00DA665A" w:rsidRPr="0083451C" w:rsidRDefault="00DA665A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 w:rsidRPr="0083451C">
          <w:rPr>
            <w:rFonts w:ascii="Arial" w:hAnsi="Arial" w:cs="Arial"/>
            <w:color w:val="003870"/>
            <w:sz w:val="17"/>
          </w:rPr>
          <w:fldChar w:fldCharType="begin"/>
        </w:r>
        <w:r w:rsidRPr="0083451C">
          <w:rPr>
            <w:rFonts w:ascii="Arial" w:hAnsi="Arial" w:cs="Arial"/>
            <w:color w:val="003870"/>
            <w:sz w:val="17"/>
          </w:rPr>
          <w:instrText xml:space="preserve"> PAGE   \* MERGEFORMAT </w:instrText>
        </w:r>
        <w:r w:rsidRPr="0083451C">
          <w:rPr>
            <w:rFonts w:ascii="Arial" w:hAnsi="Arial" w:cs="Arial"/>
            <w:color w:val="003870"/>
            <w:sz w:val="17"/>
          </w:rPr>
          <w:fldChar w:fldCharType="separate"/>
        </w:r>
        <w:r w:rsidR="0070096E">
          <w:rPr>
            <w:rFonts w:ascii="Arial" w:hAnsi="Arial" w:cs="Arial"/>
            <w:noProof/>
            <w:color w:val="003870"/>
            <w:sz w:val="17"/>
          </w:rPr>
          <w:t>8</w:t>
        </w:r>
        <w:r w:rsidRPr="0083451C">
          <w:rPr>
            <w:rFonts w:ascii="Arial" w:hAnsi="Arial" w:cs="Arial"/>
            <w:color w:val="003870"/>
            <w:sz w:val="17"/>
          </w:rPr>
          <w:fldChar w:fldCharType="end"/>
        </w:r>
      </w:p>
      <w:p w14:paraId="11C2F650" w14:textId="77777777" w:rsidR="00DA665A" w:rsidRDefault="0018302E">
        <w:pPr>
          <w:pStyle w:val="Footer"/>
          <w:jc w:val="right"/>
        </w:pPr>
      </w:p>
    </w:sdtContent>
  </w:sdt>
  <w:p w14:paraId="7F700DA3" w14:textId="77777777" w:rsidR="00DA665A" w:rsidRDefault="00DA6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53EC6EDD" w14:textId="678F98C2" w:rsidR="00DA665A" w:rsidRPr="0083451C" w:rsidRDefault="00DA665A" w:rsidP="00FC644F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>
          <w:rPr>
            <w:rFonts w:ascii="Arial" w:hAnsi="Arial"/>
            <w:color w:val="003870"/>
            <w:sz w:val="17"/>
          </w:rPr>
          <w:br/>
        </w:r>
        <w:r w:rsidRPr="0083451C">
          <w:rPr>
            <w:rFonts w:ascii="Arial" w:hAnsi="Arial" w:cs="Arial"/>
            <w:color w:val="003870"/>
            <w:sz w:val="17"/>
          </w:rPr>
          <w:fldChar w:fldCharType="begin"/>
        </w:r>
        <w:r w:rsidRPr="0083451C">
          <w:rPr>
            <w:rFonts w:ascii="Arial" w:hAnsi="Arial" w:cs="Arial"/>
            <w:color w:val="003870"/>
            <w:sz w:val="17"/>
          </w:rPr>
          <w:instrText xml:space="preserve"> PAGE   \* MERGEFORMAT </w:instrText>
        </w:r>
        <w:r w:rsidRPr="0083451C">
          <w:rPr>
            <w:rFonts w:ascii="Arial" w:hAnsi="Arial" w:cs="Arial"/>
            <w:color w:val="003870"/>
            <w:sz w:val="17"/>
          </w:rPr>
          <w:fldChar w:fldCharType="separate"/>
        </w:r>
        <w:r w:rsidR="0070096E">
          <w:rPr>
            <w:rFonts w:ascii="Arial" w:hAnsi="Arial" w:cs="Arial"/>
            <w:noProof/>
            <w:color w:val="003870"/>
            <w:sz w:val="17"/>
          </w:rPr>
          <w:t>1</w:t>
        </w:r>
        <w:r w:rsidRPr="0083451C">
          <w:rPr>
            <w:rFonts w:ascii="Arial" w:hAnsi="Arial" w:cs="Arial"/>
            <w:color w:val="003870"/>
            <w:sz w:val="17"/>
          </w:rPr>
          <w:fldChar w:fldCharType="end"/>
        </w:r>
      </w:p>
      <w:p w14:paraId="30660009" w14:textId="77777777" w:rsidR="00DA665A" w:rsidRDefault="0018302E" w:rsidP="00FC644F">
        <w:pPr>
          <w:pStyle w:val="Footer"/>
          <w:jc w:val="right"/>
          <w:rPr>
            <w:noProof/>
          </w:rPr>
        </w:pPr>
      </w:p>
    </w:sdtContent>
  </w:sdt>
  <w:p w14:paraId="541C1463" w14:textId="77777777" w:rsidR="00DA665A" w:rsidRPr="00CE33CC" w:rsidRDefault="00DA665A" w:rsidP="00931F3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58B3B" w14:textId="77777777" w:rsidR="0018302E" w:rsidRDefault="0018302E" w:rsidP="00CE33CC">
      <w:pPr>
        <w:spacing w:after="0" w:line="240" w:lineRule="auto"/>
      </w:pPr>
      <w:r>
        <w:separator/>
      </w:r>
    </w:p>
  </w:footnote>
  <w:footnote w:type="continuationSeparator" w:id="0">
    <w:p w14:paraId="02E36B0C" w14:textId="77777777" w:rsidR="0018302E" w:rsidRDefault="0018302E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18E23" w14:textId="77777777" w:rsidR="00DA665A" w:rsidRDefault="00DA665A" w:rsidP="00F87596">
    <w:pPr>
      <w:pStyle w:val="Header"/>
      <w:rPr>
        <w:noProof/>
      </w:rPr>
    </w:pPr>
    <w:r>
      <w:t xml:space="preserve">                                                                                     </w:t>
    </w:r>
  </w:p>
  <w:p w14:paraId="639691B4" w14:textId="77777777" w:rsidR="00DA665A" w:rsidRDefault="00DA665A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4E2AF" w14:textId="77777777" w:rsidR="00DA665A" w:rsidRDefault="00DA665A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1A14A3A"/>
    <w:multiLevelType w:val="multilevel"/>
    <w:tmpl w:val="9A1CA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97EBC"/>
    <w:multiLevelType w:val="hybridMultilevel"/>
    <w:tmpl w:val="9D3ED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44DD8"/>
    <w:multiLevelType w:val="hybridMultilevel"/>
    <w:tmpl w:val="E9C272DE"/>
    <w:lvl w:ilvl="0" w:tplc="709214BE">
      <w:start w:val="1"/>
      <w:numFmt w:val="decimal"/>
      <w:lvlText w:val="%1."/>
      <w:lvlJc w:val="left"/>
      <w:pPr>
        <w:ind w:left="450" w:hanging="360"/>
      </w:pPr>
      <w:rPr>
        <w:rFonts w:ascii="Arial" w:eastAsia="Times New Roman" w:hAnsi="Arial" w:cs="Arial"/>
        <w:b w:val="0"/>
        <w:color w:val="auto"/>
        <w:sz w:val="20"/>
        <w:szCs w:val="20"/>
      </w:rPr>
    </w:lvl>
    <w:lvl w:ilvl="1" w:tplc="041C0019" w:tentative="1">
      <w:start w:val="1"/>
      <w:numFmt w:val="lowerLetter"/>
      <w:lvlText w:val="%2."/>
      <w:lvlJc w:val="left"/>
      <w:pPr>
        <w:ind w:left="1170" w:hanging="360"/>
      </w:pPr>
    </w:lvl>
    <w:lvl w:ilvl="2" w:tplc="041C001B" w:tentative="1">
      <w:start w:val="1"/>
      <w:numFmt w:val="lowerRoman"/>
      <w:lvlText w:val="%3."/>
      <w:lvlJc w:val="right"/>
      <w:pPr>
        <w:ind w:left="1890" w:hanging="180"/>
      </w:pPr>
    </w:lvl>
    <w:lvl w:ilvl="3" w:tplc="041C000F" w:tentative="1">
      <w:start w:val="1"/>
      <w:numFmt w:val="decimal"/>
      <w:lvlText w:val="%4."/>
      <w:lvlJc w:val="left"/>
      <w:pPr>
        <w:ind w:left="2610" w:hanging="360"/>
      </w:pPr>
    </w:lvl>
    <w:lvl w:ilvl="4" w:tplc="041C0019" w:tentative="1">
      <w:start w:val="1"/>
      <w:numFmt w:val="lowerLetter"/>
      <w:lvlText w:val="%5."/>
      <w:lvlJc w:val="left"/>
      <w:pPr>
        <w:ind w:left="3330" w:hanging="360"/>
      </w:pPr>
    </w:lvl>
    <w:lvl w:ilvl="5" w:tplc="041C001B" w:tentative="1">
      <w:start w:val="1"/>
      <w:numFmt w:val="lowerRoman"/>
      <w:lvlText w:val="%6."/>
      <w:lvlJc w:val="right"/>
      <w:pPr>
        <w:ind w:left="4050" w:hanging="180"/>
      </w:pPr>
    </w:lvl>
    <w:lvl w:ilvl="6" w:tplc="041C000F" w:tentative="1">
      <w:start w:val="1"/>
      <w:numFmt w:val="decimal"/>
      <w:lvlText w:val="%7."/>
      <w:lvlJc w:val="left"/>
      <w:pPr>
        <w:ind w:left="4770" w:hanging="360"/>
      </w:pPr>
    </w:lvl>
    <w:lvl w:ilvl="7" w:tplc="041C0019" w:tentative="1">
      <w:start w:val="1"/>
      <w:numFmt w:val="lowerLetter"/>
      <w:lvlText w:val="%8."/>
      <w:lvlJc w:val="left"/>
      <w:pPr>
        <w:ind w:left="5490" w:hanging="360"/>
      </w:pPr>
    </w:lvl>
    <w:lvl w:ilvl="8" w:tplc="041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F2032A2"/>
    <w:multiLevelType w:val="hybridMultilevel"/>
    <w:tmpl w:val="26C0D990"/>
    <w:lvl w:ilvl="0" w:tplc="8E12C91A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0375D"/>
    <w:rsid w:val="00024F00"/>
    <w:rsid w:val="00030D37"/>
    <w:rsid w:val="00032CD4"/>
    <w:rsid w:val="00036C28"/>
    <w:rsid w:val="00040C65"/>
    <w:rsid w:val="000426D1"/>
    <w:rsid w:val="00043210"/>
    <w:rsid w:val="00046717"/>
    <w:rsid w:val="000525F5"/>
    <w:rsid w:val="00067F35"/>
    <w:rsid w:val="00070C9D"/>
    <w:rsid w:val="000757F4"/>
    <w:rsid w:val="00077EBE"/>
    <w:rsid w:val="0008251F"/>
    <w:rsid w:val="0008569C"/>
    <w:rsid w:val="00086B72"/>
    <w:rsid w:val="00095774"/>
    <w:rsid w:val="000A4E3E"/>
    <w:rsid w:val="000A647D"/>
    <w:rsid w:val="000B021F"/>
    <w:rsid w:val="000B10B5"/>
    <w:rsid w:val="000B5B78"/>
    <w:rsid w:val="000C5FFB"/>
    <w:rsid w:val="000E16B9"/>
    <w:rsid w:val="0012661D"/>
    <w:rsid w:val="00126C8A"/>
    <w:rsid w:val="001314A0"/>
    <w:rsid w:val="00141AD3"/>
    <w:rsid w:val="00163A40"/>
    <w:rsid w:val="00164336"/>
    <w:rsid w:val="001660F8"/>
    <w:rsid w:val="00170C0C"/>
    <w:rsid w:val="0018295D"/>
    <w:rsid w:val="0018302E"/>
    <w:rsid w:val="0018576E"/>
    <w:rsid w:val="00190B85"/>
    <w:rsid w:val="001913E5"/>
    <w:rsid w:val="0019538C"/>
    <w:rsid w:val="0019661E"/>
    <w:rsid w:val="00197808"/>
    <w:rsid w:val="00197CB7"/>
    <w:rsid w:val="001A129D"/>
    <w:rsid w:val="001A1984"/>
    <w:rsid w:val="001B0A2F"/>
    <w:rsid w:val="001B0FAE"/>
    <w:rsid w:val="001B48F6"/>
    <w:rsid w:val="001C2CAF"/>
    <w:rsid w:val="001C3D66"/>
    <w:rsid w:val="001D786D"/>
    <w:rsid w:val="001E21A8"/>
    <w:rsid w:val="001E3D7C"/>
    <w:rsid w:val="001F10B6"/>
    <w:rsid w:val="001F405F"/>
    <w:rsid w:val="001F66ED"/>
    <w:rsid w:val="00210A4D"/>
    <w:rsid w:val="00211CED"/>
    <w:rsid w:val="002146EA"/>
    <w:rsid w:val="00216A63"/>
    <w:rsid w:val="00220DA8"/>
    <w:rsid w:val="0022230A"/>
    <w:rsid w:val="0022527A"/>
    <w:rsid w:val="00230229"/>
    <w:rsid w:val="0024102F"/>
    <w:rsid w:val="0024527E"/>
    <w:rsid w:val="00250414"/>
    <w:rsid w:val="00250E99"/>
    <w:rsid w:val="00252A19"/>
    <w:rsid w:val="00254092"/>
    <w:rsid w:val="00254927"/>
    <w:rsid w:val="00265E22"/>
    <w:rsid w:val="0026664D"/>
    <w:rsid w:val="00267781"/>
    <w:rsid w:val="00273215"/>
    <w:rsid w:val="00280DA5"/>
    <w:rsid w:val="00286652"/>
    <w:rsid w:val="00290473"/>
    <w:rsid w:val="00291F9C"/>
    <w:rsid w:val="00297597"/>
    <w:rsid w:val="002A0752"/>
    <w:rsid w:val="002B15FF"/>
    <w:rsid w:val="002D47D5"/>
    <w:rsid w:val="002D4F32"/>
    <w:rsid w:val="002E0949"/>
    <w:rsid w:val="002F395B"/>
    <w:rsid w:val="002F400E"/>
    <w:rsid w:val="00320766"/>
    <w:rsid w:val="00321717"/>
    <w:rsid w:val="003234A2"/>
    <w:rsid w:val="003332E9"/>
    <w:rsid w:val="00336F4D"/>
    <w:rsid w:val="00340D43"/>
    <w:rsid w:val="003540DB"/>
    <w:rsid w:val="00360285"/>
    <w:rsid w:val="00371589"/>
    <w:rsid w:val="00387C4B"/>
    <w:rsid w:val="003903CE"/>
    <w:rsid w:val="00392404"/>
    <w:rsid w:val="00393D13"/>
    <w:rsid w:val="00397383"/>
    <w:rsid w:val="003A4B82"/>
    <w:rsid w:val="003A576A"/>
    <w:rsid w:val="003A5E52"/>
    <w:rsid w:val="003B0500"/>
    <w:rsid w:val="003B1673"/>
    <w:rsid w:val="003B2BCA"/>
    <w:rsid w:val="003C4D9B"/>
    <w:rsid w:val="003E2D58"/>
    <w:rsid w:val="003F0801"/>
    <w:rsid w:val="003F324F"/>
    <w:rsid w:val="003F72F1"/>
    <w:rsid w:val="00415FC4"/>
    <w:rsid w:val="00417CF7"/>
    <w:rsid w:val="00425F4B"/>
    <w:rsid w:val="0043684E"/>
    <w:rsid w:val="00450766"/>
    <w:rsid w:val="00461529"/>
    <w:rsid w:val="00462563"/>
    <w:rsid w:val="00464DCF"/>
    <w:rsid w:val="004964DD"/>
    <w:rsid w:val="004969CD"/>
    <w:rsid w:val="004974EC"/>
    <w:rsid w:val="004B138C"/>
    <w:rsid w:val="004B21C7"/>
    <w:rsid w:val="004B6D3D"/>
    <w:rsid w:val="004C29F8"/>
    <w:rsid w:val="004C3F04"/>
    <w:rsid w:val="004E28CC"/>
    <w:rsid w:val="004F60CB"/>
    <w:rsid w:val="004F7613"/>
    <w:rsid w:val="00501A11"/>
    <w:rsid w:val="00505B0D"/>
    <w:rsid w:val="00511C41"/>
    <w:rsid w:val="00513E41"/>
    <w:rsid w:val="005148BB"/>
    <w:rsid w:val="005421C3"/>
    <w:rsid w:val="00542768"/>
    <w:rsid w:val="005531AD"/>
    <w:rsid w:val="005540DE"/>
    <w:rsid w:val="00581148"/>
    <w:rsid w:val="00592E58"/>
    <w:rsid w:val="00596577"/>
    <w:rsid w:val="005A3F39"/>
    <w:rsid w:val="005B145C"/>
    <w:rsid w:val="005C6505"/>
    <w:rsid w:val="005D4820"/>
    <w:rsid w:val="005E135B"/>
    <w:rsid w:val="005E34CC"/>
    <w:rsid w:val="005E569E"/>
    <w:rsid w:val="005E7C87"/>
    <w:rsid w:val="00602E39"/>
    <w:rsid w:val="006117DD"/>
    <w:rsid w:val="006149B7"/>
    <w:rsid w:val="00616F41"/>
    <w:rsid w:val="006178F6"/>
    <w:rsid w:val="0062444C"/>
    <w:rsid w:val="00631B88"/>
    <w:rsid w:val="006419D2"/>
    <w:rsid w:val="0065147C"/>
    <w:rsid w:val="00663A1C"/>
    <w:rsid w:val="00665914"/>
    <w:rsid w:val="00667E55"/>
    <w:rsid w:val="00685929"/>
    <w:rsid w:val="00696FCA"/>
    <w:rsid w:val="006A6E31"/>
    <w:rsid w:val="006B3B22"/>
    <w:rsid w:val="006B424F"/>
    <w:rsid w:val="006C06D5"/>
    <w:rsid w:val="006C253D"/>
    <w:rsid w:val="006C658E"/>
    <w:rsid w:val="006D2384"/>
    <w:rsid w:val="006D5800"/>
    <w:rsid w:val="006D76B1"/>
    <w:rsid w:val="006E23C6"/>
    <w:rsid w:val="006E3F6B"/>
    <w:rsid w:val="006E585A"/>
    <w:rsid w:val="006F1611"/>
    <w:rsid w:val="0070096E"/>
    <w:rsid w:val="0070491D"/>
    <w:rsid w:val="007054F7"/>
    <w:rsid w:val="007112D4"/>
    <w:rsid w:val="00712317"/>
    <w:rsid w:val="007128F1"/>
    <w:rsid w:val="00712D73"/>
    <w:rsid w:val="00724636"/>
    <w:rsid w:val="00732239"/>
    <w:rsid w:val="00735156"/>
    <w:rsid w:val="0074067A"/>
    <w:rsid w:val="00743564"/>
    <w:rsid w:val="007615F1"/>
    <w:rsid w:val="00764DC6"/>
    <w:rsid w:val="00775C29"/>
    <w:rsid w:val="00780388"/>
    <w:rsid w:val="00794CE8"/>
    <w:rsid w:val="007A679C"/>
    <w:rsid w:val="007A7C6F"/>
    <w:rsid w:val="007B0787"/>
    <w:rsid w:val="007D7D47"/>
    <w:rsid w:val="007E272C"/>
    <w:rsid w:val="007F2A94"/>
    <w:rsid w:val="007F3189"/>
    <w:rsid w:val="007F6911"/>
    <w:rsid w:val="00820C42"/>
    <w:rsid w:val="00827216"/>
    <w:rsid w:val="0083019B"/>
    <w:rsid w:val="00832D07"/>
    <w:rsid w:val="0083346F"/>
    <w:rsid w:val="008341CF"/>
    <w:rsid w:val="0083451C"/>
    <w:rsid w:val="00856E18"/>
    <w:rsid w:val="00886B8D"/>
    <w:rsid w:val="008B5A49"/>
    <w:rsid w:val="008C05D9"/>
    <w:rsid w:val="008C22BC"/>
    <w:rsid w:val="008C5163"/>
    <w:rsid w:val="008C79BD"/>
    <w:rsid w:val="008C7C9A"/>
    <w:rsid w:val="008D0DAE"/>
    <w:rsid w:val="008D3D35"/>
    <w:rsid w:val="008D5A8D"/>
    <w:rsid w:val="008E458F"/>
    <w:rsid w:val="008F59D1"/>
    <w:rsid w:val="0090582F"/>
    <w:rsid w:val="00920705"/>
    <w:rsid w:val="00922308"/>
    <w:rsid w:val="00925F5B"/>
    <w:rsid w:val="00931F30"/>
    <w:rsid w:val="00932D4A"/>
    <w:rsid w:val="00937472"/>
    <w:rsid w:val="009448AA"/>
    <w:rsid w:val="0095455F"/>
    <w:rsid w:val="00954A85"/>
    <w:rsid w:val="00995582"/>
    <w:rsid w:val="009A0C14"/>
    <w:rsid w:val="009B0F5B"/>
    <w:rsid w:val="009B2B6F"/>
    <w:rsid w:val="009B3EF4"/>
    <w:rsid w:val="009C32A1"/>
    <w:rsid w:val="009C541E"/>
    <w:rsid w:val="009E4AA8"/>
    <w:rsid w:val="00A0468C"/>
    <w:rsid w:val="00A3098B"/>
    <w:rsid w:val="00A31571"/>
    <w:rsid w:val="00A340D9"/>
    <w:rsid w:val="00A40B2A"/>
    <w:rsid w:val="00A41169"/>
    <w:rsid w:val="00A45B12"/>
    <w:rsid w:val="00A50015"/>
    <w:rsid w:val="00A62A5E"/>
    <w:rsid w:val="00A7733E"/>
    <w:rsid w:val="00A8031B"/>
    <w:rsid w:val="00A8114B"/>
    <w:rsid w:val="00A86B40"/>
    <w:rsid w:val="00A92865"/>
    <w:rsid w:val="00A95CF8"/>
    <w:rsid w:val="00A97205"/>
    <w:rsid w:val="00AA46CD"/>
    <w:rsid w:val="00AC0D3E"/>
    <w:rsid w:val="00AD5D1D"/>
    <w:rsid w:val="00AE0D8D"/>
    <w:rsid w:val="00AE1E85"/>
    <w:rsid w:val="00AF7200"/>
    <w:rsid w:val="00B01C5C"/>
    <w:rsid w:val="00B2161A"/>
    <w:rsid w:val="00B25775"/>
    <w:rsid w:val="00B308B3"/>
    <w:rsid w:val="00B32D17"/>
    <w:rsid w:val="00B3413E"/>
    <w:rsid w:val="00B4757F"/>
    <w:rsid w:val="00B55BCF"/>
    <w:rsid w:val="00B56AB0"/>
    <w:rsid w:val="00B6401B"/>
    <w:rsid w:val="00B66989"/>
    <w:rsid w:val="00B67295"/>
    <w:rsid w:val="00B70B18"/>
    <w:rsid w:val="00B82EF8"/>
    <w:rsid w:val="00B9360E"/>
    <w:rsid w:val="00BA1CB5"/>
    <w:rsid w:val="00BA50FA"/>
    <w:rsid w:val="00BA5857"/>
    <w:rsid w:val="00BD2A57"/>
    <w:rsid w:val="00BD6023"/>
    <w:rsid w:val="00BD6089"/>
    <w:rsid w:val="00BE11CE"/>
    <w:rsid w:val="00BE2A05"/>
    <w:rsid w:val="00BF03F0"/>
    <w:rsid w:val="00BF7337"/>
    <w:rsid w:val="00C018C3"/>
    <w:rsid w:val="00C264B7"/>
    <w:rsid w:val="00C338B1"/>
    <w:rsid w:val="00C35BF4"/>
    <w:rsid w:val="00C37FCD"/>
    <w:rsid w:val="00C41BD2"/>
    <w:rsid w:val="00C43782"/>
    <w:rsid w:val="00C45E6F"/>
    <w:rsid w:val="00C47766"/>
    <w:rsid w:val="00C51EFA"/>
    <w:rsid w:val="00C61203"/>
    <w:rsid w:val="00C62A04"/>
    <w:rsid w:val="00C639B0"/>
    <w:rsid w:val="00C64DD6"/>
    <w:rsid w:val="00C67527"/>
    <w:rsid w:val="00C72DEE"/>
    <w:rsid w:val="00C74B17"/>
    <w:rsid w:val="00C85FBE"/>
    <w:rsid w:val="00CA046D"/>
    <w:rsid w:val="00CA5673"/>
    <w:rsid w:val="00CA77CF"/>
    <w:rsid w:val="00CB4557"/>
    <w:rsid w:val="00CC0407"/>
    <w:rsid w:val="00CC52FF"/>
    <w:rsid w:val="00CD3BA4"/>
    <w:rsid w:val="00CE33CC"/>
    <w:rsid w:val="00CE5C0C"/>
    <w:rsid w:val="00CE6131"/>
    <w:rsid w:val="00CE64A2"/>
    <w:rsid w:val="00CF1732"/>
    <w:rsid w:val="00D02B46"/>
    <w:rsid w:val="00D2121B"/>
    <w:rsid w:val="00D223A9"/>
    <w:rsid w:val="00D3786F"/>
    <w:rsid w:val="00D4297A"/>
    <w:rsid w:val="00D61F1E"/>
    <w:rsid w:val="00D7231A"/>
    <w:rsid w:val="00D740FB"/>
    <w:rsid w:val="00D80302"/>
    <w:rsid w:val="00D81321"/>
    <w:rsid w:val="00D856CA"/>
    <w:rsid w:val="00D95807"/>
    <w:rsid w:val="00DA0925"/>
    <w:rsid w:val="00DA3605"/>
    <w:rsid w:val="00DA5F0A"/>
    <w:rsid w:val="00DA665A"/>
    <w:rsid w:val="00DA746F"/>
    <w:rsid w:val="00DB4132"/>
    <w:rsid w:val="00DB47E4"/>
    <w:rsid w:val="00DB5E86"/>
    <w:rsid w:val="00DC21CF"/>
    <w:rsid w:val="00DC4251"/>
    <w:rsid w:val="00DC6CFE"/>
    <w:rsid w:val="00DD3C66"/>
    <w:rsid w:val="00DD7856"/>
    <w:rsid w:val="00DE330A"/>
    <w:rsid w:val="00DE7272"/>
    <w:rsid w:val="00DF5C90"/>
    <w:rsid w:val="00E03AE8"/>
    <w:rsid w:val="00E0470F"/>
    <w:rsid w:val="00E04739"/>
    <w:rsid w:val="00E05F2D"/>
    <w:rsid w:val="00E06E67"/>
    <w:rsid w:val="00E1318A"/>
    <w:rsid w:val="00E25A9B"/>
    <w:rsid w:val="00E272A8"/>
    <w:rsid w:val="00E35D50"/>
    <w:rsid w:val="00E417C4"/>
    <w:rsid w:val="00E42070"/>
    <w:rsid w:val="00E541F4"/>
    <w:rsid w:val="00E54449"/>
    <w:rsid w:val="00E67214"/>
    <w:rsid w:val="00E720B4"/>
    <w:rsid w:val="00E747B6"/>
    <w:rsid w:val="00E755DC"/>
    <w:rsid w:val="00E8650D"/>
    <w:rsid w:val="00E93A1A"/>
    <w:rsid w:val="00E96673"/>
    <w:rsid w:val="00E976EE"/>
    <w:rsid w:val="00EA0570"/>
    <w:rsid w:val="00EB710A"/>
    <w:rsid w:val="00EC080F"/>
    <w:rsid w:val="00ED4AEF"/>
    <w:rsid w:val="00ED77A9"/>
    <w:rsid w:val="00EE09C9"/>
    <w:rsid w:val="00EE6582"/>
    <w:rsid w:val="00EF0138"/>
    <w:rsid w:val="00EF2554"/>
    <w:rsid w:val="00EF48D7"/>
    <w:rsid w:val="00F17A7B"/>
    <w:rsid w:val="00F40511"/>
    <w:rsid w:val="00F6479A"/>
    <w:rsid w:val="00F666E9"/>
    <w:rsid w:val="00F7436C"/>
    <w:rsid w:val="00F82D51"/>
    <w:rsid w:val="00F86D26"/>
    <w:rsid w:val="00F87596"/>
    <w:rsid w:val="00FB7B3A"/>
    <w:rsid w:val="00FC5BA6"/>
    <w:rsid w:val="00FC644F"/>
    <w:rsid w:val="00FC6C44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15F46"/>
  <w15:docId w15:val="{FCC222B6-2350-4668-9339-DBF19B40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q-A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B6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sq-AL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sq-AL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"/>
      </w:numPr>
      <w:spacing w:after="0" w:line="260" w:lineRule="exact"/>
    </w:pPr>
    <w:rPr>
      <w:rFonts w:ascii="Arial" w:hAnsi="Arial" w:cs="Arial"/>
      <w:sz w:val="20"/>
      <w:szCs w:val="24"/>
      <w:lang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sq-AL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6F1611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2">
    <w:name w:val="Grid Table 1 Light - Accent 512"/>
    <w:basedOn w:val="TableNormal"/>
    <w:uiPriority w:val="46"/>
    <w:rsid w:val="006F1611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0B10B5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2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40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404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B70B18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86B72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6B72"/>
    <w:rPr>
      <w:rFonts w:ascii="Consolas" w:eastAsiaTheme="minorHAnsi" w:hAnsi="Consolas" w:cstheme="minorBidi"/>
      <w:sz w:val="21"/>
      <w:szCs w:val="21"/>
      <w:lang w:val="sq-AL" w:eastAsia="en-US"/>
    </w:rPr>
  </w:style>
  <w:style w:type="paragraph" w:customStyle="1" w:styleId="Default">
    <w:name w:val="Default"/>
    <w:rsid w:val="00C4378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dreshaj@hidrodrini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shkimhalabaku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ulzimpacariz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ta.hajredini@kru-prishtina.com" TargetMode="Externa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BB3E3-ADA2-41EE-B3FB-3430AFC2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2927</Words>
  <Characters>16689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Workshop Summary Report</vt:lpstr>
      <vt:lpstr>Workshop Summary Report</vt:lpstr>
    </vt:vector>
  </TitlesOfParts>
  <Company/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17</cp:revision>
  <cp:lastPrinted>2023-06-06T13:36:00Z</cp:lastPrinted>
  <dcterms:created xsi:type="dcterms:W3CDTF">2024-08-06T09:06:00Z</dcterms:created>
  <dcterms:modified xsi:type="dcterms:W3CDTF">2024-10-28T13:18:00Z</dcterms:modified>
</cp:coreProperties>
</file>