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C5A6" w14:textId="77777777" w:rsidR="00FC644F" w:rsidRPr="00170C0C" w:rsidRDefault="00170C0C" w:rsidP="00ED0153">
      <w:pPr>
        <w:pStyle w:val="Title"/>
        <w:pBdr>
          <w:bottom w:val="single" w:sz="8" w:space="0" w:color="5B9BD5"/>
        </w:pBdr>
        <w:spacing w:before="120" w:after="0" w:line="276" w:lineRule="auto"/>
        <w:jc w:val="center"/>
        <w:rPr>
          <w:rFonts w:ascii="Arial" w:hAnsi="Arial" w:cs="Arial"/>
          <w:sz w:val="36"/>
          <w:szCs w:val="36"/>
        </w:rPr>
      </w:pPr>
      <w:r>
        <w:rPr>
          <w:rFonts w:ascii="Arial" w:hAnsi="Arial"/>
          <w:sz w:val="36"/>
        </w:rPr>
        <w:t>Formulari i identifikimit të projektit (FIP): Sektori i Energjisë</w:t>
      </w:r>
    </w:p>
    <w:p w14:paraId="7F843A48" w14:textId="77777777" w:rsidR="00DA5F0A" w:rsidRDefault="0074067A" w:rsidP="0074067A">
      <w:pPr>
        <w:pStyle w:val="Heading1"/>
        <w:spacing w:before="240" w:after="120"/>
        <w:jc w:val="center"/>
        <w:rPr>
          <w:rFonts w:ascii="Arial" w:hAnsi="Arial" w:cs="Arial"/>
          <w:color w:val="auto"/>
          <w:sz w:val="24"/>
          <w:szCs w:val="24"/>
        </w:rPr>
      </w:pPr>
      <w:r>
        <w:rPr>
          <w:rFonts w:ascii="Arial" w:hAnsi="Arial"/>
          <w:color w:val="auto"/>
          <w:sz w:val="24"/>
        </w:rPr>
        <w:t>Pjesa e parë</w:t>
      </w:r>
    </w:p>
    <w:p w14:paraId="0EBCD937" w14:textId="77777777" w:rsidR="0074067A" w:rsidRPr="0074067A" w:rsidRDefault="0074067A" w:rsidP="0074067A">
      <w:pPr>
        <w:pStyle w:val="ListParagraph"/>
        <w:numPr>
          <w:ilvl w:val="0"/>
          <w:numId w:val="41"/>
        </w:numPr>
        <w:spacing w:before="200" w:after="120"/>
        <w:rPr>
          <w:rFonts w:cs="Arial"/>
          <w:b/>
          <w:szCs w:val="20"/>
        </w:rPr>
      </w:pPr>
      <w:r>
        <w:rPr>
          <w:b/>
          <w:bCs/>
        </w:rPr>
        <w:t>INFORMACIONE TË PËRGJITHSHME</w:t>
      </w:r>
    </w:p>
    <w:tbl>
      <w:tblPr>
        <w:tblW w:w="4982" w:type="pct"/>
        <w:jc w:val="center"/>
        <w:tblLook w:val="01E0" w:firstRow="1" w:lastRow="1" w:firstColumn="1" w:lastColumn="1" w:noHBand="0" w:noVBand="0"/>
      </w:tblPr>
      <w:tblGrid>
        <w:gridCol w:w="3173"/>
        <w:gridCol w:w="6687"/>
      </w:tblGrid>
      <w:tr w:rsidR="0074067A" w:rsidRPr="0074067A" w14:paraId="7F9AAAC5" w14:textId="77777777" w:rsidTr="00DC4B07">
        <w:trPr>
          <w:trHeight w:val="246"/>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7DE5CC99" w14:textId="52C5A825" w:rsidR="0074067A" w:rsidRPr="0074067A" w:rsidRDefault="00542555" w:rsidP="0074067A">
            <w:pPr>
              <w:spacing w:before="60" w:after="60" w:line="260" w:lineRule="atLeast"/>
              <w:rPr>
                <w:rFonts w:ascii="Arial" w:hAnsi="Arial" w:cs="Arial"/>
                <w:b/>
                <w:bCs/>
                <w:sz w:val="20"/>
                <w:szCs w:val="20"/>
              </w:rPr>
            </w:pPr>
            <w:r>
              <w:rPr>
                <w:rFonts w:ascii="Arial" w:hAnsi="Arial"/>
                <w:b/>
                <w:sz w:val="20"/>
              </w:rPr>
              <w:t>Titulli i projektit</w:t>
            </w:r>
          </w:p>
        </w:tc>
        <w:tc>
          <w:tcPr>
            <w:tcW w:w="3391" w:type="pct"/>
            <w:tcBorders>
              <w:top w:val="single" w:sz="4" w:space="0" w:color="auto"/>
              <w:left w:val="single" w:sz="4" w:space="0" w:color="auto"/>
              <w:bottom w:val="single" w:sz="4" w:space="0" w:color="auto"/>
              <w:right w:val="single" w:sz="4" w:space="0" w:color="auto"/>
            </w:tcBorders>
            <w:vAlign w:val="center"/>
          </w:tcPr>
          <w:p w14:paraId="73E6FD91" w14:textId="3BDA5E2E" w:rsidR="0074067A" w:rsidRPr="0074067A" w:rsidRDefault="00AA6FB0" w:rsidP="0074067A">
            <w:pPr>
              <w:spacing w:before="60" w:after="60" w:line="260" w:lineRule="atLeast"/>
              <w:rPr>
                <w:rFonts w:ascii="Arial" w:hAnsi="Arial" w:cs="Arial"/>
                <w:sz w:val="20"/>
                <w:szCs w:val="20"/>
              </w:rPr>
            </w:pPr>
            <w:r>
              <w:rPr>
                <w:rFonts w:ascii="Arial" w:hAnsi="Arial"/>
                <w:sz w:val="20"/>
              </w:rPr>
              <w:t>Masa</w:t>
            </w:r>
            <w:r w:rsidR="00542555">
              <w:rPr>
                <w:rFonts w:ascii="Arial" w:hAnsi="Arial"/>
                <w:sz w:val="20"/>
              </w:rPr>
              <w:t>t e efiçiencës së energjisë në s</w:t>
            </w:r>
            <w:r>
              <w:rPr>
                <w:rFonts w:ascii="Arial" w:hAnsi="Arial"/>
                <w:sz w:val="20"/>
              </w:rPr>
              <w:t xml:space="preserve">ektorin </w:t>
            </w:r>
            <w:r w:rsidR="00542555">
              <w:rPr>
                <w:rFonts w:ascii="Arial" w:hAnsi="Arial"/>
                <w:sz w:val="20"/>
              </w:rPr>
              <w:t>rezidencial dhe p</w:t>
            </w:r>
            <w:r>
              <w:rPr>
                <w:rFonts w:ascii="Arial" w:hAnsi="Arial"/>
                <w:sz w:val="20"/>
              </w:rPr>
              <w:t>rivat</w:t>
            </w:r>
          </w:p>
        </w:tc>
      </w:tr>
      <w:tr w:rsidR="0074067A" w:rsidRPr="0074067A" w14:paraId="6063537C"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6B963496" w14:textId="75EF7D8E" w:rsidR="0074067A" w:rsidRPr="0074067A" w:rsidRDefault="0074067A" w:rsidP="0074067A">
            <w:pPr>
              <w:spacing w:before="60" w:after="60" w:line="260" w:lineRule="atLeast"/>
              <w:rPr>
                <w:rFonts w:ascii="Arial" w:hAnsi="Arial" w:cs="Arial"/>
                <w:bCs/>
                <w:sz w:val="20"/>
                <w:szCs w:val="20"/>
              </w:rPr>
            </w:pPr>
            <w:r>
              <w:rPr>
                <w:rFonts w:ascii="Arial" w:hAnsi="Arial"/>
                <w:sz w:val="20"/>
              </w:rPr>
              <w:t>Sektori</w:t>
            </w:r>
          </w:p>
        </w:tc>
        <w:tc>
          <w:tcPr>
            <w:tcW w:w="3391" w:type="pct"/>
            <w:tcBorders>
              <w:top w:val="single" w:sz="4" w:space="0" w:color="auto"/>
              <w:left w:val="single" w:sz="4" w:space="0" w:color="auto"/>
              <w:bottom w:val="single" w:sz="4" w:space="0" w:color="auto"/>
              <w:right w:val="single" w:sz="4" w:space="0" w:color="auto"/>
            </w:tcBorders>
            <w:vAlign w:val="center"/>
          </w:tcPr>
          <w:p w14:paraId="7C6C436B" w14:textId="72DA7EC0" w:rsidR="0074067A" w:rsidRPr="0074067A" w:rsidRDefault="00AA6FB0" w:rsidP="0074067A">
            <w:pPr>
              <w:spacing w:before="60" w:after="60" w:line="260" w:lineRule="atLeast"/>
              <w:rPr>
                <w:rFonts w:ascii="Arial" w:hAnsi="Arial" w:cs="Arial"/>
                <w:sz w:val="20"/>
                <w:szCs w:val="20"/>
              </w:rPr>
            </w:pPr>
            <w:r>
              <w:rPr>
                <w:rFonts w:ascii="Arial" w:hAnsi="Arial"/>
                <w:sz w:val="20"/>
              </w:rPr>
              <w:t xml:space="preserve">Energjia / Efiçienca e Energjisë </w:t>
            </w:r>
          </w:p>
        </w:tc>
      </w:tr>
      <w:tr w:rsidR="0074067A" w:rsidRPr="0074067A" w14:paraId="3307BBCC"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5D86A060" w14:textId="7924DCB0" w:rsidR="0074067A" w:rsidRPr="0074067A" w:rsidRDefault="0074067A" w:rsidP="0074067A">
            <w:pPr>
              <w:spacing w:before="60" w:after="60" w:line="260" w:lineRule="atLeast"/>
              <w:rPr>
                <w:rFonts w:ascii="Arial" w:hAnsi="Arial" w:cs="Arial"/>
                <w:bCs/>
                <w:sz w:val="20"/>
                <w:szCs w:val="20"/>
              </w:rPr>
            </w:pPr>
            <w:r>
              <w:rPr>
                <w:rFonts w:ascii="Arial" w:hAnsi="Arial"/>
                <w:sz w:val="20"/>
              </w:rPr>
              <w:t>Përfituesi</w:t>
            </w:r>
            <w:r w:rsidR="00542555">
              <w:rPr>
                <w:rFonts w:ascii="Arial" w:hAnsi="Arial"/>
                <w:sz w:val="20"/>
              </w:rPr>
              <w:t>/propozuesi kryesor i projektit</w:t>
            </w:r>
          </w:p>
        </w:tc>
        <w:tc>
          <w:tcPr>
            <w:tcW w:w="3391" w:type="pct"/>
            <w:tcBorders>
              <w:top w:val="single" w:sz="4" w:space="0" w:color="auto"/>
              <w:left w:val="single" w:sz="4" w:space="0" w:color="auto"/>
              <w:bottom w:val="single" w:sz="4" w:space="0" w:color="auto"/>
              <w:right w:val="single" w:sz="4" w:space="0" w:color="auto"/>
            </w:tcBorders>
            <w:vAlign w:val="center"/>
          </w:tcPr>
          <w:p w14:paraId="10C36509" w14:textId="21148BF3" w:rsidR="0074067A" w:rsidRPr="0074067A" w:rsidRDefault="00B70BEF" w:rsidP="00B70BEF">
            <w:pPr>
              <w:spacing w:before="60" w:after="60" w:line="260" w:lineRule="atLeast"/>
              <w:rPr>
                <w:rFonts w:ascii="Arial" w:hAnsi="Arial" w:cs="Arial"/>
                <w:sz w:val="20"/>
                <w:szCs w:val="20"/>
              </w:rPr>
            </w:pPr>
            <w:r>
              <w:rPr>
                <w:rFonts w:ascii="Arial" w:hAnsi="Arial"/>
                <w:sz w:val="20"/>
              </w:rPr>
              <w:t>Ministria e Ekonomisë / Fondi i Kosovës për Efiçiencë të Energjisë</w:t>
            </w:r>
          </w:p>
        </w:tc>
      </w:tr>
      <w:tr w:rsidR="0074067A" w:rsidRPr="0074067A" w14:paraId="39DF3BE2"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3A08310A" w14:textId="5535CD88" w:rsidR="0074067A" w:rsidRPr="0074067A" w:rsidRDefault="0074067A" w:rsidP="0074067A">
            <w:pPr>
              <w:spacing w:before="60" w:after="60" w:line="260" w:lineRule="atLeast"/>
              <w:rPr>
                <w:rFonts w:ascii="Arial" w:hAnsi="Arial" w:cs="Arial"/>
                <w:bCs/>
                <w:sz w:val="20"/>
                <w:szCs w:val="20"/>
              </w:rPr>
            </w:pPr>
            <w:r>
              <w:rPr>
                <w:rFonts w:ascii="Arial" w:hAnsi="Arial"/>
                <w:sz w:val="20"/>
              </w:rPr>
              <w:t>Institucioni që është autor i propozimit të projektit</w:t>
            </w:r>
          </w:p>
        </w:tc>
        <w:tc>
          <w:tcPr>
            <w:tcW w:w="3391" w:type="pct"/>
            <w:tcBorders>
              <w:top w:val="single" w:sz="4" w:space="0" w:color="auto"/>
              <w:left w:val="single" w:sz="4" w:space="0" w:color="auto"/>
              <w:bottom w:val="single" w:sz="4" w:space="0" w:color="auto"/>
              <w:right w:val="single" w:sz="4" w:space="0" w:color="auto"/>
            </w:tcBorders>
            <w:vAlign w:val="center"/>
          </w:tcPr>
          <w:p w14:paraId="674E1742" w14:textId="0D01D201" w:rsidR="0074067A" w:rsidRPr="0074067A" w:rsidRDefault="00A25F8B" w:rsidP="0074067A">
            <w:pPr>
              <w:spacing w:before="60" w:after="60" w:line="260" w:lineRule="atLeast"/>
              <w:rPr>
                <w:rFonts w:ascii="Arial" w:hAnsi="Arial" w:cs="Arial"/>
                <w:sz w:val="20"/>
                <w:szCs w:val="20"/>
              </w:rPr>
            </w:pPr>
            <w:r>
              <w:rPr>
                <w:rFonts w:ascii="Arial" w:hAnsi="Arial"/>
                <w:sz w:val="20"/>
              </w:rPr>
              <w:t>Fondi i Kosovës për Efiçiencë të Energjisë (FKEE)</w:t>
            </w:r>
          </w:p>
        </w:tc>
      </w:tr>
      <w:tr w:rsidR="0074067A" w:rsidRPr="0074067A" w14:paraId="0AB19E95" w14:textId="77777777" w:rsidTr="00542555">
        <w:trPr>
          <w:trHeight w:val="6317"/>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44091F13"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Vendndodhja/Harta</w:t>
            </w:r>
          </w:p>
        </w:tc>
        <w:tc>
          <w:tcPr>
            <w:tcW w:w="3391" w:type="pct"/>
            <w:tcBorders>
              <w:top w:val="single" w:sz="4" w:space="0" w:color="auto"/>
              <w:left w:val="single" w:sz="4" w:space="0" w:color="auto"/>
              <w:bottom w:val="single" w:sz="4" w:space="0" w:color="auto"/>
              <w:right w:val="single" w:sz="4" w:space="0" w:color="auto"/>
            </w:tcBorders>
            <w:vAlign w:val="center"/>
          </w:tcPr>
          <w:p w14:paraId="5E5C3654" w14:textId="77777777" w:rsidR="002A13B8" w:rsidRDefault="002A13B8" w:rsidP="002A13B8">
            <w:pPr>
              <w:spacing w:before="60" w:after="60" w:line="260" w:lineRule="atLeast"/>
              <w:rPr>
                <w:rFonts w:ascii="Arial" w:hAnsi="Arial" w:cs="Arial"/>
                <w:sz w:val="20"/>
                <w:szCs w:val="20"/>
                <w:lang w:val="en-US"/>
              </w:rPr>
            </w:pPr>
          </w:p>
          <w:p w14:paraId="129D1C12" w14:textId="6F511F8A" w:rsidR="002A13B8" w:rsidRDefault="002A13B8" w:rsidP="0049254B">
            <w:pPr>
              <w:spacing w:before="60" w:after="60" w:line="260" w:lineRule="atLeast"/>
              <w:rPr>
                <w:rFonts w:ascii="Arial" w:hAnsi="Arial" w:cs="Arial"/>
                <w:sz w:val="20"/>
                <w:szCs w:val="20"/>
              </w:rPr>
            </w:pPr>
            <w:r>
              <w:rPr>
                <w:noProof/>
                <w:lang w:val="en-US"/>
              </w:rPr>
              <w:drawing>
                <wp:inline distT="0" distB="0" distL="0" distR="0" wp14:anchorId="1633ED24" wp14:editId="2D5CC268">
                  <wp:extent cx="3329940" cy="3593460"/>
                  <wp:effectExtent l="0" t="0" r="3810" b="7620"/>
                  <wp:docPr id="3" name="Picture 3" descr="File:Harta e Komunave të Kosovës (me emr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Harta e Komunave të Kosovës (me emra).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164" cy="3594781"/>
                          </a:xfrm>
                          <a:prstGeom prst="rect">
                            <a:avLst/>
                          </a:prstGeom>
                          <a:noFill/>
                          <a:ln>
                            <a:noFill/>
                          </a:ln>
                        </pic:spPr>
                      </pic:pic>
                    </a:graphicData>
                  </a:graphic>
                </wp:inline>
              </w:drawing>
            </w:r>
          </w:p>
          <w:p w14:paraId="2CF9EACE" w14:textId="4BBA3350" w:rsidR="002A13B8" w:rsidRPr="00542555" w:rsidRDefault="002A13B8" w:rsidP="002A13B8">
            <w:pPr>
              <w:spacing w:before="60" w:after="60" w:line="260" w:lineRule="atLeast"/>
              <w:rPr>
                <w:rFonts w:ascii="Arial" w:hAnsi="Arial" w:cs="Arial"/>
                <w:sz w:val="20"/>
                <w:szCs w:val="20"/>
              </w:rPr>
            </w:pPr>
            <w:r>
              <w:rPr>
                <w:rFonts w:ascii="Arial" w:hAnsi="Arial"/>
                <w:sz w:val="20"/>
              </w:rPr>
              <w:t>Harta e Republikës së Kosovës me të gjitha komunat</w:t>
            </w:r>
          </w:p>
        </w:tc>
      </w:tr>
      <w:tr w:rsidR="0074067A" w:rsidRPr="0074067A" w14:paraId="0968DE32" w14:textId="77777777" w:rsidTr="00DC4B07">
        <w:trPr>
          <w:trHeight w:val="234"/>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5B1D6104"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Investimi total i parashikuar:</w:t>
            </w:r>
          </w:p>
          <w:p w14:paraId="111FBAB6" w14:textId="77777777" w:rsidR="0074067A" w:rsidRPr="0074067A" w:rsidRDefault="0074067A" w:rsidP="0074067A">
            <w:pPr>
              <w:numPr>
                <w:ilvl w:val="0"/>
                <w:numId w:val="42"/>
              </w:numPr>
              <w:spacing w:before="60" w:after="60" w:line="260" w:lineRule="atLeast"/>
              <w:ind w:left="223" w:hanging="223"/>
              <w:rPr>
                <w:rFonts w:ascii="Arial" w:hAnsi="Arial" w:cs="Arial"/>
                <w:bCs/>
                <w:sz w:val="20"/>
                <w:szCs w:val="20"/>
              </w:rPr>
            </w:pPr>
            <w:r>
              <w:rPr>
                <w:rFonts w:ascii="Arial" w:hAnsi="Arial"/>
                <w:sz w:val="20"/>
              </w:rPr>
              <w:t xml:space="preserve">Aktivitetet përgatitore (dokumentacioni planifikues, dokumentacioni teknik, marrja e tokës etj.) </w:t>
            </w:r>
          </w:p>
          <w:p w14:paraId="094A8CF2" w14:textId="77777777" w:rsidR="0074067A" w:rsidRPr="0074067A" w:rsidRDefault="0074067A" w:rsidP="0074067A">
            <w:pPr>
              <w:numPr>
                <w:ilvl w:val="0"/>
                <w:numId w:val="42"/>
              </w:numPr>
              <w:spacing w:before="60" w:after="60" w:line="260" w:lineRule="atLeast"/>
              <w:ind w:left="223" w:hanging="223"/>
              <w:rPr>
                <w:rFonts w:ascii="Arial" w:hAnsi="Arial" w:cs="Arial"/>
                <w:bCs/>
                <w:sz w:val="20"/>
                <w:szCs w:val="20"/>
              </w:rPr>
            </w:pPr>
            <w:r>
              <w:rPr>
                <w:rFonts w:ascii="Arial" w:hAnsi="Arial"/>
                <w:sz w:val="20"/>
              </w:rPr>
              <w:t>Punimet ndërtimore</w:t>
            </w:r>
          </w:p>
          <w:p w14:paraId="0C0DD591" w14:textId="77777777" w:rsidR="0074067A" w:rsidRPr="0074067A" w:rsidRDefault="0074067A" w:rsidP="0074067A">
            <w:pPr>
              <w:numPr>
                <w:ilvl w:val="0"/>
                <w:numId w:val="42"/>
              </w:numPr>
              <w:spacing w:before="60" w:after="60" w:line="260" w:lineRule="atLeast"/>
              <w:ind w:left="223" w:hanging="223"/>
              <w:rPr>
                <w:rFonts w:ascii="Arial" w:hAnsi="Arial" w:cs="Arial"/>
                <w:bCs/>
                <w:sz w:val="20"/>
                <w:szCs w:val="20"/>
              </w:rPr>
            </w:pPr>
            <w:r>
              <w:rPr>
                <w:rFonts w:ascii="Arial" w:hAnsi="Arial"/>
                <w:sz w:val="20"/>
              </w:rPr>
              <w:t xml:space="preserve">Mbikëqyrja </w:t>
            </w:r>
          </w:p>
        </w:tc>
        <w:tc>
          <w:tcPr>
            <w:tcW w:w="3391" w:type="pct"/>
            <w:tcBorders>
              <w:top w:val="single" w:sz="4" w:space="0" w:color="auto"/>
              <w:left w:val="single" w:sz="4" w:space="0" w:color="auto"/>
              <w:bottom w:val="single" w:sz="4" w:space="0" w:color="auto"/>
              <w:right w:val="single" w:sz="4" w:space="0" w:color="auto"/>
            </w:tcBorders>
            <w:vAlign w:val="center"/>
          </w:tcPr>
          <w:p w14:paraId="126F8013" w14:textId="77777777" w:rsidR="00BE44E6" w:rsidRDefault="00BE44E6" w:rsidP="00BE44E6">
            <w:pPr>
              <w:spacing w:before="60" w:after="60" w:line="260" w:lineRule="atLeast"/>
              <w:rPr>
                <w:rFonts w:ascii="Arial" w:hAnsi="Arial" w:cs="Arial"/>
                <w:sz w:val="20"/>
                <w:szCs w:val="20"/>
              </w:rPr>
            </w:pPr>
            <w:r>
              <w:rPr>
                <w:rFonts w:ascii="Arial" w:hAnsi="Arial"/>
                <w:b/>
                <w:sz w:val="20"/>
              </w:rPr>
              <w:t xml:space="preserve">Gjithsej investimi: </w:t>
            </w:r>
            <w:r>
              <w:rPr>
                <w:rFonts w:ascii="Arial" w:hAnsi="Arial"/>
                <w:sz w:val="20"/>
              </w:rPr>
              <w:t>51,000,000 Euro</w:t>
            </w:r>
          </w:p>
          <w:p w14:paraId="59CC4AF1" w14:textId="77777777" w:rsidR="00BE44E6" w:rsidRDefault="00BE44E6" w:rsidP="00BE44E6">
            <w:pPr>
              <w:spacing w:before="60" w:after="60" w:line="260" w:lineRule="atLeast"/>
              <w:rPr>
                <w:rFonts w:ascii="Arial" w:hAnsi="Arial" w:cs="Arial"/>
                <w:sz w:val="20"/>
                <w:szCs w:val="20"/>
              </w:rPr>
            </w:pPr>
            <w:r>
              <w:rPr>
                <w:rFonts w:ascii="Arial" w:hAnsi="Arial"/>
                <w:sz w:val="20"/>
              </w:rPr>
              <w:t>Nga të cilat:</w:t>
            </w:r>
          </w:p>
          <w:p w14:paraId="7A617368" w14:textId="4C1A07FE" w:rsidR="00BE44E6" w:rsidRPr="008B7800" w:rsidRDefault="00BE44E6" w:rsidP="00BE44E6">
            <w:pPr>
              <w:numPr>
                <w:ilvl w:val="0"/>
                <w:numId w:val="42"/>
              </w:numPr>
              <w:spacing w:before="60" w:after="60" w:line="260" w:lineRule="atLeast"/>
              <w:rPr>
                <w:rFonts w:ascii="Arial" w:hAnsi="Arial" w:cs="Arial"/>
                <w:sz w:val="20"/>
                <w:szCs w:val="20"/>
              </w:rPr>
            </w:pPr>
            <w:r>
              <w:rPr>
                <w:rFonts w:ascii="Arial" w:hAnsi="Arial"/>
                <w:sz w:val="20"/>
              </w:rPr>
              <w:t>TA për përgatitjen e projektit 1,200,000 Euro</w:t>
            </w:r>
          </w:p>
          <w:p w14:paraId="07954443" w14:textId="1F9FCC21" w:rsidR="00BE44E6" w:rsidRPr="008B7800" w:rsidRDefault="00BE44E6" w:rsidP="00BE44E6">
            <w:pPr>
              <w:numPr>
                <w:ilvl w:val="0"/>
                <w:numId w:val="42"/>
              </w:numPr>
              <w:spacing w:before="60" w:after="60" w:line="260" w:lineRule="atLeast"/>
              <w:rPr>
                <w:rFonts w:ascii="Arial" w:hAnsi="Arial" w:cs="Arial"/>
                <w:sz w:val="20"/>
                <w:szCs w:val="20"/>
              </w:rPr>
            </w:pPr>
            <w:r>
              <w:rPr>
                <w:rFonts w:ascii="Arial" w:hAnsi="Arial"/>
                <w:sz w:val="20"/>
              </w:rPr>
              <w:t>Punime (Ndërtim) 45,800,000 Euro</w:t>
            </w:r>
          </w:p>
          <w:p w14:paraId="04686BFA" w14:textId="0834EC75" w:rsidR="00BE44E6" w:rsidRDefault="00BE44E6" w:rsidP="00BE44E6">
            <w:pPr>
              <w:numPr>
                <w:ilvl w:val="0"/>
                <w:numId w:val="42"/>
              </w:numPr>
              <w:spacing w:before="60" w:after="60" w:line="260" w:lineRule="atLeast"/>
              <w:rPr>
                <w:rFonts w:ascii="Arial" w:hAnsi="Arial" w:cs="Arial"/>
                <w:sz w:val="20"/>
                <w:szCs w:val="20"/>
              </w:rPr>
            </w:pPr>
            <w:r>
              <w:rPr>
                <w:rFonts w:ascii="Arial" w:hAnsi="Arial"/>
                <w:sz w:val="20"/>
              </w:rPr>
              <w:t>Kontigjenca 3,700,000 Euro</w:t>
            </w:r>
          </w:p>
          <w:p w14:paraId="3502FAB0" w14:textId="15EA8703" w:rsidR="00BE44E6" w:rsidRDefault="00542555" w:rsidP="00BE44E6">
            <w:pPr>
              <w:numPr>
                <w:ilvl w:val="0"/>
                <w:numId w:val="42"/>
              </w:numPr>
              <w:spacing w:before="60" w:after="60" w:line="260" w:lineRule="atLeast"/>
              <w:rPr>
                <w:rFonts w:ascii="Arial" w:hAnsi="Arial" w:cs="Arial"/>
                <w:sz w:val="20"/>
                <w:szCs w:val="20"/>
              </w:rPr>
            </w:pPr>
            <w:r>
              <w:rPr>
                <w:rFonts w:ascii="Arial" w:hAnsi="Arial"/>
                <w:sz w:val="20"/>
              </w:rPr>
              <w:t xml:space="preserve">Të tjera </w:t>
            </w:r>
            <w:r w:rsidR="00BE44E6">
              <w:rPr>
                <w:rFonts w:ascii="Arial" w:hAnsi="Arial"/>
                <w:sz w:val="20"/>
              </w:rPr>
              <w:t>300,000 euro</w:t>
            </w:r>
          </w:p>
          <w:p w14:paraId="5214F787" w14:textId="29771E25" w:rsidR="00BE44E6" w:rsidRPr="0074067A" w:rsidRDefault="00BE44E6" w:rsidP="00BE44E6">
            <w:pPr>
              <w:spacing w:before="60" w:after="60" w:line="260" w:lineRule="atLeast"/>
              <w:rPr>
                <w:rFonts w:ascii="Arial" w:hAnsi="Arial" w:cs="Arial"/>
                <w:sz w:val="20"/>
                <w:szCs w:val="20"/>
                <w:lang w:val="en-US"/>
              </w:rPr>
            </w:pPr>
          </w:p>
        </w:tc>
      </w:tr>
      <w:tr w:rsidR="0074067A" w:rsidRPr="0074067A" w14:paraId="4CD7B1BE" w14:textId="77777777" w:rsidTr="00DC4B07">
        <w:trPr>
          <w:trHeight w:val="246"/>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1720EA13" w14:textId="77777777" w:rsidR="0074067A" w:rsidRPr="0074067A" w:rsidRDefault="0074067A" w:rsidP="0074067A">
            <w:pPr>
              <w:spacing w:before="60" w:after="60" w:line="260" w:lineRule="atLeast"/>
              <w:rPr>
                <w:rFonts w:ascii="Arial" w:hAnsi="Arial" w:cs="Arial"/>
                <w:b/>
                <w:sz w:val="20"/>
                <w:szCs w:val="20"/>
              </w:rPr>
            </w:pPr>
            <w:r>
              <w:rPr>
                <w:rFonts w:ascii="Arial" w:hAnsi="Arial"/>
                <w:b/>
                <w:sz w:val="20"/>
              </w:rPr>
              <w:t>Personi përgjegjës ose i autorizuar për kontakt:</w:t>
            </w:r>
          </w:p>
        </w:tc>
        <w:tc>
          <w:tcPr>
            <w:tcW w:w="3391" w:type="pct"/>
            <w:tcBorders>
              <w:top w:val="single" w:sz="4" w:space="0" w:color="auto"/>
              <w:left w:val="single" w:sz="4" w:space="0" w:color="auto"/>
              <w:bottom w:val="single" w:sz="4" w:space="0" w:color="auto"/>
              <w:right w:val="single" w:sz="4" w:space="0" w:color="auto"/>
            </w:tcBorders>
            <w:shd w:val="clear" w:color="auto" w:fill="auto"/>
            <w:vAlign w:val="center"/>
          </w:tcPr>
          <w:p w14:paraId="64C0A06F" w14:textId="392D16C2" w:rsidR="0074067A" w:rsidRPr="0074067A" w:rsidRDefault="00D45A87" w:rsidP="0074067A">
            <w:pPr>
              <w:spacing w:before="60" w:after="60" w:line="260" w:lineRule="atLeast"/>
              <w:rPr>
                <w:rFonts w:ascii="Arial" w:hAnsi="Arial" w:cs="Arial"/>
                <w:b/>
                <w:sz w:val="20"/>
                <w:szCs w:val="20"/>
              </w:rPr>
            </w:pPr>
            <w:r>
              <w:rPr>
                <w:rFonts w:ascii="Arial" w:hAnsi="Arial"/>
                <w:sz w:val="20"/>
              </w:rPr>
              <w:t xml:space="preserve">Driton Hetemi </w:t>
            </w:r>
          </w:p>
        </w:tc>
      </w:tr>
      <w:tr w:rsidR="0074067A" w:rsidRPr="0074067A" w14:paraId="2CDC52D2" w14:textId="77777777" w:rsidTr="00DC4B07">
        <w:trPr>
          <w:trHeight w:val="246"/>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09CAA3B0"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Emri – Pozita:</w:t>
            </w:r>
          </w:p>
        </w:tc>
        <w:tc>
          <w:tcPr>
            <w:tcW w:w="3391" w:type="pct"/>
            <w:tcBorders>
              <w:top w:val="single" w:sz="4" w:space="0" w:color="auto"/>
              <w:left w:val="single" w:sz="4" w:space="0" w:color="auto"/>
              <w:bottom w:val="single" w:sz="4" w:space="0" w:color="auto"/>
              <w:right w:val="single" w:sz="4" w:space="0" w:color="auto"/>
            </w:tcBorders>
            <w:vAlign w:val="center"/>
          </w:tcPr>
          <w:p w14:paraId="3DF64C5D" w14:textId="63FE632E" w:rsidR="0074067A" w:rsidRPr="0074067A" w:rsidRDefault="00F81AB1" w:rsidP="00ED0153">
            <w:pPr>
              <w:spacing w:before="60" w:after="60" w:line="260" w:lineRule="atLeast"/>
              <w:rPr>
                <w:rFonts w:ascii="Arial" w:hAnsi="Arial" w:cs="Arial"/>
                <w:sz w:val="20"/>
                <w:szCs w:val="20"/>
              </w:rPr>
            </w:pPr>
            <w:r>
              <w:rPr>
                <w:rFonts w:ascii="Arial" w:hAnsi="Arial"/>
                <w:sz w:val="20"/>
              </w:rPr>
              <w:t>Drejtor Menaxhues në FKEE</w:t>
            </w:r>
          </w:p>
        </w:tc>
      </w:tr>
      <w:tr w:rsidR="0074067A" w:rsidRPr="0074067A" w14:paraId="6CED94D4" w14:textId="77777777" w:rsidTr="00DC4B07">
        <w:trPr>
          <w:trHeight w:val="246"/>
          <w:jc w:val="center"/>
        </w:trPr>
        <w:tc>
          <w:tcPr>
            <w:tcW w:w="1609" w:type="pct"/>
            <w:tcBorders>
              <w:top w:val="single" w:sz="4" w:space="0" w:color="auto"/>
              <w:left w:val="single" w:sz="4" w:space="0" w:color="auto"/>
              <w:bottom w:val="single" w:sz="4" w:space="0" w:color="auto"/>
              <w:right w:val="single" w:sz="4" w:space="0" w:color="auto"/>
            </w:tcBorders>
            <w:shd w:val="clear" w:color="auto" w:fill="D9D9D9"/>
            <w:vAlign w:val="center"/>
          </w:tcPr>
          <w:p w14:paraId="1B61FD43"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Adresa e emailit - Telefoni:</w:t>
            </w:r>
          </w:p>
        </w:tc>
        <w:tc>
          <w:tcPr>
            <w:tcW w:w="3391" w:type="pct"/>
            <w:tcBorders>
              <w:top w:val="single" w:sz="4" w:space="0" w:color="auto"/>
              <w:left w:val="single" w:sz="4" w:space="0" w:color="auto"/>
              <w:bottom w:val="single" w:sz="4" w:space="0" w:color="auto"/>
              <w:right w:val="single" w:sz="4" w:space="0" w:color="auto"/>
            </w:tcBorders>
            <w:vAlign w:val="center"/>
          </w:tcPr>
          <w:p w14:paraId="193DA4F2" w14:textId="71BC521C" w:rsidR="0074067A" w:rsidRPr="0074067A" w:rsidRDefault="00305B97" w:rsidP="00542555">
            <w:pPr>
              <w:spacing w:before="60" w:after="60" w:line="260" w:lineRule="atLeast"/>
              <w:rPr>
                <w:rFonts w:ascii="Arial" w:hAnsi="Arial" w:cs="Arial"/>
                <w:sz w:val="20"/>
                <w:szCs w:val="20"/>
              </w:rPr>
            </w:pPr>
            <w:hyperlink r:id="rId9" w:history="1">
              <w:r w:rsidR="00086022">
                <w:rPr>
                  <w:rStyle w:val="Hyperlink"/>
                </w:rPr>
                <w:t>driton.hetemi@fkee-rks.net</w:t>
              </w:r>
            </w:hyperlink>
            <w:r w:rsidR="00086022">
              <w:t xml:space="preserve">; </w:t>
            </w:r>
            <w:r w:rsidR="00086022" w:rsidRPr="00542555">
              <w:rPr>
                <w:rFonts w:ascii="Arial" w:hAnsi="Arial"/>
                <w:sz w:val="20"/>
              </w:rPr>
              <w:t>+383 (0)38 223777</w:t>
            </w:r>
          </w:p>
        </w:tc>
      </w:tr>
    </w:tbl>
    <w:p w14:paraId="7683F09C" w14:textId="77777777" w:rsidR="0083451C" w:rsidRPr="0074067A" w:rsidRDefault="0074067A" w:rsidP="001C2CAF">
      <w:pPr>
        <w:pStyle w:val="ListParagraph"/>
        <w:numPr>
          <w:ilvl w:val="0"/>
          <w:numId w:val="41"/>
        </w:numPr>
        <w:spacing w:before="200" w:after="120"/>
        <w:jc w:val="both"/>
        <w:rPr>
          <w:rFonts w:cs="Arial"/>
          <w:b/>
          <w:szCs w:val="20"/>
        </w:rPr>
      </w:pPr>
      <w:r>
        <w:rPr>
          <w:b/>
        </w:rPr>
        <w:t>PËRSHKRIMI I PROJEKTIT</w:t>
      </w:r>
    </w:p>
    <w:tbl>
      <w:tblPr>
        <w:tblW w:w="5000" w:type="pct"/>
        <w:tblLook w:val="01E0" w:firstRow="1" w:lastRow="1" w:firstColumn="1" w:lastColumn="1" w:noHBand="0" w:noVBand="0"/>
      </w:tblPr>
      <w:tblGrid>
        <w:gridCol w:w="3173"/>
        <w:gridCol w:w="6723"/>
      </w:tblGrid>
      <w:tr w:rsidR="0074067A" w:rsidRPr="0074067A" w14:paraId="5A39A88E" w14:textId="77777777" w:rsidTr="00DC4B07">
        <w:trPr>
          <w:trHeight w:val="346"/>
        </w:trPr>
        <w:tc>
          <w:tcPr>
            <w:tcW w:w="1603" w:type="pct"/>
            <w:tcBorders>
              <w:top w:val="single" w:sz="4" w:space="0" w:color="auto"/>
              <w:left w:val="single" w:sz="4" w:space="0" w:color="auto"/>
              <w:bottom w:val="single" w:sz="4" w:space="0" w:color="auto"/>
              <w:right w:val="single" w:sz="4" w:space="0" w:color="auto"/>
            </w:tcBorders>
            <w:shd w:val="clear" w:color="auto" w:fill="D9D9D9"/>
            <w:vAlign w:val="center"/>
          </w:tcPr>
          <w:p w14:paraId="3EB28E2D"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t>Qëllimi i projektit infrastrukturor</w:t>
            </w:r>
          </w:p>
        </w:tc>
        <w:tc>
          <w:tcPr>
            <w:tcW w:w="3397" w:type="pct"/>
            <w:tcBorders>
              <w:top w:val="single" w:sz="4" w:space="0" w:color="auto"/>
              <w:left w:val="single" w:sz="4" w:space="0" w:color="auto"/>
              <w:bottom w:val="single" w:sz="4" w:space="0" w:color="auto"/>
              <w:right w:val="single" w:sz="4" w:space="0" w:color="auto"/>
            </w:tcBorders>
          </w:tcPr>
          <w:p w14:paraId="630537C7" w14:textId="1C9C675C" w:rsidR="0074067A" w:rsidRPr="0074067A" w:rsidRDefault="001719A0" w:rsidP="00B90CD5">
            <w:pPr>
              <w:spacing w:before="60" w:after="60" w:line="260" w:lineRule="atLeast"/>
              <w:jc w:val="both"/>
              <w:rPr>
                <w:rFonts w:ascii="Arial" w:hAnsi="Arial" w:cs="Arial"/>
                <w:bCs/>
                <w:sz w:val="20"/>
                <w:szCs w:val="20"/>
              </w:rPr>
            </w:pPr>
            <w:r>
              <w:rPr>
                <w:rFonts w:ascii="Arial" w:hAnsi="Arial"/>
                <w:sz w:val="20"/>
              </w:rPr>
              <w:t xml:space="preserve">Qëllimi i projektit është fillimi i zbatimit të masave për efikasitet energjetik në sektorin e banimit dhe NVM-ve si konsumatorët kryesorë të energjisë </w:t>
            </w:r>
            <w:r>
              <w:rPr>
                <w:rFonts w:ascii="Arial" w:hAnsi="Arial"/>
                <w:sz w:val="20"/>
              </w:rPr>
              <w:lastRenderedPageBreak/>
              <w:t>në Kosovë.</w:t>
            </w:r>
            <w:r>
              <w:t xml:space="preserve"> </w:t>
            </w:r>
            <w:r>
              <w:rPr>
                <w:rFonts w:ascii="Arial" w:hAnsi="Arial"/>
                <w:sz w:val="20"/>
              </w:rPr>
              <w:t>Prandaj, investimi në efiçiencën e energjisë përmes ombrellës së Fondit të Kosovës për Efiçiencë të Energjisë mund të mbështesë riparimin dhe renovimin e duhur termik të ndërtesave të banimit dhe të NVM-ve.  Një investim prej 51 milionë eurosh do të krijojë kursime vjetore të energjisë rreth 10 ktoe.</w:t>
            </w:r>
          </w:p>
        </w:tc>
      </w:tr>
      <w:tr w:rsidR="0074067A" w:rsidRPr="0074067A" w14:paraId="62743D80" w14:textId="77777777" w:rsidTr="00DC4B07">
        <w:trPr>
          <w:trHeight w:val="330"/>
        </w:trPr>
        <w:tc>
          <w:tcPr>
            <w:tcW w:w="1603" w:type="pct"/>
            <w:tcBorders>
              <w:top w:val="single" w:sz="4" w:space="0" w:color="auto"/>
              <w:left w:val="single" w:sz="4" w:space="0" w:color="auto"/>
              <w:bottom w:val="single" w:sz="4" w:space="0" w:color="auto"/>
              <w:right w:val="single" w:sz="4" w:space="0" w:color="auto"/>
            </w:tcBorders>
            <w:shd w:val="clear" w:color="auto" w:fill="D9D9D9"/>
            <w:vAlign w:val="center"/>
          </w:tcPr>
          <w:p w14:paraId="71043290" w14:textId="77777777" w:rsidR="0074067A" w:rsidRPr="0074067A" w:rsidRDefault="0074067A" w:rsidP="0074067A">
            <w:pPr>
              <w:spacing w:before="60" w:after="60" w:line="260" w:lineRule="atLeast"/>
              <w:rPr>
                <w:rFonts w:ascii="Arial" w:hAnsi="Arial" w:cs="Arial"/>
                <w:bCs/>
                <w:sz w:val="20"/>
                <w:szCs w:val="20"/>
              </w:rPr>
            </w:pPr>
            <w:r>
              <w:rPr>
                <w:rFonts w:ascii="Arial" w:hAnsi="Arial"/>
                <w:sz w:val="20"/>
              </w:rPr>
              <w:lastRenderedPageBreak/>
              <w:t>Rezultatet e projektit infrastrukturor</w:t>
            </w:r>
          </w:p>
        </w:tc>
        <w:tc>
          <w:tcPr>
            <w:tcW w:w="3397" w:type="pct"/>
            <w:tcBorders>
              <w:top w:val="single" w:sz="4" w:space="0" w:color="auto"/>
              <w:left w:val="single" w:sz="4" w:space="0" w:color="auto"/>
              <w:bottom w:val="single" w:sz="4" w:space="0" w:color="auto"/>
              <w:right w:val="single" w:sz="4" w:space="0" w:color="auto"/>
            </w:tcBorders>
          </w:tcPr>
          <w:p w14:paraId="4914BC7E" w14:textId="19C6506B" w:rsidR="0074067A" w:rsidRDefault="00734128" w:rsidP="0074067A">
            <w:pPr>
              <w:spacing w:before="60" w:after="60" w:line="260" w:lineRule="atLeast"/>
              <w:rPr>
                <w:rFonts w:ascii="Arial" w:hAnsi="Arial" w:cs="Arial"/>
                <w:bCs/>
                <w:sz w:val="20"/>
                <w:szCs w:val="20"/>
              </w:rPr>
            </w:pPr>
            <w:r>
              <w:rPr>
                <w:rFonts w:ascii="Arial" w:hAnsi="Arial"/>
                <w:sz w:val="20"/>
              </w:rPr>
              <w:t>R1. Reduktim të emetimeve të GHG;</w:t>
            </w:r>
          </w:p>
          <w:p w14:paraId="3B90031E" w14:textId="0619D4DE" w:rsidR="00734128" w:rsidRDefault="00734128" w:rsidP="0074067A">
            <w:pPr>
              <w:spacing w:before="60" w:after="60" w:line="260" w:lineRule="atLeast"/>
              <w:rPr>
                <w:rFonts w:ascii="Arial" w:hAnsi="Arial" w:cs="Arial"/>
                <w:bCs/>
                <w:sz w:val="20"/>
                <w:szCs w:val="20"/>
              </w:rPr>
            </w:pPr>
            <w:r>
              <w:rPr>
                <w:rFonts w:ascii="Arial" w:hAnsi="Arial"/>
                <w:sz w:val="20"/>
              </w:rPr>
              <w:t>R2.</w:t>
            </w:r>
            <w:r>
              <w:t xml:space="preserve"> </w:t>
            </w:r>
            <w:r>
              <w:rPr>
                <w:rFonts w:ascii="Arial" w:hAnsi="Arial"/>
                <w:sz w:val="20"/>
              </w:rPr>
              <w:t>Synimi i Energjisë së Ripërtëritshme;</w:t>
            </w:r>
          </w:p>
          <w:p w14:paraId="562B9EB4" w14:textId="1342E7A5" w:rsidR="00734128" w:rsidRPr="0074067A" w:rsidRDefault="00734128" w:rsidP="00542555">
            <w:pPr>
              <w:spacing w:before="60" w:after="60" w:line="260" w:lineRule="atLeast"/>
              <w:rPr>
                <w:rFonts w:ascii="Arial" w:hAnsi="Arial" w:cs="Arial"/>
                <w:bCs/>
                <w:sz w:val="20"/>
                <w:szCs w:val="20"/>
              </w:rPr>
            </w:pPr>
            <w:r>
              <w:rPr>
                <w:rFonts w:ascii="Arial" w:hAnsi="Arial"/>
                <w:sz w:val="20"/>
              </w:rPr>
              <w:t xml:space="preserve">R3. </w:t>
            </w:r>
            <w:r w:rsidR="00542555">
              <w:rPr>
                <w:rFonts w:ascii="Arial" w:hAnsi="Arial"/>
                <w:sz w:val="20"/>
              </w:rPr>
              <w:t xml:space="preserve">Synimi </w:t>
            </w:r>
            <w:r>
              <w:rPr>
                <w:rFonts w:ascii="Arial" w:hAnsi="Arial"/>
                <w:sz w:val="20"/>
              </w:rPr>
              <w:t>i Efiçiencës së Energjisë: do të synohen rreth 5,000 përfitues.</w:t>
            </w:r>
          </w:p>
        </w:tc>
      </w:tr>
      <w:tr w:rsidR="0074067A" w:rsidRPr="0074067A" w14:paraId="609EB501" w14:textId="77777777" w:rsidTr="00DC4B07">
        <w:trPr>
          <w:trHeight w:val="3772"/>
        </w:trPr>
        <w:tc>
          <w:tcPr>
            <w:tcW w:w="1603" w:type="pct"/>
            <w:tcBorders>
              <w:top w:val="single" w:sz="4" w:space="0" w:color="auto"/>
              <w:left w:val="single" w:sz="4" w:space="0" w:color="auto"/>
              <w:bottom w:val="single" w:sz="4" w:space="0" w:color="auto"/>
              <w:right w:val="single" w:sz="4" w:space="0" w:color="auto"/>
            </w:tcBorders>
            <w:shd w:val="clear" w:color="auto" w:fill="D9D9D9"/>
            <w:vAlign w:val="center"/>
          </w:tcPr>
          <w:p w14:paraId="206836BC" w14:textId="38B91BC9" w:rsidR="0074067A" w:rsidRPr="0074067A" w:rsidRDefault="0074067A" w:rsidP="00B90CD5">
            <w:pPr>
              <w:spacing w:before="60" w:after="60" w:line="260" w:lineRule="atLeast"/>
              <w:rPr>
                <w:rFonts w:ascii="Arial" w:hAnsi="Arial" w:cs="Arial"/>
                <w:bCs/>
                <w:sz w:val="20"/>
                <w:szCs w:val="20"/>
              </w:rPr>
            </w:pPr>
            <w:r>
              <w:rPr>
                <w:rFonts w:ascii="Arial" w:hAnsi="Arial"/>
                <w:sz w:val="20"/>
              </w:rPr>
              <w:t xml:space="preserve">Përshkrimi i përgjithshëm </w:t>
            </w:r>
          </w:p>
        </w:tc>
        <w:tc>
          <w:tcPr>
            <w:tcW w:w="3397" w:type="pct"/>
            <w:tcBorders>
              <w:top w:val="single" w:sz="4" w:space="0" w:color="auto"/>
              <w:left w:val="single" w:sz="4" w:space="0" w:color="auto"/>
              <w:bottom w:val="single" w:sz="4" w:space="0" w:color="auto"/>
              <w:right w:val="single" w:sz="4" w:space="0" w:color="auto"/>
            </w:tcBorders>
          </w:tcPr>
          <w:p w14:paraId="59089EF7" w14:textId="68890955" w:rsidR="005704BC" w:rsidRPr="005704BC" w:rsidRDefault="005704BC" w:rsidP="00DC4B07">
            <w:pPr>
              <w:spacing w:before="60" w:after="60" w:line="260" w:lineRule="atLeast"/>
              <w:jc w:val="both"/>
              <w:rPr>
                <w:rFonts w:ascii="Arial" w:hAnsi="Arial" w:cs="Arial"/>
                <w:bCs/>
                <w:sz w:val="20"/>
                <w:szCs w:val="20"/>
              </w:rPr>
            </w:pPr>
            <w:r>
              <w:rPr>
                <w:rFonts w:ascii="Arial" w:hAnsi="Arial"/>
                <w:sz w:val="20"/>
              </w:rPr>
              <w:t>Si anëtare e Komunitetit të Energjisë dhe si nënshkruese e MSA-së, Kosova duhet gradualisht të transpozojë dhe zbatojë Acquis të BE-së në fushën e energjisë. Si rezultat, Kosova në vitin 2018 ka transpozuar Direktivën për Efiçiencën e Energjisë duke miratuar Ligjin e ri për Efiçiencën e Energjisë, Ligjin Nr. 06/L-079. Ky ligj gjithashtu themeloi Fondin e Kosovës për Efiçiencë të Energjisë (FKEE) si një entitet publik të pavarur dhe autonom. FKEE tashmë është duke operuar në 23 komuna të Kosovës për zbatimin e masave të efiçiencës së energjisë në ndërtesat publike. FKEE, në parim, funksionon si një mekanizëm revolvues dhe tashmë po investon rreth 15 milionë euro në projekte publike në nivel komunal (shkolla, qendra mjekësore, ndriçim rrugor, etj.), me mbështetjen e BE-së dhe Bankës Botërore.</w:t>
            </w:r>
          </w:p>
          <w:p w14:paraId="3AC74D50" w14:textId="70DC2FB1" w:rsidR="005704BC" w:rsidRPr="005704BC" w:rsidRDefault="00BF5CE2" w:rsidP="00DC4B07">
            <w:pPr>
              <w:spacing w:before="60" w:after="60" w:line="260" w:lineRule="atLeast"/>
              <w:jc w:val="both"/>
              <w:rPr>
                <w:rFonts w:ascii="Arial" w:hAnsi="Arial" w:cs="Arial"/>
                <w:bCs/>
                <w:sz w:val="20"/>
                <w:szCs w:val="20"/>
              </w:rPr>
            </w:pPr>
            <w:r>
              <w:rPr>
                <w:rFonts w:ascii="Arial" w:hAnsi="Arial"/>
                <w:sz w:val="20"/>
              </w:rPr>
              <w:t>Kosova aktualisht është duke punuar në hartimin e Planit Kombëtar të Energjisë dhe Klimës, përmes të cilit do të përcaktojë tri objektiva të rëndësishme që duhet të arrihen deri në vitin 2030: Objektivi i reduktimit të GHG, Objektivi i Energjisë së Ripërtëritshme dhe Objektivi i Efiçiencës së Energjisë. Për të arritur këto objektiva, FKEE si mekanizëm financiar publik synon të fillojë zbatimin e masave të efiçiencës së energjisë në sektorin rezidencial. Sektori i banimit është konsumatori kryesor i ndjekur nga transporti, industria, shërbimet dhe së fundi bujqësia. Konsumi i energjisë nga amvisëritë në Kosovë është rritur ndër vite, nga 2209.5 GWh në vitin 2016; në 2777.7 GWh në vitin 2020, që është një rritje prej 25.72% vetëm në konsumin e energjisë nga amvisëritë. Sektori privat në përgjithësi është konsumatori kryesor i energjisë në vend dhe çdo masë që synon uljen e konsumit të energjisë duhet të përfshijë në vetvete këtë sektor që masat të kenë ndonjë ndikim të rëndësishëm. Masat e EE do të kryhen në sektorin e banimit (shtëpi të vetme dhe ndërtesa me shumë apartamente). Masat do të zbatohen në të gjithë territorin e Kosovës. Programi i Reformës Ekonomike 2024-2026 pranon se ka potencial dhe mundësi të madhe që masat e efiçiencës së energjisë t'u prezantohen konsumatorëve të energjisë elektrike në Kosovë, që vlerësohet të rrisin efikasitetin e energjisë deri në 40% në amvisëri dhe 35% nga konsumatorët industrialë dhe komercialë. Përkundër nivelit aktual të çmimeve të ulëta të energjisë, vlerësohet se një pjesë e madhe e popullsisë në Kosovë shpenzon më shumë se 10% të të ardhurave të tyre neto për faturat e energjisë. Prandaj, ato hyjnë në kategorinë e mungesës së lëndës djegëse dhe u mungojnë të ardhurat e disponueshme për investime në efiçencën e energjisë.</w:t>
            </w:r>
          </w:p>
          <w:p w14:paraId="0AEDB8E7" w14:textId="3F409335" w:rsidR="00EC3459" w:rsidRDefault="005704BC" w:rsidP="00DC4B07">
            <w:pPr>
              <w:spacing w:before="60" w:after="60" w:line="260" w:lineRule="atLeast"/>
              <w:jc w:val="both"/>
            </w:pPr>
            <w:r>
              <w:rPr>
                <w:rFonts w:ascii="Arial" w:hAnsi="Arial"/>
                <w:sz w:val="20"/>
              </w:rPr>
              <w:t>Aktualisht, FKEE nuk ka një mekanizëm për mbështetjen e sektorit rezidencial në këtë sferë. Prandaj, projekti i investimit është të iniciojë zhvillimin e modeleve të reja financiare nën ombrellën e FKEE që mund të mbështesin riparimin dhe rinovimin e duhur termik të ndërtesave të banimit dhe NVM-ve. Kjo do të çojë në një reduktim të emetimeve të GHG dhe kursimit të energjisë; përveç kësaj, ajo do të çojë gjithashtu në përmirësimin e mirëqenies së pronarëve dhe banorëve nëpërmjet përmirësimit të shëndetit dhe gjithashtu nivelit të përgjithshëm të rehatisë. Përmirësimi do të realizohet në bashkëpunim me komunat e përzgjedhura në Kosovë, të cilat do të veprojnë si promovues të projektit. Përveç kësaj, do të merren parasysh iniciativat ekzistuese pilot.</w:t>
            </w:r>
          </w:p>
          <w:p w14:paraId="2BB2AE4A" w14:textId="2FA8095D" w:rsidR="005704BC" w:rsidRDefault="00BF5CE2" w:rsidP="00DC4B07">
            <w:pPr>
              <w:spacing w:before="60" w:after="60" w:line="260" w:lineRule="atLeast"/>
              <w:jc w:val="both"/>
              <w:rPr>
                <w:rFonts w:ascii="Arial" w:hAnsi="Arial" w:cs="Arial"/>
                <w:bCs/>
                <w:sz w:val="20"/>
                <w:szCs w:val="20"/>
              </w:rPr>
            </w:pPr>
            <w:r>
              <w:rPr>
                <w:rFonts w:ascii="Arial" w:hAnsi="Arial"/>
                <w:sz w:val="20"/>
              </w:rPr>
              <w:lastRenderedPageBreak/>
              <w:t xml:space="preserve">Objektivi kombëtar indikativ i efiçiencës energjetike të Kosovës parasheh që konsumi final i energjisë nuk duhet të kalojë 1887 ktoe deri në vitin 2031, me objektiv kursimin prej 0.356 ktoe në vit në periudhën 2024-2032. Bilanci i fundit energjetik tregon se përdorimi i energjisë është në rritje të vazhdueshme dhe kur bëhet fjalë për konsumatorët fundorë, përdorimi i energjisë është i përqendruar kryesisht në sektorin e amvisërisë. </w:t>
            </w:r>
          </w:p>
          <w:p w14:paraId="663DFABF" w14:textId="18BEEF72" w:rsidR="00327226" w:rsidRDefault="00496703" w:rsidP="005704BC">
            <w:pPr>
              <w:spacing w:before="60" w:after="60" w:line="260" w:lineRule="atLeast"/>
              <w:rPr>
                <w:rFonts w:ascii="Arial" w:hAnsi="Arial" w:cs="Arial"/>
                <w:bCs/>
                <w:sz w:val="20"/>
                <w:szCs w:val="20"/>
              </w:rPr>
            </w:pPr>
            <w:r>
              <w:rPr>
                <w:rFonts w:ascii="Arial" w:hAnsi="Arial"/>
                <w:sz w:val="20"/>
              </w:rPr>
              <w:t>Komponentët e propozuar të projektit janë si më poshtë:</w:t>
            </w:r>
          </w:p>
          <w:p w14:paraId="6EB97F86" w14:textId="6AA7A4FF" w:rsidR="002E5D25" w:rsidRPr="008458F3" w:rsidRDefault="00327226" w:rsidP="008458F3">
            <w:pPr>
              <w:pStyle w:val="ListParagraph"/>
              <w:numPr>
                <w:ilvl w:val="0"/>
                <w:numId w:val="44"/>
              </w:numPr>
              <w:spacing w:before="60" w:after="60" w:line="260" w:lineRule="atLeast"/>
              <w:jc w:val="both"/>
              <w:rPr>
                <w:rFonts w:cs="Arial"/>
                <w:szCs w:val="20"/>
              </w:rPr>
            </w:pPr>
            <w:r>
              <w:t>Investimet e Efiçiencës së Energjisë dhe Energjisë së Ripërtëritshme në sektorin rezidencial, që përfshin rinovimin e ndërtesave të banimit (37 milionë euro) me masa EE dhe ER, plus 4 milionë euro për studime dhe mbikëqyrje teknike (p.sh., auditime energjetike, projektime teknike, mbikëqyrje ndërtimi). Efiçienca e Energjisë do të përfshijë rinovime të thella si mbështjellja e ndërtesës (fasada e jashtme, dritaret, dera e jashtme dhe çatia), përmirësimi i sistemeve të ngrohjes dhe ndriçimi efikas.</w:t>
            </w:r>
          </w:p>
          <w:p w14:paraId="121F94DE" w14:textId="0E90FE93" w:rsidR="00327226" w:rsidRPr="008458F3" w:rsidRDefault="002E5D25" w:rsidP="008458F3">
            <w:pPr>
              <w:pStyle w:val="ListParagraph"/>
              <w:numPr>
                <w:ilvl w:val="0"/>
                <w:numId w:val="44"/>
              </w:numPr>
              <w:rPr>
                <w:rFonts w:cs="Arial"/>
                <w:szCs w:val="20"/>
              </w:rPr>
            </w:pPr>
            <w:r>
              <w:t>Investimet në Efiçiencë të Energjisë dhe Energji të Ripërtëritshme në NVM, që përfshin investimet EE dhe BRE në NVM me 9 milionë euro, plus 1 milionë euro për studime dhe mbikëqyrje teknike (p.sh., auditime energjetike, projekte teknike, mbikëqyrje ndërtimi). Efiçienca e Energjisë do të përfshijë rinovime të thella si mbështjellja e ndërtesës (fasada e jashtme, dritaret, dera e jashtme dhe çatia), përmirësimi i sistemeve të ngrohjes dhe ndriçimi efikas.</w:t>
            </w:r>
          </w:p>
        </w:tc>
      </w:tr>
    </w:tbl>
    <w:p w14:paraId="7DECD8D7" w14:textId="23DBAC0C" w:rsidR="006F1611" w:rsidRPr="00734128" w:rsidRDefault="00542555" w:rsidP="00734128">
      <w:pPr>
        <w:pStyle w:val="ListParagraph"/>
        <w:numPr>
          <w:ilvl w:val="0"/>
          <w:numId w:val="41"/>
        </w:numPr>
        <w:spacing w:line="240" w:lineRule="auto"/>
        <w:rPr>
          <w:rFonts w:cs="Arial"/>
          <w:b/>
        </w:rPr>
      </w:pPr>
      <w:r>
        <w:rPr>
          <w:b/>
        </w:rPr>
        <w:lastRenderedPageBreak/>
        <w:t>KUALIFIKUESHMËRIA</w:t>
      </w:r>
    </w:p>
    <w:p w14:paraId="0247AA64" w14:textId="77777777" w:rsidR="006F1611" w:rsidRDefault="006F1611">
      <w:pPr>
        <w:spacing w:after="0" w:line="240" w:lineRule="auto"/>
        <w:rPr>
          <w:rFonts w:ascii="Arial" w:hAnsi="Arial" w:cs="Arial"/>
        </w:rPr>
      </w:pPr>
    </w:p>
    <w:tbl>
      <w:tblPr>
        <w:tblW w:w="4947" w:type="pct"/>
        <w:tblInd w:w="108" w:type="dxa"/>
        <w:tblLook w:val="01E0" w:firstRow="1" w:lastRow="1" w:firstColumn="1" w:lastColumn="1" w:noHBand="0" w:noVBand="0"/>
      </w:tblPr>
      <w:tblGrid>
        <w:gridCol w:w="3086"/>
        <w:gridCol w:w="6705"/>
      </w:tblGrid>
      <w:tr w:rsidR="0074067A" w:rsidRPr="0074067A" w14:paraId="6AC888F7" w14:textId="77777777" w:rsidTr="00DC4B07">
        <w:trPr>
          <w:trHeight w:val="346"/>
        </w:trPr>
        <w:tc>
          <w:tcPr>
            <w:tcW w:w="1576" w:type="pct"/>
            <w:tcBorders>
              <w:top w:val="single" w:sz="4" w:space="0" w:color="auto"/>
              <w:left w:val="single" w:sz="4" w:space="0" w:color="auto"/>
              <w:bottom w:val="single" w:sz="4" w:space="0" w:color="auto"/>
              <w:right w:val="single" w:sz="4" w:space="0" w:color="auto"/>
            </w:tcBorders>
            <w:shd w:val="clear" w:color="auto" w:fill="D9D9D9"/>
            <w:vAlign w:val="center"/>
          </w:tcPr>
          <w:p w14:paraId="12608297" w14:textId="4A136C4A" w:rsidR="0074067A" w:rsidRPr="002E173C" w:rsidRDefault="00542555" w:rsidP="0074067A">
            <w:pPr>
              <w:spacing w:after="0" w:line="240" w:lineRule="auto"/>
              <w:rPr>
                <w:rFonts w:ascii="Arial" w:hAnsi="Arial" w:cs="Arial"/>
                <w:sz w:val="20"/>
                <w:szCs w:val="20"/>
              </w:rPr>
            </w:pPr>
            <w:r>
              <w:rPr>
                <w:rFonts w:ascii="Arial" w:hAnsi="Arial"/>
                <w:sz w:val="20"/>
              </w:rPr>
              <w:t>Koherenca</w:t>
            </w:r>
            <w:r w:rsidR="0074067A">
              <w:rPr>
                <w:rFonts w:ascii="Arial" w:hAnsi="Arial"/>
                <w:sz w:val="20"/>
              </w:rPr>
              <w:t xml:space="preserve"> me politikat dhe strategjitë e vlefshme të BE-së</w:t>
            </w:r>
          </w:p>
        </w:tc>
        <w:tc>
          <w:tcPr>
            <w:tcW w:w="3424" w:type="pct"/>
            <w:tcBorders>
              <w:top w:val="single" w:sz="4" w:space="0" w:color="auto"/>
              <w:left w:val="single" w:sz="4" w:space="0" w:color="auto"/>
              <w:bottom w:val="single" w:sz="4" w:space="0" w:color="auto"/>
              <w:right w:val="single" w:sz="4" w:space="0" w:color="auto"/>
            </w:tcBorders>
          </w:tcPr>
          <w:p w14:paraId="3CC8E933" w14:textId="68EFAC45" w:rsidR="00641E05" w:rsidRPr="00A03FF1" w:rsidRDefault="00391BF8" w:rsidP="00A03FF1">
            <w:pPr>
              <w:spacing w:after="0" w:line="240" w:lineRule="auto"/>
              <w:rPr>
                <w:rFonts w:ascii="Arial" w:hAnsi="Arial" w:cs="Arial"/>
                <w:b/>
                <w:sz w:val="20"/>
                <w:szCs w:val="20"/>
              </w:rPr>
            </w:pPr>
            <w:r>
              <w:rPr>
                <w:rFonts w:ascii="Arial" w:hAnsi="Arial"/>
                <w:b/>
                <w:sz w:val="20"/>
              </w:rPr>
              <w:t>Direktiva 2012/27/EU e 25 tetorit 2012 mbi efiçencën e energjisë, që ndryshon Direktivat 2009/125/EC dhe 2010/30/EU dhe shfuqizon direktivat 2004/8/EC dhe 2006/32/EC</w:t>
            </w:r>
          </w:p>
          <w:p w14:paraId="03BF985C" w14:textId="4255BF91" w:rsidR="00641E05" w:rsidRPr="000C79A5" w:rsidRDefault="00641E05" w:rsidP="00641E05">
            <w:pPr>
              <w:spacing w:after="0" w:line="240" w:lineRule="auto"/>
              <w:rPr>
                <w:rFonts w:ascii="Arial" w:hAnsi="Arial" w:cs="Arial"/>
                <w:b/>
                <w:sz w:val="20"/>
                <w:szCs w:val="20"/>
              </w:rPr>
            </w:pPr>
            <w:r>
              <w:rPr>
                <w:rFonts w:ascii="Arial" w:hAnsi="Arial"/>
                <w:i/>
                <w:color w:val="333333"/>
                <w:sz w:val="20"/>
              </w:rPr>
              <w:br/>
            </w:r>
            <w:r w:rsidRPr="00542555">
              <w:rPr>
                <w:rFonts w:ascii="Arial" w:hAnsi="Arial"/>
                <w:b/>
                <w:sz w:val="20"/>
              </w:rPr>
              <w:t>Neni 4. Rinovim i objekteve</w:t>
            </w:r>
          </w:p>
          <w:p w14:paraId="6844A59C" w14:textId="5738665A" w:rsidR="00641E05" w:rsidRPr="00277935" w:rsidRDefault="00641E05" w:rsidP="00DC4B07">
            <w:pPr>
              <w:pStyle w:val="Normal1"/>
              <w:shd w:val="clear" w:color="auto" w:fill="FFFFFF"/>
              <w:spacing w:before="120" w:beforeAutospacing="0" w:after="0" w:afterAutospacing="0" w:line="276" w:lineRule="auto"/>
              <w:jc w:val="both"/>
              <w:rPr>
                <w:rFonts w:ascii="Arial" w:eastAsia="Calibri" w:hAnsi="Arial" w:cs="Arial"/>
                <w:sz w:val="20"/>
                <w:szCs w:val="20"/>
              </w:rPr>
            </w:pPr>
            <w:r>
              <w:rPr>
                <w:rFonts w:ascii="Arial" w:hAnsi="Arial"/>
                <w:sz w:val="20"/>
              </w:rPr>
              <w:t>Shtetet Anëtare do të krijojnë një strategji afatgjatë për mobilizimin e investimeve në rinovimin e grumbullit kombëtar të ndërtesave rezidenciale dhe tregtare, publike dhe private. Kjo strategji do të përfshijë:</w:t>
            </w:r>
          </w:p>
          <w:p w14:paraId="16E3B99B" w14:textId="6DC0DBB6" w:rsidR="00641E05" w:rsidRPr="00A03FF1" w:rsidRDefault="00641E05" w:rsidP="00391BF8">
            <w:pPr>
              <w:spacing w:after="0" w:line="240" w:lineRule="auto"/>
              <w:rPr>
                <w:rFonts w:ascii="Arial" w:hAnsi="Arial" w:cs="Arial"/>
                <w:b/>
                <w:sz w:val="20"/>
                <w:szCs w:val="20"/>
              </w:rPr>
            </w:pPr>
            <w:r>
              <w:rPr>
                <w:rFonts w:ascii="Arial" w:hAnsi="Arial"/>
                <w:b/>
                <w:sz w:val="20"/>
              </w:rPr>
              <w:br/>
              <w:t>SHTOJCA VIII - Potenciali për efiçiencë në ngrohje dhe ftohje</w:t>
            </w:r>
          </w:p>
          <w:p w14:paraId="5CC8FBA4" w14:textId="77777777" w:rsidR="00641E05" w:rsidRPr="00A03FF1" w:rsidRDefault="00641E05" w:rsidP="00391BF8">
            <w:pPr>
              <w:spacing w:after="0" w:line="240" w:lineRule="auto"/>
              <w:rPr>
                <w:rFonts w:ascii="Arial" w:hAnsi="Arial" w:cs="Arial"/>
                <w:b/>
                <w:sz w:val="20"/>
                <w:szCs w:val="20"/>
              </w:rPr>
            </w:pPr>
          </w:p>
          <w:p w14:paraId="256AB119" w14:textId="7CD3BC7E" w:rsidR="00641E05" w:rsidRPr="00A03FF1" w:rsidRDefault="00641E05" w:rsidP="004243DC">
            <w:pPr>
              <w:spacing w:after="0" w:line="240" w:lineRule="auto"/>
              <w:rPr>
                <w:rFonts w:ascii="Arial" w:hAnsi="Arial" w:cs="Arial"/>
                <w:b/>
                <w:sz w:val="20"/>
                <w:szCs w:val="20"/>
              </w:rPr>
            </w:pPr>
            <w:r>
              <w:rPr>
                <w:rFonts w:ascii="Arial" w:hAnsi="Arial"/>
                <w:b/>
                <w:sz w:val="20"/>
              </w:rPr>
              <w:t>DIREKTIVA (BE) 2018/2002 për ndryshimin e Direktivës 2012/27/EU për efiçencën e energjisë</w:t>
            </w:r>
          </w:p>
          <w:p w14:paraId="10CA6711" w14:textId="092144FA" w:rsidR="00D369B2" w:rsidRDefault="00641E05" w:rsidP="00542555">
            <w:pPr>
              <w:pStyle w:val="Normal1"/>
              <w:shd w:val="clear" w:color="auto" w:fill="FFFFFF"/>
              <w:spacing w:before="120" w:beforeAutospacing="0" w:after="0" w:afterAutospacing="0" w:line="276" w:lineRule="auto"/>
              <w:jc w:val="both"/>
              <w:rPr>
                <w:rFonts w:ascii="Arial" w:hAnsi="Arial" w:cs="Arial"/>
                <w:color w:val="333333"/>
                <w:sz w:val="20"/>
                <w:szCs w:val="27"/>
                <w:shd w:val="clear" w:color="auto" w:fill="FFFFFF"/>
              </w:rPr>
            </w:pPr>
            <w:r>
              <w:rPr>
                <w:rFonts w:ascii="Arial" w:hAnsi="Arial"/>
                <w:sz w:val="20"/>
              </w:rPr>
              <w:t>Shteteve Anëtare u kërkohet të arrijnë kursime kumulative të energjisë për përdorimin fundor për të gjithë periudhën e detyrimit 2021 deri në 2030, ekuivalente me kursimet e reja vjetore prej të paktën 0.8 % të konsumit final të energjisë. Kjo kërkesë mund të plotësohet nga masat e reja të politikave që janë miratuar gjatë periudhës së re të detyrimit nga 1 janari 2021 deri më 31 dhjetor 2030 ose nga veprime të reja individuale si rezultat i masave të politikave të miratuara gjatë ose përpara periudhës së mëparshme, me kusht që veprimet individuale që gjatë periudhës së re prezantohen kursimet e energjisë.</w:t>
            </w:r>
          </w:p>
          <w:p w14:paraId="4458B5A2" w14:textId="38261227" w:rsidR="00D369B2" w:rsidRPr="00DC4B07" w:rsidRDefault="00D369B2" w:rsidP="00DC4B07">
            <w:pPr>
              <w:pStyle w:val="Normal1"/>
              <w:spacing w:before="120" w:after="0" w:line="276" w:lineRule="auto"/>
              <w:rPr>
                <w:rFonts w:ascii="Arial" w:hAnsi="Arial" w:cs="Arial"/>
                <w:color w:val="333333"/>
                <w:sz w:val="20"/>
                <w:szCs w:val="27"/>
                <w:shd w:val="clear" w:color="auto" w:fill="FFFFFF"/>
              </w:rPr>
            </w:pPr>
            <w:r>
              <w:rPr>
                <w:rFonts w:ascii="Arial" w:hAnsi="Arial"/>
                <w:b/>
                <w:sz w:val="20"/>
              </w:rPr>
              <w:t>Direktiva (BE) 2018/2001 për promovimin e përdorimit të energjisë nga burimet e ripërtëritshme (riformuluar)</w:t>
            </w:r>
            <w:r>
              <w:rPr>
                <w:color w:val="333333"/>
                <w:sz w:val="27"/>
              </w:rPr>
              <w:br/>
            </w:r>
            <w:r>
              <w:rPr>
                <w:rFonts w:ascii="Arial" w:hAnsi="Arial"/>
                <w:sz w:val="20"/>
              </w:rPr>
              <w:t xml:space="preserve">Në veçanti, reduktimi i konsumit të energjisë, rritja e përmirësimeve teknologjike, stimujt për përdorimin dhe zgjerimin e transportit publik, përdorimin e teknologjive të efiçencës së energjisë dhe promovimin e përdorimit të energjisë së ripërtëritshme në sektorin e energjisë elektrike, në sektorin e ngrohjes dhe ftohjes dhe sektorin e transportit janë mjete </w:t>
            </w:r>
            <w:r>
              <w:rPr>
                <w:rFonts w:ascii="Arial" w:hAnsi="Arial"/>
                <w:sz w:val="20"/>
              </w:rPr>
              <w:lastRenderedPageBreak/>
              <w:t>efektive, së bashku me masat e efiçencës së energjisë, për reduktimin e emetimeve të gazeve serrë në Union dhe varësinë energjetike të Unionit.</w:t>
            </w:r>
          </w:p>
          <w:p w14:paraId="7BD8F7DD" w14:textId="4BAE68F1" w:rsidR="006B4F74" w:rsidRPr="008458F3" w:rsidRDefault="00D369B2" w:rsidP="008458F3">
            <w:pPr>
              <w:shd w:val="clear" w:color="auto" w:fill="FFFFFF"/>
              <w:spacing w:before="360" w:after="120"/>
              <w:rPr>
                <w:rFonts w:ascii="Arial" w:hAnsi="Arial" w:cs="Arial"/>
                <w:b/>
                <w:iCs/>
                <w:color w:val="333333"/>
                <w:sz w:val="20"/>
                <w:szCs w:val="27"/>
              </w:rPr>
            </w:pPr>
            <w:r>
              <w:rPr>
                <w:rFonts w:ascii="Arial" w:hAnsi="Arial"/>
                <w:b/>
                <w:sz w:val="20"/>
              </w:rPr>
              <w:t>Neni 18. Informacioni dhe trajnimi</w:t>
            </w:r>
            <w:r>
              <w:rPr>
                <w:rFonts w:ascii="Arial" w:hAnsi="Arial"/>
                <w:b/>
                <w:sz w:val="20"/>
              </w:rPr>
              <w:br/>
            </w:r>
            <w:r>
              <w:rPr>
                <w:rFonts w:ascii="Arial" w:hAnsi="Arial"/>
                <w:sz w:val="20"/>
              </w:rPr>
              <w:t>5.   Shtetet Anëtare duhet të sigurojnë që udhëzimet t'u vihen në dispozicion të gjithë aktorëve përkatës, në veçanti planifikuesve dhe arkitektëve, në mënyrë që ata të jenë në gjendje të marrin në konsideratë siç duhet kombinimin optimal të energjisë nga burimet e ripërtëritshme, të teknologjive me efikasitet të lartë dhe të ngrohjes dhe ftohjes qendrore gjatë planifikimit, projektimit, ndërtimit dhe rinovimit të zonave industriale, tregtare ose të banimit.</w:t>
            </w:r>
          </w:p>
          <w:p w14:paraId="19070683" w14:textId="27482676" w:rsidR="00815EC6" w:rsidRPr="00A03FF1" w:rsidRDefault="00815EC6" w:rsidP="00A03FF1">
            <w:pPr>
              <w:shd w:val="clear" w:color="auto" w:fill="FFFFFF"/>
              <w:spacing w:line="312" w:lineRule="atLeast"/>
              <w:rPr>
                <w:rFonts w:cs="Arial"/>
                <w:b/>
                <w:szCs w:val="20"/>
              </w:rPr>
            </w:pPr>
            <w:r>
              <w:rPr>
                <w:b/>
              </w:rPr>
              <w:t>Plani ekonomik dhe investiv për Ballkanin Perëndimor</w:t>
            </w:r>
          </w:p>
          <w:p w14:paraId="4D041487" w14:textId="77777777" w:rsidR="008458F3" w:rsidRDefault="00815EC6" w:rsidP="008458F3">
            <w:pPr>
              <w:shd w:val="clear" w:color="auto" w:fill="FFFFFF"/>
              <w:spacing w:after="0" w:line="312" w:lineRule="atLeast"/>
              <w:rPr>
                <w:rFonts w:ascii="Arial" w:hAnsi="Arial" w:cs="Arial"/>
                <w:b/>
                <w:sz w:val="20"/>
                <w:szCs w:val="20"/>
              </w:rPr>
            </w:pPr>
            <w:r>
              <w:rPr>
                <w:rFonts w:ascii="Arial" w:hAnsi="Arial"/>
                <w:b/>
                <w:sz w:val="20"/>
              </w:rPr>
              <w:t>V. Investimi në energjinë e pastër</w:t>
            </w:r>
          </w:p>
          <w:p w14:paraId="2617BACC" w14:textId="23F0AAA8" w:rsidR="00815EC6" w:rsidRDefault="00815EC6" w:rsidP="008458F3">
            <w:pPr>
              <w:shd w:val="clear" w:color="auto" w:fill="FFFFFF"/>
              <w:spacing w:after="0" w:line="312" w:lineRule="atLeast"/>
              <w:rPr>
                <w:rFonts w:ascii="Arial" w:eastAsia="Calibri" w:hAnsi="Arial" w:cs="Arial"/>
                <w:sz w:val="20"/>
                <w:szCs w:val="20"/>
              </w:rPr>
            </w:pPr>
            <w:r>
              <w:rPr>
                <w:rFonts w:ascii="Arial" w:hAnsi="Arial"/>
                <w:sz w:val="20"/>
              </w:rPr>
              <w:t xml:space="preserve">Rritja e përdorimit të burimeve të energjisë së ripërtëritshme duhet të mbështetet, në përputhje me potencialin e rajonit dhe planet e përshtatjes ndaj ndryshimeve klimatike. </w:t>
            </w:r>
          </w:p>
          <w:p w14:paraId="62CFB5B0" w14:textId="77777777" w:rsidR="008458F3" w:rsidRPr="00277935" w:rsidRDefault="008458F3" w:rsidP="008458F3">
            <w:pPr>
              <w:shd w:val="clear" w:color="auto" w:fill="FFFFFF"/>
              <w:spacing w:after="0" w:line="312" w:lineRule="atLeast"/>
              <w:rPr>
                <w:rFonts w:ascii="Arial" w:eastAsia="Calibri" w:hAnsi="Arial" w:cs="Arial"/>
                <w:sz w:val="20"/>
                <w:szCs w:val="20"/>
                <w:lang w:val="en-US"/>
              </w:rPr>
            </w:pPr>
          </w:p>
          <w:p w14:paraId="046D0ACA" w14:textId="77777777" w:rsidR="008458F3" w:rsidRDefault="00815EC6" w:rsidP="008458F3">
            <w:pPr>
              <w:shd w:val="clear" w:color="auto" w:fill="FFFFFF"/>
              <w:spacing w:after="0" w:line="312" w:lineRule="atLeast"/>
              <w:rPr>
                <w:rFonts w:ascii="Arial" w:hAnsi="Arial" w:cs="Arial"/>
                <w:b/>
                <w:sz w:val="20"/>
                <w:szCs w:val="20"/>
              </w:rPr>
            </w:pPr>
            <w:r>
              <w:rPr>
                <w:rFonts w:ascii="Arial" w:hAnsi="Arial"/>
                <w:b/>
                <w:sz w:val="20"/>
              </w:rPr>
              <w:t>Udhëzime për zbatimin e Agjendës së Gjelbër për Ballkanin Perëndimor</w:t>
            </w:r>
          </w:p>
          <w:p w14:paraId="06567C62" w14:textId="18C2CE32" w:rsidR="00815EC6" w:rsidRPr="008458F3" w:rsidRDefault="00815EC6" w:rsidP="008458F3">
            <w:pPr>
              <w:shd w:val="clear" w:color="auto" w:fill="FFFFFF"/>
              <w:spacing w:after="120" w:line="312" w:lineRule="atLeast"/>
              <w:rPr>
                <w:rFonts w:ascii="Arial" w:hAnsi="Arial" w:cs="Arial"/>
                <w:b/>
                <w:sz w:val="20"/>
                <w:szCs w:val="20"/>
              </w:rPr>
            </w:pPr>
            <w:r>
              <w:rPr>
                <w:rFonts w:ascii="Arial" w:hAnsi="Arial"/>
                <w:sz w:val="20"/>
              </w:rPr>
              <w:t>Sektori i ndërtimit është një nga fushat kryesore ku mund të arrihen kursimet më të larta të kostos së energjisë. Instrumente të ndryshme financiare (objektet e garancisë, kontratat e performancës së energjisë, financimi mbi taksat dhe faturat) mund të përdoren për të arritur norma më të larta rinovimi të ndërtesave private dhe publike përmes tërheqjes së financave private. Përmirësimet digjitale gjithashtu mund të përmirësojnë efikasitetin energjetik të ndërtesave me 15-25% dhe në të njëjtën kohë të ofrojnë mundësi për punë në distancë, teleshëndet dhe tele-edukim. Shtrirja e "valës së rinovimit të BE" në Ballkanin Perëndimor mund të stimulojë investimet dhe të krijojë vende pune.</w:t>
            </w:r>
          </w:p>
          <w:p w14:paraId="73E05823" w14:textId="23E048D9" w:rsidR="00815EC6" w:rsidRPr="00F36125" w:rsidRDefault="00F36125" w:rsidP="00277935">
            <w:pPr>
              <w:shd w:val="clear" w:color="auto" w:fill="FFFFFF"/>
              <w:spacing w:after="120" w:line="312" w:lineRule="atLeast"/>
              <w:jc w:val="both"/>
              <w:rPr>
                <w:rFonts w:ascii="Arial" w:hAnsi="Arial" w:cs="Arial"/>
                <w:sz w:val="20"/>
                <w:szCs w:val="20"/>
              </w:rPr>
            </w:pPr>
            <w:r>
              <w:rPr>
                <w:rFonts w:ascii="Arial" w:hAnsi="Arial"/>
                <w:sz w:val="20"/>
              </w:rPr>
              <w:t>Do të ishte e dobishme të shtriheshin të gjitha dimensionet e Unionit të Energjisë në Ballkanin Perëndimor: mbështetja e sigurisë energjetike, integrimi i tregut dhe tranzicioni i energjisë, efiçienca e energjisë dhe energjitë e ripërtëritshme. BE-ja duhet të mbështesë ndërtimin e kapaciteteve të rregullatorëve të energjisë dhe operatorëve të sistemit të transmetimit në mënyrë që ata të mund të marrin pjesë plotësisht në rrjetet e nivelit të BE-së.</w:t>
            </w:r>
          </w:p>
          <w:p w14:paraId="6E5763C1" w14:textId="566D3C63" w:rsidR="00F36125" w:rsidRPr="00F36125" w:rsidRDefault="00F36125" w:rsidP="00277935">
            <w:pPr>
              <w:shd w:val="clear" w:color="auto" w:fill="FFFFFF"/>
              <w:spacing w:after="120" w:line="312" w:lineRule="atLeast"/>
              <w:jc w:val="both"/>
              <w:rPr>
                <w:rFonts w:ascii="Arial" w:hAnsi="Arial" w:cs="Arial"/>
                <w:b/>
                <w:bCs/>
                <w:color w:val="333333"/>
                <w:sz w:val="20"/>
                <w:szCs w:val="27"/>
              </w:rPr>
            </w:pPr>
            <w:r>
              <w:rPr>
                <w:rFonts w:ascii="Arial" w:hAnsi="Arial"/>
                <w:sz w:val="20"/>
              </w:rPr>
              <w:t xml:space="preserve">Sipas projekt-propozimit, përfituesit e IPA-së do të inkurajohen të zhvillojnë efiçiencën e energjisë dhe burimet e ripërtëritshme të energjisë dhe të kalojnë në ekonomitë me efikasitet të burimeve, të sigurta dhe të qëndrueshme me karbon të ulët në përputhje me objektivat më të gjera të BE-së për veprimin ndaj klimës dhe </w:t>
            </w:r>
            <w:r>
              <w:rPr>
                <w:rFonts w:ascii="Arial" w:hAnsi="Arial"/>
              </w:rPr>
              <w:t>mbrojtjen e mjedisit.</w:t>
            </w:r>
          </w:p>
          <w:p w14:paraId="65FB0A57" w14:textId="77AD34DA" w:rsidR="006C77E9" w:rsidRPr="0074067A" w:rsidRDefault="00D369B2" w:rsidP="00A03FF1">
            <w:pPr>
              <w:spacing w:after="0"/>
              <w:rPr>
                <w:rFonts w:ascii="Arial" w:hAnsi="Arial" w:cs="Arial"/>
                <w:sz w:val="20"/>
                <w:szCs w:val="20"/>
              </w:rPr>
            </w:pPr>
            <w:r w:rsidRPr="00542555">
              <w:rPr>
                <w:rFonts w:ascii="Arial" w:hAnsi="Arial"/>
                <w:b/>
                <w:sz w:val="20"/>
              </w:rPr>
              <w:t>Raporti i BE-së për Kosovën</w:t>
            </w:r>
            <w:r>
              <w:rPr>
                <w:rFonts w:ascii="Arial" w:hAnsi="Arial"/>
                <w:b/>
                <w:sz w:val="20"/>
              </w:rPr>
              <w:t xml:space="preserve"> 2023</w:t>
            </w:r>
            <w:r>
              <w:rPr>
                <w:rFonts w:ascii="Arial" w:hAnsi="Arial"/>
                <w:sz w:val="20"/>
              </w:rPr>
              <w:br/>
            </w:r>
            <w:r>
              <w:rPr>
                <w:rFonts w:ascii="Arial" w:hAnsi="Arial"/>
                <w:b/>
                <w:sz w:val="20"/>
              </w:rPr>
              <w:t xml:space="preserve">Kapitulli 15. Energjia </w:t>
            </w:r>
            <w:r>
              <w:rPr>
                <w:rFonts w:ascii="Arial" w:hAnsi="Arial"/>
                <w:sz w:val="20"/>
              </w:rPr>
              <w:br/>
              <w:t>Vazhdon me shpërndarjen e fondit të efiçiencës së energjisë dhe zbatimi i mbështetjes për ndërtesat e banimit dhe ndërmarrjet e vogla dhe të mesme;;</w:t>
            </w:r>
          </w:p>
        </w:tc>
      </w:tr>
      <w:tr w:rsidR="0074067A" w:rsidRPr="0074067A" w14:paraId="6E8DD059" w14:textId="77777777" w:rsidTr="00DC4B07">
        <w:trPr>
          <w:trHeight w:val="330"/>
        </w:trPr>
        <w:tc>
          <w:tcPr>
            <w:tcW w:w="1576" w:type="pct"/>
            <w:tcBorders>
              <w:top w:val="single" w:sz="4" w:space="0" w:color="auto"/>
              <w:left w:val="single" w:sz="4" w:space="0" w:color="auto"/>
              <w:bottom w:val="single" w:sz="4" w:space="0" w:color="auto"/>
              <w:right w:val="single" w:sz="4" w:space="0" w:color="auto"/>
            </w:tcBorders>
            <w:shd w:val="clear" w:color="auto" w:fill="D9D9D9"/>
            <w:vAlign w:val="center"/>
          </w:tcPr>
          <w:p w14:paraId="2A3B5202" w14:textId="77777777" w:rsidR="0074067A" w:rsidRPr="0074067A" w:rsidRDefault="0074067A" w:rsidP="0074067A">
            <w:pPr>
              <w:spacing w:after="0" w:line="240" w:lineRule="auto"/>
              <w:rPr>
                <w:rFonts w:ascii="Arial" w:hAnsi="Arial" w:cs="Arial"/>
                <w:sz w:val="20"/>
                <w:szCs w:val="20"/>
              </w:rPr>
            </w:pPr>
            <w:r>
              <w:rPr>
                <w:rFonts w:ascii="Arial" w:hAnsi="Arial"/>
                <w:sz w:val="20"/>
              </w:rPr>
              <w:lastRenderedPageBreak/>
              <w:t>Kontributi në objektivat e vlefshme të zhvillimit kombëtar</w:t>
            </w:r>
          </w:p>
        </w:tc>
        <w:tc>
          <w:tcPr>
            <w:tcW w:w="3424" w:type="pct"/>
            <w:tcBorders>
              <w:top w:val="single" w:sz="4" w:space="0" w:color="auto"/>
              <w:left w:val="single" w:sz="4" w:space="0" w:color="auto"/>
              <w:bottom w:val="single" w:sz="4" w:space="0" w:color="auto"/>
              <w:right w:val="single" w:sz="4" w:space="0" w:color="auto"/>
            </w:tcBorders>
          </w:tcPr>
          <w:p w14:paraId="22912422" w14:textId="77777777" w:rsidR="00567A3F" w:rsidRPr="00A03FF1" w:rsidRDefault="00567A3F" w:rsidP="0074067A">
            <w:pPr>
              <w:spacing w:after="0" w:line="240" w:lineRule="auto"/>
              <w:rPr>
                <w:rFonts w:ascii="Arial" w:hAnsi="Arial" w:cs="Arial"/>
                <w:b/>
                <w:sz w:val="20"/>
                <w:szCs w:val="20"/>
              </w:rPr>
            </w:pPr>
          </w:p>
          <w:p w14:paraId="52183B21" w14:textId="7AF5B22D" w:rsidR="00567A3F" w:rsidRPr="00A03FF1" w:rsidRDefault="00A62606" w:rsidP="006B4F74">
            <w:pPr>
              <w:spacing w:after="0" w:line="240" w:lineRule="auto"/>
              <w:rPr>
                <w:rFonts w:ascii="Arial" w:hAnsi="Arial" w:cs="Arial"/>
                <w:b/>
                <w:sz w:val="20"/>
                <w:szCs w:val="20"/>
              </w:rPr>
            </w:pPr>
            <w:r>
              <w:rPr>
                <w:rFonts w:ascii="Arial" w:hAnsi="Arial"/>
                <w:b/>
                <w:sz w:val="20"/>
              </w:rPr>
              <w:t>Programi Kombëtar për Integrimin EU (PKIE-2023-2027)</w:t>
            </w:r>
          </w:p>
          <w:p w14:paraId="31A46B0C" w14:textId="77777777" w:rsidR="00776DF7" w:rsidRPr="00A67595" w:rsidRDefault="00776DF7" w:rsidP="006B4F74">
            <w:pPr>
              <w:spacing w:after="0" w:line="240" w:lineRule="auto"/>
              <w:rPr>
                <w:rFonts w:ascii="Arial" w:hAnsi="Arial" w:cs="Arial"/>
                <w:b/>
                <w:sz w:val="20"/>
                <w:szCs w:val="20"/>
              </w:rPr>
            </w:pPr>
          </w:p>
          <w:p w14:paraId="0A6129C0" w14:textId="614CBF52" w:rsidR="00567A3F" w:rsidRPr="00A67595" w:rsidRDefault="00567A3F" w:rsidP="00567A3F">
            <w:pPr>
              <w:spacing w:after="0" w:line="240" w:lineRule="auto"/>
              <w:rPr>
                <w:rFonts w:ascii="Arial" w:hAnsi="Arial" w:cs="Arial"/>
                <w:b/>
                <w:sz w:val="20"/>
                <w:szCs w:val="20"/>
              </w:rPr>
            </w:pPr>
            <w:r>
              <w:rPr>
                <w:rFonts w:ascii="Arial" w:hAnsi="Arial"/>
                <w:b/>
                <w:sz w:val="20"/>
              </w:rPr>
              <w:lastRenderedPageBreak/>
              <w:t>2.2. Kapaciteti për të përballuar presionin konkurrues dhe forcat e tregut brenda Unionit</w:t>
            </w:r>
          </w:p>
          <w:p w14:paraId="3523FBB4" w14:textId="616CE2CA" w:rsidR="00567A3F" w:rsidRPr="00A67595" w:rsidRDefault="00567A3F" w:rsidP="00DC4B07">
            <w:pPr>
              <w:spacing w:after="0"/>
              <w:jc w:val="both"/>
              <w:rPr>
                <w:rFonts w:ascii="Arial" w:hAnsi="Arial" w:cs="Arial"/>
                <w:sz w:val="20"/>
                <w:szCs w:val="20"/>
              </w:rPr>
            </w:pPr>
            <w:r>
              <w:rPr>
                <w:rFonts w:ascii="Arial" w:hAnsi="Arial"/>
                <w:sz w:val="20"/>
              </w:rPr>
              <w:t>Për të mbështetur rimëkëmbjen ekonomike, për të përmirësuar konkurrencën dhe për të mbështetur rritjen afatgjatë, Kosova duhet veçanërisht të përmirësojë cilësinë e arsimit dhe aftësimit profesional në të gjitha nivelet dhe të harmonizojë kurrikulat me nevojat e tregut të punës; rritja e stimujve për efiçiencën e energjisë në sektorin e strehimit dhe atë privat; rritja e burimeve të rinovueshme në prodhimin e energjisë në një mënyrë më efikase; dhe avancimi i mbështetjes financiare dhe jofinanciare për NVM-të për të përballuar krizën, për të përmirësuar konkurrencën dhe eksportin e tyre.</w:t>
            </w:r>
          </w:p>
          <w:p w14:paraId="5854977C" w14:textId="77777777" w:rsidR="00567A3F" w:rsidRPr="00A67595" w:rsidRDefault="00567A3F" w:rsidP="0074067A">
            <w:pPr>
              <w:spacing w:after="0" w:line="240" w:lineRule="auto"/>
              <w:rPr>
                <w:rFonts w:ascii="Arial" w:hAnsi="Arial" w:cs="Arial"/>
                <w:b/>
                <w:sz w:val="20"/>
                <w:szCs w:val="20"/>
                <w:lang w:val="en-US"/>
              </w:rPr>
            </w:pPr>
          </w:p>
          <w:p w14:paraId="324A834F" w14:textId="57AB1F3D" w:rsidR="00A67595" w:rsidRPr="00277935" w:rsidRDefault="00567A3F" w:rsidP="00277935">
            <w:pPr>
              <w:spacing w:after="0" w:line="240" w:lineRule="auto"/>
              <w:rPr>
                <w:rFonts w:ascii="Arial" w:hAnsi="Arial" w:cs="Arial"/>
                <w:b/>
                <w:sz w:val="20"/>
                <w:szCs w:val="20"/>
              </w:rPr>
            </w:pPr>
            <w:r>
              <w:rPr>
                <w:rFonts w:ascii="Arial" w:hAnsi="Arial"/>
                <w:b/>
                <w:sz w:val="20"/>
              </w:rPr>
              <w:t xml:space="preserve">Acquis Kapitulli 15: Energjia </w:t>
            </w:r>
          </w:p>
          <w:p w14:paraId="407BE994" w14:textId="08F81380" w:rsidR="00567A3F" w:rsidRPr="00A67595" w:rsidRDefault="00567A3F" w:rsidP="00DC4B07">
            <w:pPr>
              <w:jc w:val="both"/>
              <w:rPr>
                <w:rFonts w:ascii="Arial" w:hAnsi="Arial" w:cs="Arial"/>
                <w:sz w:val="20"/>
                <w:szCs w:val="20"/>
              </w:rPr>
            </w:pPr>
            <w:r>
              <w:rPr>
                <w:rFonts w:ascii="Arial" w:hAnsi="Arial"/>
                <w:sz w:val="20"/>
              </w:rPr>
              <w:t>Ky kapitull përmban acquis të BE-së për energjinë, d.m.th., objektivat e politikës së sektorit të energjisë të BE-së janë: konkurrueshmëria, siguria e furnizimit dhe qëndrueshmëria. Acquis e BE-së për Energjinë përbëhet nga rregulla dhe politika, veçanërisht në lidhje me konkurrencën dhe ndihmat shtetërore duke përfshirë sektorin e qymyrit, kushtet për qasje të barabartë në burimet për kërkimin dhe kushtet e prodhimit në sektorin e hidrokarbureve. Ky kapitull përcakton gjithashtu kushtet e tregut të brendshëm të energjisë, promovimin e burimeve të ripërtëritshme të energjisë, efiçiencën e energjisë, sigurinë bërthamore dhe mbrojtjen nga rrezatimi. Sipas Strategjisë Kombëtare të Zhvillimit 2030, ky projekt do të kontribuojë në arritjen e objektivave në fushën e efiçiencës së energjisë në lidhje me objektivin prej 66.7 kto deri në vitin 2026 në kursimin e energjisë.</w:t>
            </w:r>
          </w:p>
          <w:p w14:paraId="66C09F4F" w14:textId="77777777" w:rsidR="00A67595" w:rsidRPr="00A67595" w:rsidRDefault="00A67595" w:rsidP="008458F3">
            <w:pPr>
              <w:spacing w:after="0" w:line="240" w:lineRule="auto"/>
              <w:rPr>
                <w:rFonts w:ascii="Arial" w:hAnsi="Arial" w:cs="Arial"/>
                <w:sz w:val="20"/>
                <w:szCs w:val="20"/>
              </w:rPr>
            </w:pPr>
            <w:r>
              <w:rPr>
                <w:rFonts w:ascii="Arial" w:hAnsi="Arial"/>
                <w:b/>
                <w:sz w:val="20"/>
              </w:rPr>
              <w:t xml:space="preserve">Kërkesat e MSA-së për efiçiencë të energjisë dhe burime të ripërtërishme të energjisë </w:t>
            </w:r>
            <w:r>
              <w:rPr>
                <w:rFonts w:ascii="Arial" w:hAnsi="Arial"/>
                <w:sz w:val="20"/>
              </w:rPr>
              <w:t xml:space="preserve"> </w:t>
            </w:r>
          </w:p>
          <w:p w14:paraId="57E54C0B" w14:textId="23573FDB" w:rsidR="00567A3F" w:rsidRPr="00277935" w:rsidRDefault="00A67595" w:rsidP="00447EEF">
            <w:pPr>
              <w:jc w:val="both"/>
              <w:rPr>
                <w:rFonts w:ascii="Arial" w:hAnsi="Arial" w:cs="Arial"/>
                <w:sz w:val="20"/>
                <w:szCs w:val="20"/>
              </w:rPr>
            </w:pPr>
            <w:r>
              <w:rPr>
                <w:rFonts w:ascii="Arial" w:hAnsi="Arial"/>
                <w:sz w:val="20"/>
              </w:rPr>
              <w:t>Sipas nenit 114 të MSA-së, Republika e Kosovës duhet të harmonizojë dhe zbatojë acquis të BE-së për efiçiencën e energjisë, burimet e ripërtëritshme të energjisë dhe mjedisin e prekur nga aktivitetet energjetike, për të promovuar kursimin e energjisë, efiçiencën e energjisë, përdorimin e burimeve të ripërtëritshme të energjisë, reduktimin të emetimeve mjedisore dhe kërkimit dhe zhvillimit në këto fusha.</w:t>
            </w:r>
          </w:p>
          <w:p w14:paraId="38C81301" w14:textId="23AC13A6" w:rsidR="00ED1869" w:rsidRPr="0074067A" w:rsidRDefault="00BF5CE2" w:rsidP="00447EEF">
            <w:pPr>
              <w:spacing w:after="0"/>
              <w:jc w:val="both"/>
              <w:rPr>
                <w:rFonts w:ascii="Arial" w:hAnsi="Arial" w:cs="Arial"/>
                <w:sz w:val="20"/>
                <w:szCs w:val="20"/>
              </w:rPr>
            </w:pPr>
            <w:r>
              <w:rPr>
                <w:rFonts w:ascii="Arial" w:hAnsi="Arial"/>
                <w:sz w:val="20"/>
              </w:rPr>
              <w:t>Kosova aktualisht është duke punuar në hartimin e Planit Kombëtar të Energjisë dhe Klimës, përmes të cilit do të përcaktojë tri objektiva të rëndësishme që duhet të arrihen deri në vitin 2030: objektivi i reduktimit të GHG, objektivi i Energjisë së Ripërtëritshme dhe Objektivi i Efiçiencës së Energjisë. Për të arritur këto objektiva, FKEE si mekanizëm financiar publik synon të fillojë zbatimin e masave të efiçiencës së energjisë në sektorin rezidencial dhe të NVM.</w:t>
            </w:r>
          </w:p>
        </w:tc>
      </w:tr>
      <w:tr w:rsidR="0074067A" w:rsidRPr="0074067A" w14:paraId="6D86B1A4" w14:textId="77777777" w:rsidTr="00DC4B07">
        <w:trPr>
          <w:trHeight w:val="330"/>
        </w:trPr>
        <w:tc>
          <w:tcPr>
            <w:tcW w:w="1576" w:type="pct"/>
            <w:tcBorders>
              <w:top w:val="single" w:sz="4" w:space="0" w:color="auto"/>
              <w:left w:val="single" w:sz="4" w:space="0" w:color="auto"/>
              <w:bottom w:val="single" w:sz="4" w:space="0" w:color="auto"/>
              <w:right w:val="single" w:sz="4" w:space="0" w:color="auto"/>
            </w:tcBorders>
            <w:shd w:val="clear" w:color="auto" w:fill="D9D9D9"/>
            <w:vAlign w:val="center"/>
          </w:tcPr>
          <w:p w14:paraId="517ECF02" w14:textId="23455402" w:rsidR="0074067A" w:rsidRPr="0074067A" w:rsidRDefault="00C14506" w:rsidP="0074067A">
            <w:pPr>
              <w:spacing w:after="0" w:line="240" w:lineRule="auto"/>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3424" w:type="pct"/>
            <w:tcBorders>
              <w:top w:val="single" w:sz="4" w:space="0" w:color="auto"/>
              <w:left w:val="single" w:sz="4" w:space="0" w:color="auto"/>
              <w:bottom w:val="single" w:sz="4" w:space="0" w:color="auto"/>
              <w:right w:val="single" w:sz="4" w:space="0" w:color="auto"/>
            </w:tcBorders>
          </w:tcPr>
          <w:p w14:paraId="34010CB9" w14:textId="5F84F658" w:rsidR="003025B9" w:rsidRPr="003025B9" w:rsidRDefault="003025B9" w:rsidP="00447EEF">
            <w:pPr>
              <w:spacing w:after="0"/>
              <w:jc w:val="both"/>
              <w:rPr>
                <w:rFonts w:ascii="Arial" w:hAnsi="Arial" w:cs="Arial"/>
                <w:sz w:val="20"/>
                <w:szCs w:val="20"/>
              </w:rPr>
            </w:pPr>
            <w:r>
              <w:rPr>
                <w:rFonts w:ascii="Arial" w:hAnsi="Arial"/>
                <w:b/>
                <w:sz w:val="20"/>
              </w:rPr>
              <w:t>Strategjia për Energji e Republikës së Kosovës 2022-2031</w:t>
            </w:r>
            <w:r>
              <w:rPr>
                <w:rFonts w:ascii="Arial" w:hAnsi="Arial"/>
                <w:sz w:val="20"/>
              </w:rPr>
              <w:t xml:space="preserve"> ka identifikuar masat që janë të nevojshme të ndërmerren që i mundësojnë Kosovës të arrijë objektivat e saj për efikasitet energjetik. </w:t>
            </w:r>
          </w:p>
          <w:p w14:paraId="2751D7F8" w14:textId="30768A36" w:rsidR="003025B9" w:rsidRPr="003025B9" w:rsidRDefault="003025B9" w:rsidP="00447EEF">
            <w:pPr>
              <w:spacing w:after="0"/>
              <w:jc w:val="both"/>
              <w:rPr>
                <w:rFonts w:ascii="Arial" w:hAnsi="Arial" w:cs="Arial"/>
                <w:sz w:val="20"/>
                <w:szCs w:val="20"/>
              </w:rPr>
            </w:pPr>
            <w:r>
              <w:rPr>
                <w:rFonts w:ascii="Arial" w:hAnsi="Arial"/>
                <w:sz w:val="20"/>
              </w:rPr>
              <w:t xml:space="preserve">Qëllimi më i rëndësishëm në kuadër të efiçencës së energjisë është përmirësimi i efikasitetit të energjisë në grumbullin e ndërtesave, pasi ndërtesat përbëjnë afërsisht 40% të konsumit vjetor kombëtar të energjisë. Ky objektiv do të arrihet duke vendosur kërkesat minimale të performancës energjetike për ndërtesat e reja dhe zbatimin e masave të EE në grumbullin ekzistues të ndërtesave përmes skemave të ndryshme mbështetëse (zbatimi i Strategjisë së Rinovimit të Ndërtesave), duke promovuar ndërtesat me konsum të energjisë afër zero, duke mbështetur vendosjen e teknologjisë shumë efikase (p.sh. pompë nxehtësie, termike diellore, etj.), duke prezantuar Certifikimin e Performancës së Energjisë, auditimin e energjisë dhe rritjen e ndërgjegjësimit të publikut për masat e EE. </w:t>
            </w:r>
          </w:p>
          <w:p w14:paraId="09D718DE" w14:textId="77777777" w:rsidR="003025B9" w:rsidRPr="003025B9" w:rsidRDefault="003025B9" w:rsidP="00447EEF">
            <w:pPr>
              <w:spacing w:after="0"/>
              <w:jc w:val="both"/>
              <w:rPr>
                <w:rFonts w:ascii="Arial" w:hAnsi="Arial" w:cs="Arial"/>
                <w:sz w:val="20"/>
                <w:szCs w:val="20"/>
                <w:lang w:val="en-US"/>
              </w:rPr>
            </w:pPr>
          </w:p>
          <w:p w14:paraId="08D85021" w14:textId="2F4047D3" w:rsidR="003025B9" w:rsidRPr="0074067A" w:rsidRDefault="003025B9" w:rsidP="00447EEF">
            <w:pPr>
              <w:jc w:val="both"/>
              <w:rPr>
                <w:rFonts w:ascii="Arial" w:hAnsi="Arial" w:cs="Arial"/>
                <w:sz w:val="20"/>
                <w:szCs w:val="20"/>
              </w:rPr>
            </w:pPr>
            <w:r>
              <w:rPr>
                <w:rFonts w:ascii="Arial" w:hAnsi="Arial"/>
                <w:b/>
                <w:sz w:val="20"/>
              </w:rPr>
              <w:t xml:space="preserve">Objektivi 3: Rritja e efiçiencës së energjisë. </w:t>
            </w:r>
            <w:r>
              <w:rPr>
                <w:rFonts w:ascii="Arial" w:hAnsi="Arial"/>
                <w:sz w:val="20"/>
              </w:rPr>
              <w:t>Sipas Draft Strategjisë është paraparë një rritje prej 15.5% në efiçencën e energjisë.</w:t>
            </w:r>
          </w:p>
        </w:tc>
      </w:tr>
    </w:tbl>
    <w:p w14:paraId="6359CE7F" w14:textId="77777777" w:rsidR="006F1611" w:rsidRDefault="006F1611">
      <w:pPr>
        <w:spacing w:after="0" w:line="240" w:lineRule="auto"/>
        <w:rPr>
          <w:rFonts w:ascii="Arial" w:hAnsi="Arial" w:cs="Arial"/>
        </w:rPr>
      </w:pPr>
    </w:p>
    <w:p w14:paraId="0753C9F6" w14:textId="77777777" w:rsidR="006F1611" w:rsidRDefault="0074067A" w:rsidP="0074067A">
      <w:pPr>
        <w:pStyle w:val="ListParagraph"/>
        <w:numPr>
          <w:ilvl w:val="0"/>
          <w:numId w:val="41"/>
        </w:numPr>
        <w:spacing w:before="200" w:after="120"/>
        <w:rPr>
          <w:rFonts w:cs="Arial"/>
          <w:b/>
        </w:rPr>
      </w:pPr>
      <w:r>
        <w:rPr>
          <w:b/>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4067A" w:rsidRPr="0074067A" w14:paraId="6CECD7EB"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77A474" w14:textId="77777777" w:rsidR="0074067A" w:rsidRPr="0074067A" w:rsidRDefault="0074067A" w:rsidP="0074067A">
            <w:pPr>
              <w:spacing w:after="0" w:line="240" w:lineRule="auto"/>
              <w:rPr>
                <w:rFonts w:ascii="Arial" w:hAnsi="Arial" w:cs="Arial"/>
                <w:sz w:val="20"/>
                <w:szCs w:val="20"/>
              </w:rPr>
            </w:pPr>
            <w:r>
              <w:rPr>
                <w:rFonts w:ascii="Arial" w:hAnsi="Arial"/>
                <w:b/>
                <w:sz w:val="20"/>
              </w:rPr>
              <w:t>Shpjegoni veçoritë e projektit në lidhje me:</w:t>
            </w:r>
          </w:p>
        </w:tc>
      </w:tr>
      <w:tr w:rsidR="0074067A" w:rsidRPr="0074067A" w14:paraId="06C39900" w14:textId="77777777" w:rsidTr="0074067A">
        <w:trPr>
          <w:trHeight w:val="31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5245425" w14:textId="077EF312" w:rsidR="0074067A" w:rsidRPr="0074067A" w:rsidRDefault="0074067A" w:rsidP="009B1B55">
            <w:pPr>
              <w:spacing w:after="0" w:line="240" w:lineRule="auto"/>
              <w:rPr>
                <w:rFonts w:ascii="Arial" w:hAnsi="Arial" w:cs="Arial"/>
                <w:sz w:val="20"/>
                <w:szCs w:val="20"/>
              </w:rPr>
            </w:pPr>
            <w:r>
              <w:rPr>
                <w:rFonts w:ascii="Arial" w:hAnsi="Arial"/>
                <w:sz w:val="20"/>
              </w:rPr>
              <w:t>Përfshirja në listën e fundit PECI</w:t>
            </w:r>
          </w:p>
        </w:tc>
        <w:tc>
          <w:tcPr>
            <w:tcW w:w="2989" w:type="pct"/>
            <w:tcBorders>
              <w:top w:val="single" w:sz="4" w:space="0" w:color="auto"/>
              <w:left w:val="single" w:sz="4" w:space="0" w:color="auto"/>
              <w:bottom w:val="single" w:sz="4" w:space="0" w:color="auto"/>
              <w:right w:val="single" w:sz="4" w:space="0" w:color="auto"/>
            </w:tcBorders>
            <w:vAlign w:val="center"/>
          </w:tcPr>
          <w:p w14:paraId="6DBD005B" w14:textId="2A8F0EE5" w:rsidR="0074067A" w:rsidRPr="0074067A" w:rsidRDefault="00A874D9" w:rsidP="0074067A">
            <w:pPr>
              <w:spacing w:after="0" w:line="240" w:lineRule="auto"/>
              <w:rPr>
                <w:rFonts w:ascii="Arial" w:hAnsi="Arial" w:cs="Arial"/>
                <w:sz w:val="20"/>
                <w:szCs w:val="20"/>
              </w:rPr>
            </w:pPr>
            <w:r>
              <w:rPr>
                <w:rFonts w:ascii="Arial" w:hAnsi="Arial"/>
                <w:sz w:val="20"/>
              </w:rPr>
              <w:t>Jo</w:t>
            </w:r>
          </w:p>
        </w:tc>
      </w:tr>
      <w:tr w:rsidR="0074067A" w:rsidRPr="0074067A" w14:paraId="1C7AABEA"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8D144E2" w14:textId="30171201" w:rsidR="0074067A" w:rsidRPr="0074067A" w:rsidRDefault="009B1B55" w:rsidP="0074067A">
            <w:pPr>
              <w:spacing w:after="0" w:line="240" w:lineRule="auto"/>
              <w:rPr>
                <w:rFonts w:ascii="Arial" w:hAnsi="Arial" w:cs="Arial"/>
                <w:sz w:val="20"/>
                <w:szCs w:val="20"/>
              </w:rPr>
            </w:pPr>
            <w:r>
              <w:rPr>
                <w:rFonts w:ascii="Arial" w:hAnsi="Arial"/>
                <w:sz w:val="20"/>
              </w:rPr>
              <w:t xml:space="preserve">Koherenca </w:t>
            </w:r>
            <w:r w:rsidR="0074067A">
              <w:rPr>
                <w:rFonts w:ascii="Arial" w:hAnsi="Arial"/>
                <w:sz w:val="20"/>
              </w:rPr>
              <w:t>me planet e zhvillimit të infrastrukturës ENTSO-E, ENTSOG</w:t>
            </w:r>
          </w:p>
        </w:tc>
        <w:tc>
          <w:tcPr>
            <w:tcW w:w="2989" w:type="pct"/>
            <w:tcBorders>
              <w:top w:val="single" w:sz="4" w:space="0" w:color="auto"/>
              <w:left w:val="single" w:sz="4" w:space="0" w:color="auto"/>
              <w:bottom w:val="single" w:sz="4" w:space="0" w:color="auto"/>
              <w:right w:val="single" w:sz="4" w:space="0" w:color="auto"/>
            </w:tcBorders>
            <w:vAlign w:val="center"/>
          </w:tcPr>
          <w:p w14:paraId="2F4C4833" w14:textId="2DB2A7C0" w:rsidR="0074067A" w:rsidRPr="0074067A" w:rsidRDefault="00A874D9" w:rsidP="0074067A">
            <w:pPr>
              <w:spacing w:after="0" w:line="240" w:lineRule="auto"/>
              <w:rPr>
                <w:rFonts w:ascii="Arial" w:hAnsi="Arial" w:cs="Arial"/>
                <w:sz w:val="20"/>
                <w:szCs w:val="20"/>
              </w:rPr>
            </w:pPr>
            <w:r>
              <w:rPr>
                <w:rFonts w:ascii="Arial" w:hAnsi="Arial"/>
                <w:sz w:val="20"/>
              </w:rPr>
              <w:t>Jo</w:t>
            </w:r>
          </w:p>
        </w:tc>
      </w:tr>
      <w:tr w:rsidR="0074067A" w:rsidRPr="0074067A" w14:paraId="32151A71"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921EC40" w14:textId="6E6C3403" w:rsidR="0074067A" w:rsidRPr="0074067A" w:rsidRDefault="009B1B55" w:rsidP="0074067A">
            <w:pPr>
              <w:spacing w:after="0" w:line="240" w:lineRule="auto"/>
              <w:rPr>
                <w:rFonts w:ascii="Arial" w:hAnsi="Arial" w:cs="Arial"/>
                <w:sz w:val="20"/>
                <w:szCs w:val="20"/>
              </w:rPr>
            </w:pPr>
            <w:r>
              <w:rPr>
                <w:rFonts w:ascii="Arial" w:hAnsi="Arial"/>
                <w:sz w:val="20"/>
              </w:rPr>
              <w:t xml:space="preserve">Kontributi </w:t>
            </w:r>
            <w:r w:rsidR="0074067A">
              <w:rPr>
                <w:rFonts w:ascii="Arial" w:hAnsi="Arial"/>
                <w:sz w:val="20"/>
              </w:rPr>
              <w:t>në përmirësimin e sigurisë së furnizimit</w:t>
            </w:r>
          </w:p>
        </w:tc>
        <w:tc>
          <w:tcPr>
            <w:tcW w:w="2989" w:type="pct"/>
            <w:tcBorders>
              <w:top w:val="single" w:sz="4" w:space="0" w:color="auto"/>
              <w:left w:val="single" w:sz="4" w:space="0" w:color="auto"/>
              <w:bottom w:val="single" w:sz="4" w:space="0" w:color="auto"/>
              <w:right w:val="single" w:sz="4" w:space="0" w:color="auto"/>
            </w:tcBorders>
            <w:vAlign w:val="center"/>
          </w:tcPr>
          <w:p w14:paraId="15712E97" w14:textId="4ACEA432" w:rsidR="0074067A" w:rsidRPr="0074067A" w:rsidRDefault="009B1B55" w:rsidP="00DC4B07">
            <w:pPr>
              <w:spacing w:after="0" w:line="240" w:lineRule="auto"/>
              <w:jc w:val="both"/>
              <w:rPr>
                <w:rFonts w:ascii="Arial" w:hAnsi="Arial" w:cs="Arial"/>
                <w:sz w:val="20"/>
                <w:szCs w:val="20"/>
              </w:rPr>
            </w:pPr>
            <w:r>
              <w:rPr>
                <w:rFonts w:ascii="Arial" w:hAnsi="Arial"/>
                <w:sz w:val="20"/>
              </w:rPr>
              <w:t xml:space="preserve">Me </w:t>
            </w:r>
            <w:r w:rsidR="00C36A58">
              <w:rPr>
                <w:rFonts w:ascii="Arial" w:hAnsi="Arial"/>
                <w:sz w:val="20"/>
              </w:rPr>
              <w:t xml:space="preserve">kursimet e arritura të energjisë projekti do të ketë një kontribut të drejtpërdrejtë në sigurinë e furnizimit. Më pak nevoja për energji, më pak nevojë për importe energjie. Në Dokumentin e Vlerësimit të Rrjetit, rezultati i peshës konsiderohet me ndikim të lartë 5.  </w:t>
            </w:r>
          </w:p>
        </w:tc>
      </w:tr>
      <w:tr w:rsidR="0074067A" w:rsidRPr="0074067A" w14:paraId="05CF32DC"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EA434BE" w14:textId="171E80CA" w:rsidR="0074067A" w:rsidRPr="0074067A" w:rsidRDefault="009B1B55" w:rsidP="0074067A">
            <w:pPr>
              <w:spacing w:after="0" w:line="240" w:lineRule="auto"/>
              <w:rPr>
                <w:rFonts w:ascii="Arial" w:hAnsi="Arial" w:cs="Arial"/>
                <w:sz w:val="20"/>
                <w:szCs w:val="20"/>
              </w:rPr>
            </w:pPr>
            <w:r>
              <w:rPr>
                <w:rFonts w:ascii="Arial" w:hAnsi="Arial"/>
                <w:sz w:val="20"/>
              </w:rPr>
              <w:t>Ndikimi</w:t>
            </w:r>
            <w:r w:rsidR="0074067A">
              <w:rPr>
                <w:rFonts w:ascii="Arial" w:hAnsi="Arial"/>
                <w:sz w:val="20"/>
              </w:rPr>
              <w:t xml:space="preserve"> në përmirësimin e infrastrukturës lokale</w:t>
            </w:r>
          </w:p>
        </w:tc>
        <w:tc>
          <w:tcPr>
            <w:tcW w:w="2989" w:type="pct"/>
            <w:tcBorders>
              <w:top w:val="single" w:sz="4" w:space="0" w:color="auto"/>
              <w:left w:val="single" w:sz="4" w:space="0" w:color="auto"/>
              <w:bottom w:val="single" w:sz="4" w:space="0" w:color="auto"/>
              <w:right w:val="single" w:sz="4" w:space="0" w:color="auto"/>
            </w:tcBorders>
            <w:vAlign w:val="center"/>
          </w:tcPr>
          <w:p w14:paraId="2C88591B" w14:textId="2500E56F" w:rsidR="0074067A" w:rsidRPr="0074067A" w:rsidRDefault="00A5021A" w:rsidP="00DC4B07">
            <w:pPr>
              <w:spacing w:after="0" w:line="240" w:lineRule="auto"/>
              <w:jc w:val="both"/>
              <w:rPr>
                <w:rFonts w:ascii="Arial" w:hAnsi="Arial" w:cs="Arial"/>
                <w:sz w:val="20"/>
                <w:szCs w:val="20"/>
              </w:rPr>
            </w:pPr>
            <w:r>
              <w:rPr>
                <w:rFonts w:ascii="Arial" w:hAnsi="Arial"/>
                <w:sz w:val="20"/>
              </w:rPr>
              <w:t>Me investime në ndërtesa të tilla si mbështjellja e ndërtesave, sistemet e ngrohjes dhe BRE-të, duke përmirësuar ndjeshëm sektorin e ndërtimit dhe nivelin e komoditetit si dhe për përdoruesit fundorë.</w:t>
            </w:r>
            <w:r>
              <w:t xml:space="preserve"> </w:t>
            </w:r>
            <w:r>
              <w:rPr>
                <w:rFonts w:ascii="Arial" w:hAnsi="Arial"/>
                <w:sz w:val="20"/>
              </w:rPr>
              <w:t xml:space="preserve">Në Dokumentin e Vlerësimit të Rrjetit, rezultati i peshës është marrë parasysh me ndikim mesatar 3.  </w:t>
            </w:r>
          </w:p>
        </w:tc>
      </w:tr>
      <w:tr w:rsidR="0074067A" w:rsidRPr="0074067A" w14:paraId="5712A4DE"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8DED16C" w14:textId="77777777" w:rsidR="0074067A" w:rsidRPr="0074067A" w:rsidRDefault="0074067A" w:rsidP="0074067A">
            <w:pPr>
              <w:spacing w:after="0" w:line="240" w:lineRule="auto"/>
              <w:rPr>
                <w:rFonts w:ascii="Arial" w:hAnsi="Arial" w:cs="Arial"/>
                <w:sz w:val="20"/>
                <w:szCs w:val="20"/>
              </w:rPr>
            </w:pPr>
            <w:r>
              <w:rPr>
                <w:rFonts w:ascii="Arial" w:hAnsi="Arial"/>
                <w:sz w:val="20"/>
              </w:rPr>
              <w:t>Rritja e burimeve të ripërtërishme të energjisë dhe/ose efiçencës së energjisë</w:t>
            </w:r>
          </w:p>
        </w:tc>
        <w:tc>
          <w:tcPr>
            <w:tcW w:w="2989" w:type="pct"/>
            <w:tcBorders>
              <w:top w:val="single" w:sz="4" w:space="0" w:color="auto"/>
              <w:left w:val="single" w:sz="4" w:space="0" w:color="auto"/>
              <w:bottom w:val="single" w:sz="4" w:space="0" w:color="auto"/>
              <w:right w:val="single" w:sz="4" w:space="0" w:color="auto"/>
            </w:tcBorders>
            <w:vAlign w:val="center"/>
          </w:tcPr>
          <w:p w14:paraId="13E51992" w14:textId="6EEBDF41" w:rsidR="00085842" w:rsidRPr="0074067A" w:rsidRDefault="00403E8F" w:rsidP="00DC4B07">
            <w:pPr>
              <w:spacing w:after="0" w:line="240" w:lineRule="auto"/>
              <w:jc w:val="both"/>
              <w:rPr>
                <w:rFonts w:ascii="Arial" w:hAnsi="Arial" w:cs="Arial"/>
                <w:sz w:val="20"/>
                <w:szCs w:val="20"/>
              </w:rPr>
            </w:pPr>
            <w:r>
              <w:rPr>
                <w:rFonts w:ascii="Arial" w:hAnsi="Arial"/>
                <w:sz w:val="20"/>
              </w:rPr>
              <w:t>Me investime direkte në EE dhe BRE do të rritet deri në 50% performanca energjetike në sektorin e ndërtesave. Për sa i përket kursimit të energjisë, vlerësohet se arrihen 10 ktoe në vit pas mbylljes së projektit.</w:t>
            </w:r>
            <w:r>
              <w:t xml:space="preserve"> </w:t>
            </w:r>
            <w:r>
              <w:rPr>
                <w:rFonts w:ascii="Arial" w:hAnsi="Arial"/>
                <w:sz w:val="20"/>
              </w:rPr>
              <w:t xml:space="preserve">Në Dokumentin e Vlerësimit të Rrjetit, rezultati i peshës konsiderohet me ndikim të lartë 5.  </w:t>
            </w:r>
          </w:p>
        </w:tc>
      </w:tr>
      <w:tr w:rsidR="0074067A" w:rsidRPr="0074067A" w14:paraId="394A3E9C"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14BC6A6" w14:textId="77777777" w:rsidR="0074067A" w:rsidRPr="0074067A" w:rsidRDefault="0074067A" w:rsidP="00E548AE">
            <w:pPr>
              <w:spacing w:after="0" w:line="240" w:lineRule="auto"/>
              <w:rPr>
                <w:rFonts w:ascii="Arial" w:hAnsi="Arial" w:cs="Arial"/>
                <w:sz w:val="20"/>
                <w:szCs w:val="20"/>
              </w:rPr>
            </w:pPr>
            <w:r>
              <w:rPr>
                <w:rFonts w:ascii="Arial" w:hAnsi="Arial"/>
                <w:sz w:val="20"/>
              </w:rPr>
              <w:t>Reduktimi i emetimeve të CO</w:t>
            </w:r>
            <w:r>
              <w:rPr>
                <w:rFonts w:ascii="Arial" w:hAnsi="Arial"/>
                <w:sz w:val="20"/>
                <w:vertAlign w:val="subscript"/>
              </w:rPr>
              <w:t>2</w:t>
            </w:r>
          </w:p>
        </w:tc>
        <w:tc>
          <w:tcPr>
            <w:tcW w:w="2989" w:type="pct"/>
            <w:tcBorders>
              <w:top w:val="single" w:sz="4" w:space="0" w:color="auto"/>
              <w:left w:val="single" w:sz="4" w:space="0" w:color="auto"/>
              <w:bottom w:val="single" w:sz="4" w:space="0" w:color="auto"/>
              <w:right w:val="single" w:sz="4" w:space="0" w:color="auto"/>
            </w:tcBorders>
            <w:vAlign w:val="center"/>
          </w:tcPr>
          <w:p w14:paraId="5310744B" w14:textId="4D2B6EA6" w:rsidR="0074067A" w:rsidRPr="0074067A" w:rsidRDefault="00E24EC2" w:rsidP="00E24EC2">
            <w:pPr>
              <w:spacing w:after="0" w:line="240" w:lineRule="auto"/>
              <w:rPr>
                <w:rFonts w:ascii="Arial" w:hAnsi="Arial" w:cs="Arial"/>
                <w:sz w:val="20"/>
                <w:szCs w:val="20"/>
              </w:rPr>
            </w:pPr>
            <w:r>
              <w:rPr>
                <w:rFonts w:ascii="Arial" w:hAnsi="Arial"/>
                <w:sz w:val="20"/>
              </w:rPr>
              <w:t xml:space="preserve">Është vlerësuar rreth 55,000 tCo2 në vit. Në Dokumentin e Vlerësimit të Rrjetit, rezultati i peshës konsiderohet me ndikim të lartë 5.  </w:t>
            </w:r>
          </w:p>
        </w:tc>
      </w:tr>
      <w:tr w:rsidR="0074067A" w:rsidRPr="0074067A" w14:paraId="310395E8"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050B20C" w14:textId="305CCE42" w:rsidR="0074067A" w:rsidRPr="0074067A" w:rsidRDefault="009B1B55" w:rsidP="0074067A">
            <w:pPr>
              <w:spacing w:after="0" w:line="240" w:lineRule="auto"/>
              <w:rPr>
                <w:rFonts w:ascii="Arial" w:hAnsi="Arial" w:cs="Arial"/>
                <w:sz w:val="20"/>
                <w:szCs w:val="20"/>
              </w:rPr>
            </w:pPr>
            <w:r>
              <w:rPr>
                <w:rFonts w:ascii="Arial" w:hAnsi="Arial"/>
                <w:sz w:val="20"/>
              </w:rPr>
              <w:t>Kontributi</w:t>
            </w:r>
            <w:r w:rsidR="0074067A">
              <w:rPr>
                <w:rFonts w:ascii="Arial" w:hAnsi="Arial"/>
                <w:sz w:val="20"/>
              </w:rPr>
              <w:t xml:space="preserve"> në rritjen e përgjithshme ekonomike</w:t>
            </w:r>
          </w:p>
        </w:tc>
        <w:tc>
          <w:tcPr>
            <w:tcW w:w="2989" w:type="pct"/>
            <w:tcBorders>
              <w:top w:val="single" w:sz="4" w:space="0" w:color="auto"/>
              <w:left w:val="single" w:sz="4" w:space="0" w:color="auto"/>
              <w:bottom w:val="single" w:sz="4" w:space="0" w:color="auto"/>
              <w:right w:val="single" w:sz="4" w:space="0" w:color="auto"/>
            </w:tcBorders>
            <w:vAlign w:val="center"/>
          </w:tcPr>
          <w:p w14:paraId="62CB6C38" w14:textId="134A7134" w:rsidR="0074067A" w:rsidRPr="0074067A" w:rsidRDefault="00AF3717" w:rsidP="00DC4B07">
            <w:pPr>
              <w:spacing w:after="0" w:line="240" w:lineRule="auto"/>
              <w:jc w:val="both"/>
              <w:rPr>
                <w:rFonts w:ascii="Arial" w:hAnsi="Arial" w:cs="Arial"/>
                <w:sz w:val="20"/>
                <w:szCs w:val="20"/>
              </w:rPr>
            </w:pPr>
            <w:r>
              <w:rPr>
                <w:rFonts w:ascii="Arial" w:hAnsi="Arial"/>
                <w:sz w:val="20"/>
              </w:rPr>
              <w:t xml:space="preserve">Projekti pritet të mundësojë shtrirjen e investimeve që do të kenë ndikime pozitive në punësimin direkt dhe indirekt dhe në rritjen ekonomike. Në Dokumentin e Vlerësimit të Rrjetit, rezultati i peshës konsiderohet me ndikim të lartë 5.  </w:t>
            </w:r>
          </w:p>
        </w:tc>
      </w:tr>
      <w:tr w:rsidR="0074067A" w:rsidRPr="0074067A" w14:paraId="2FBC419E"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19ABEE5" w14:textId="77777777" w:rsidR="0074067A" w:rsidRPr="0074067A" w:rsidRDefault="0074067A" w:rsidP="0074067A">
            <w:pPr>
              <w:spacing w:after="0" w:line="240" w:lineRule="auto"/>
              <w:rPr>
                <w:rFonts w:ascii="Arial" w:hAnsi="Arial" w:cs="Arial"/>
                <w:sz w:val="20"/>
                <w:szCs w:val="20"/>
              </w:rPr>
            </w:pPr>
            <w:r>
              <w:rPr>
                <w:rFonts w:ascii="Arial" w:hAnsi="Arial"/>
                <w:sz w:val="20"/>
              </w:rPr>
              <w:t>Integrimi me projekte të tjera</w:t>
            </w:r>
          </w:p>
        </w:tc>
        <w:tc>
          <w:tcPr>
            <w:tcW w:w="2989" w:type="pct"/>
            <w:tcBorders>
              <w:top w:val="single" w:sz="4" w:space="0" w:color="auto"/>
              <w:left w:val="single" w:sz="4" w:space="0" w:color="auto"/>
              <w:bottom w:val="single" w:sz="4" w:space="0" w:color="auto"/>
              <w:right w:val="single" w:sz="4" w:space="0" w:color="auto"/>
            </w:tcBorders>
            <w:vAlign w:val="center"/>
          </w:tcPr>
          <w:p w14:paraId="589A3A52" w14:textId="45DCDCF8" w:rsidR="0074067A" w:rsidRPr="0074067A" w:rsidRDefault="00A874D9" w:rsidP="0074067A">
            <w:pPr>
              <w:spacing w:after="0" w:line="240" w:lineRule="auto"/>
              <w:rPr>
                <w:rFonts w:ascii="Arial" w:hAnsi="Arial" w:cs="Arial"/>
                <w:sz w:val="20"/>
                <w:szCs w:val="20"/>
              </w:rPr>
            </w:pPr>
            <w:r>
              <w:rPr>
                <w:rFonts w:ascii="Arial" w:hAnsi="Arial"/>
                <w:sz w:val="20"/>
              </w:rPr>
              <w:t>Jo</w:t>
            </w:r>
          </w:p>
        </w:tc>
      </w:tr>
      <w:tr w:rsidR="0074067A" w:rsidRPr="0074067A" w14:paraId="4BAD5108" w14:textId="77777777" w:rsidTr="0074067A">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42E1E77" w14:textId="77777777" w:rsidR="0074067A" w:rsidRPr="0074067A" w:rsidRDefault="0074067A" w:rsidP="0074067A">
            <w:pPr>
              <w:spacing w:after="0" w:line="240" w:lineRule="auto"/>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vAlign w:val="center"/>
          </w:tcPr>
          <w:p w14:paraId="5853B3CA" w14:textId="4FBA02AF" w:rsidR="00867A1A" w:rsidRPr="00874F3F" w:rsidRDefault="00867A1A" w:rsidP="00ED0153">
            <w:pPr>
              <w:pStyle w:val="ListParagraph"/>
              <w:numPr>
                <w:ilvl w:val="0"/>
                <w:numId w:val="45"/>
              </w:numPr>
              <w:spacing w:line="240" w:lineRule="auto"/>
              <w:jc w:val="both"/>
              <w:rPr>
                <w:rFonts w:cs="Arial"/>
                <w:szCs w:val="20"/>
              </w:rPr>
            </w:pPr>
            <w:r>
              <w:t>Rreziqet politike - Ndryshimi i prioriteteve të qeverive</w:t>
            </w:r>
          </w:p>
          <w:p w14:paraId="1E253031" w14:textId="77777777" w:rsidR="00867A1A" w:rsidRPr="00867A1A" w:rsidRDefault="00867A1A" w:rsidP="00DC4B07">
            <w:pPr>
              <w:spacing w:after="0" w:line="240" w:lineRule="auto"/>
              <w:jc w:val="both"/>
              <w:rPr>
                <w:rFonts w:ascii="Arial" w:hAnsi="Arial" w:cs="Arial"/>
                <w:sz w:val="20"/>
                <w:szCs w:val="20"/>
              </w:rPr>
            </w:pPr>
          </w:p>
          <w:p w14:paraId="13B6792E" w14:textId="5FE53B04" w:rsidR="0074067A" w:rsidRPr="00874F3F" w:rsidRDefault="00867A1A" w:rsidP="00ED0153">
            <w:pPr>
              <w:pStyle w:val="ListParagraph"/>
              <w:numPr>
                <w:ilvl w:val="0"/>
                <w:numId w:val="45"/>
              </w:numPr>
              <w:spacing w:line="240" w:lineRule="auto"/>
              <w:jc w:val="both"/>
              <w:rPr>
                <w:rFonts w:cs="Arial"/>
                <w:szCs w:val="20"/>
              </w:rPr>
            </w:pPr>
            <w:r>
              <w:t>Rreziqet ekonomike - Rritja e borxhit publik</w:t>
            </w:r>
          </w:p>
          <w:p w14:paraId="5A53A816" w14:textId="77777777" w:rsidR="00867A1A" w:rsidRDefault="00867A1A" w:rsidP="00DC4B07">
            <w:pPr>
              <w:spacing w:after="0" w:line="240" w:lineRule="auto"/>
              <w:jc w:val="both"/>
              <w:rPr>
                <w:rFonts w:ascii="Arial" w:hAnsi="Arial" w:cs="Arial"/>
                <w:sz w:val="20"/>
                <w:szCs w:val="20"/>
              </w:rPr>
            </w:pPr>
          </w:p>
          <w:p w14:paraId="56642DAE" w14:textId="390F34C8" w:rsidR="00867A1A" w:rsidRPr="00874F3F" w:rsidRDefault="00867A1A" w:rsidP="00ED0153">
            <w:pPr>
              <w:pStyle w:val="ListParagraph"/>
              <w:numPr>
                <w:ilvl w:val="0"/>
                <w:numId w:val="45"/>
              </w:numPr>
              <w:spacing w:line="240" w:lineRule="auto"/>
              <w:jc w:val="both"/>
              <w:rPr>
                <w:rFonts w:cs="Arial"/>
                <w:szCs w:val="20"/>
              </w:rPr>
            </w:pPr>
            <w:r>
              <w:t>Rreziqet financiare - Mungesa e burimeve financiare për shkak të COVID-19</w:t>
            </w:r>
          </w:p>
          <w:p w14:paraId="5C39564F" w14:textId="77777777" w:rsidR="00D55DFD" w:rsidRPr="00867A1A" w:rsidRDefault="00D55DFD" w:rsidP="00DC4B07">
            <w:pPr>
              <w:spacing w:after="0" w:line="240" w:lineRule="auto"/>
              <w:jc w:val="both"/>
              <w:rPr>
                <w:rFonts w:ascii="Arial" w:hAnsi="Arial" w:cs="Arial"/>
                <w:sz w:val="20"/>
                <w:szCs w:val="20"/>
              </w:rPr>
            </w:pPr>
          </w:p>
          <w:p w14:paraId="1EB0F655" w14:textId="1BB92308" w:rsidR="00867A1A" w:rsidRPr="00874F3F" w:rsidRDefault="00867A1A" w:rsidP="00ED0153">
            <w:pPr>
              <w:pStyle w:val="ListParagraph"/>
              <w:numPr>
                <w:ilvl w:val="0"/>
                <w:numId w:val="45"/>
              </w:numPr>
              <w:spacing w:line="240" w:lineRule="auto"/>
              <w:jc w:val="both"/>
              <w:rPr>
                <w:rFonts w:cs="Arial"/>
                <w:szCs w:val="20"/>
              </w:rPr>
            </w:pPr>
            <w:r>
              <w:t>Rreziqet socio-ekonomike, barazi/gjini, minoritet/grupe të cenueshme - Mund të ketë probleme të përballueshmërisë mes qytetarëve për shlyerjen e investimeve të EE, prandaj paketat financiare duhet të përcaktohen dhe vlerësohen përmes kësaj TA.</w:t>
            </w:r>
          </w:p>
          <w:p w14:paraId="05E6E85C" w14:textId="77777777" w:rsidR="00867A1A" w:rsidRPr="00867A1A" w:rsidRDefault="00867A1A" w:rsidP="00DC4B07">
            <w:pPr>
              <w:spacing w:after="0" w:line="240" w:lineRule="auto"/>
              <w:jc w:val="both"/>
              <w:rPr>
                <w:rFonts w:ascii="Arial" w:hAnsi="Arial" w:cs="Arial"/>
                <w:sz w:val="20"/>
                <w:szCs w:val="20"/>
              </w:rPr>
            </w:pPr>
          </w:p>
          <w:p w14:paraId="066CBDDC" w14:textId="528C97FF" w:rsidR="00867A1A" w:rsidRPr="00874F3F" w:rsidRDefault="00867A1A" w:rsidP="00ED0153">
            <w:pPr>
              <w:pStyle w:val="ListParagraph"/>
              <w:numPr>
                <w:ilvl w:val="0"/>
                <w:numId w:val="45"/>
              </w:numPr>
              <w:spacing w:line="240" w:lineRule="auto"/>
              <w:jc w:val="both"/>
              <w:rPr>
                <w:rFonts w:cs="Arial"/>
                <w:szCs w:val="20"/>
              </w:rPr>
            </w:pPr>
            <w:r>
              <w:t>Rreziqet e zbatimit - Prokurimi i vonuar</w:t>
            </w:r>
          </w:p>
          <w:p w14:paraId="14BC4963" w14:textId="77777777" w:rsidR="00867A1A" w:rsidRPr="00867A1A" w:rsidRDefault="00867A1A" w:rsidP="00DC4B07">
            <w:pPr>
              <w:spacing w:after="0" w:line="240" w:lineRule="auto"/>
              <w:jc w:val="both"/>
              <w:rPr>
                <w:rFonts w:ascii="Arial" w:hAnsi="Arial" w:cs="Arial"/>
                <w:sz w:val="20"/>
                <w:szCs w:val="20"/>
              </w:rPr>
            </w:pPr>
          </w:p>
          <w:p w14:paraId="165811BE" w14:textId="7ABC4E90" w:rsidR="00867A1A" w:rsidRPr="00874F3F" w:rsidRDefault="00867A1A" w:rsidP="00ED0153">
            <w:pPr>
              <w:pStyle w:val="ListParagraph"/>
              <w:numPr>
                <w:ilvl w:val="0"/>
                <w:numId w:val="45"/>
              </w:numPr>
              <w:spacing w:line="240" w:lineRule="auto"/>
              <w:jc w:val="both"/>
              <w:rPr>
                <w:rFonts w:cs="Arial"/>
                <w:szCs w:val="20"/>
              </w:rPr>
            </w:pPr>
            <w:r>
              <w:t>Rreziqet e funksionimit - Standardet e performancës rrëshqasin</w:t>
            </w:r>
          </w:p>
        </w:tc>
      </w:tr>
    </w:tbl>
    <w:p w14:paraId="530A83C9" w14:textId="77777777" w:rsidR="0074067A" w:rsidRDefault="0074067A" w:rsidP="001C2CAF">
      <w:pPr>
        <w:pStyle w:val="Heading1"/>
        <w:spacing w:before="240" w:after="120"/>
        <w:jc w:val="center"/>
        <w:rPr>
          <w:rFonts w:ascii="Arial" w:hAnsi="Arial" w:cs="Arial"/>
          <w:color w:val="auto"/>
          <w:sz w:val="24"/>
          <w:szCs w:val="24"/>
        </w:rPr>
      </w:pPr>
      <w:r>
        <w:rPr>
          <w:rFonts w:ascii="Arial" w:hAnsi="Arial"/>
          <w:color w:val="auto"/>
          <w:sz w:val="24"/>
        </w:rPr>
        <w:t>Pjesa e dytë</w:t>
      </w:r>
    </w:p>
    <w:p w14:paraId="556E94BA" w14:textId="77777777" w:rsidR="0074067A" w:rsidRDefault="0074067A" w:rsidP="001C2CAF">
      <w:pPr>
        <w:pStyle w:val="ListParagraph"/>
        <w:numPr>
          <w:ilvl w:val="0"/>
          <w:numId w:val="41"/>
        </w:numPr>
        <w:spacing w:after="120"/>
        <w:rPr>
          <w:rFonts w:cs="Arial"/>
          <w:b/>
        </w:rPr>
      </w:pPr>
      <w:r>
        <w:rPr>
          <w:b/>
        </w:rPr>
        <w:t>MATURITETI</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4067A" w:rsidRPr="0074067A" w14:paraId="2BDBB099"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C9431" w14:textId="77777777" w:rsidR="0074067A" w:rsidRPr="0074067A" w:rsidRDefault="0074067A" w:rsidP="0074067A">
            <w:pPr>
              <w:spacing w:after="0" w:line="240" w:lineRule="auto"/>
              <w:rPr>
                <w:rFonts w:ascii="Arial" w:hAnsi="Arial" w:cs="Arial"/>
                <w:b/>
                <w:sz w:val="20"/>
                <w:szCs w:val="20"/>
              </w:rPr>
            </w:pPr>
            <w:r>
              <w:rPr>
                <w:rFonts w:ascii="Arial" w:hAnsi="Arial"/>
                <w:b/>
                <w:sz w:val="20"/>
              </w:rPr>
              <w:t>Studimet dhe dokumentet në dispozicion</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DCF81" w14:textId="77777777" w:rsidR="0074067A" w:rsidRPr="0074067A" w:rsidRDefault="0074067A" w:rsidP="0074067A">
            <w:pPr>
              <w:spacing w:after="0" w:line="240" w:lineRule="auto"/>
              <w:jc w:val="center"/>
              <w:rPr>
                <w:rFonts w:ascii="Arial" w:hAnsi="Arial" w:cs="Arial"/>
                <w:b/>
                <w:sz w:val="20"/>
                <w:szCs w:val="20"/>
              </w:rPr>
            </w:pPr>
            <w:r>
              <w:rPr>
                <w:rFonts w:ascii="Arial" w:hAnsi="Arial"/>
                <w:b/>
                <w:sz w:val="20"/>
              </w:rPr>
              <w:t>Gati dhe të miratuara</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E4814" w14:textId="77777777" w:rsidR="0074067A" w:rsidRPr="0074067A" w:rsidRDefault="0074067A" w:rsidP="0074067A">
            <w:pPr>
              <w:spacing w:after="0" w:line="240" w:lineRule="auto"/>
              <w:jc w:val="center"/>
              <w:rPr>
                <w:rFonts w:ascii="Arial" w:hAnsi="Arial" w:cs="Arial"/>
                <w:b/>
                <w:sz w:val="20"/>
                <w:szCs w:val="20"/>
              </w:rPr>
            </w:pPr>
            <w:r>
              <w:rPr>
                <w:rFonts w:ascii="Arial" w:hAnsi="Arial"/>
                <w:b/>
                <w:sz w:val="20"/>
              </w:rPr>
              <w:t>Duke u punuar</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CFF44C" w14:textId="77777777" w:rsidR="0074067A" w:rsidRPr="0074067A" w:rsidRDefault="0074067A" w:rsidP="0074067A">
            <w:pPr>
              <w:spacing w:after="0" w:line="240" w:lineRule="auto"/>
              <w:jc w:val="center"/>
              <w:rPr>
                <w:rFonts w:ascii="Arial" w:hAnsi="Arial" w:cs="Arial"/>
                <w:b/>
                <w:sz w:val="20"/>
                <w:szCs w:val="20"/>
              </w:rPr>
            </w:pPr>
            <w:r>
              <w:rPr>
                <w:rFonts w:ascii="Arial" w:hAnsi="Arial"/>
                <w:b/>
                <w:sz w:val="20"/>
              </w:rPr>
              <w:t>Nuk ka filluar ende</w:t>
            </w:r>
          </w:p>
        </w:tc>
      </w:tr>
      <w:tr w:rsidR="0074067A" w:rsidRPr="0074067A" w14:paraId="7C33B977"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6129EC6" w14:textId="77777777" w:rsidR="0074067A" w:rsidRPr="0074067A" w:rsidRDefault="0074067A" w:rsidP="0074067A">
            <w:pPr>
              <w:spacing w:after="0" w:line="240" w:lineRule="auto"/>
              <w:rPr>
                <w:rFonts w:ascii="Arial" w:hAnsi="Arial" w:cs="Arial"/>
                <w:sz w:val="20"/>
                <w:szCs w:val="20"/>
              </w:rPr>
            </w:pPr>
            <w:r>
              <w:rPr>
                <w:rFonts w:ascii="Arial" w:hAnsi="Arial"/>
                <w:sz w:val="20"/>
              </w:rPr>
              <w:t>Idea konceptuale</w:t>
            </w:r>
          </w:p>
        </w:tc>
        <w:tc>
          <w:tcPr>
            <w:tcW w:w="800" w:type="pct"/>
            <w:tcBorders>
              <w:top w:val="single" w:sz="4" w:space="0" w:color="auto"/>
              <w:left w:val="single" w:sz="4" w:space="0" w:color="auto"/>
              <w:bottom w:val="single" w:sz="4" w:space="0" w:color="auto"/>
              <w:right w:val="single" w:sz="4" w:space="0" w:color="auto"/>
            </w:tcBorders>
            <w:vAlign w:val="center"/>
          </w:tcPr>
          <w:p w14:paraId="3361C675"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490736A4"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34C81E00" w14:textId="77777777" w:rsidR="0074067A" w:rsidRPr="0074067A" w:rsidRDefault="0074067A" w:rsidP="0074067A">
            <w:pPr>
              <w:spacing w:after="0" w:line="240" w:lineRule="auto"/>
              <w:jc w:val="center"/>
              <w:rPr>
                <w:rFonts w:ascii="Arial" w:hAnsi="Arial" w:cs="Arial"/>
                <w:sz w:val="20"/>
                <w:szCs w:val="20"/>
              </w:rPr>
            </w:pPr>
          </w:p>
        </w:tc>
      </w:tr>
      <w:tr w:rsidR="0074067A" w:rsidRPr="0074067A" w14:paraId="4EA08C3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75F17C5" w14:textId="77777777" w:rsidR="0074067A" w:rsidRPr="0074067A" w:rsidRDefault="0074067A" w:rsidP="0074067A">
            <w:pPr>
              <w:spacing w:after="0" w:line="240" w:lineRule="auto"/>
              <w:rPr>
                <w:rFonts w:ascii="Arial" w:hAnsi="Arial" w:cs="Arial"/>
                <w:sz w:val="20"/>
                <w:szCs w:val="20"/>
              </w:rPr>
            </w:pPr>
            <w:r>
              <w:rPr>
                <w:rFonts w:ascii="Arial" w:hAnsi="Arial"/>
                <w:sz w:val="20"/>
              </w:rPr>
              <w:lastRenderedPageBreak/>
              <w:t>Studimi paraprak i fizibilitetit</w:t>
            </w:r>
          </w:p>
        </w:tc>
        <w:tc>
          <w:tcPr>
            <w:tcW w:w="800" w:type="pct"/>
            <w:tcBorders>
              <w:top w:val="single" w:sz="4" w:space="0" w:color="auto"/>
              <w:left w:val="single" w:sz="4" w:space="0" w:color="auto"/>
              <w:bottom w:val="single" w:sz="4" w:space="0" w:color="auto"/>
              <w:right w:val="single" w:sz="4" w:space="0" w:color="auto"/>
            </w:tcBorders>
            <w:vAlign w:val="center"/>
          </w:tcPr>
          <w:p w14:paraId="461FBF0D"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4AF1316F" w14:textId="2FA244FD" w:rsidR="0074067A" w:rsidRPr="0074067A" w:rsidRDefault="00FD6587" w:rsidP="0074067A">
            <w:pPr>
              <w:spacing w:after="0" w:line="240" w:lineRule="auto"/>
              <w:jc w:val="center"/>
              <w:rPr>
                <w:rFonts w:ascii="Arial" w:hAnsi="Arial" w:cs="Arial"/>
                <w:sz w:val="20"/>
                <w:szCs w:val="20"/>
              </w:rPr>
            </w:pPr>
            <w:r>
              <w:rPr>
                <w:rFonts w:ascii="Arial" w:hAnsi="Arial"/>
                <w:sz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220255C1" w14:textId="7F3D6683" w:rsidR="0074067A" w:rsidRPr="0074067A" w:rsidRDefault="0074067A" w:rsidP="0074067A">
            <w:pPr>
              <w:spacing w:after="0" w:line="240" w:lineRule="auto"/>
              <w:jc w:val="center"/>
              <w:rPr>
                <w:rFonts w:ascii="Arial" w:hAnsi="Arial" w:cs="Arial"/>
                <w:sz w:val="20"/>
                <w:szCs w:val="20"/>
              </w:rPr>
            </w:pPr>
          </w:p>
        </w:tc>
      </w:tr>
      <w:tr w:rsidR="0074067A" w:rsidRPr="0074067A" w14:paraId="1C164E78"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02F7E7C" w14:textId="77777777" w:rsidR="0074067A" w:rsidRPr="0074067A" w:rsidRDefault="0074067A" w:rsidP="0074067A">
            <w:pPr>
              <w:spacing w:after="0" w:line="240" w:lineRule="auto"/>
              <w:rPr>
                <w:rFonts w:ascii="Arial" w:hAnsi="Arial" w:cs="Arial"/>
                <w:sz w:val="20"/>
                <w:szCs w:val="20"/>
              </w:rPr>
            </w:pPr>
            <w:r>
              <w:rPr>
                <w:rFonts w:ascii="Arial" w:hAnsi="Arial"/>
                <w:sz w:val="20"/>
              </w:rPr>
              <w:t>Projektimi konceptual</w:t>
            </w:r>
          </w:p>
        </w:tc>
        <w:tc>
          <w:tcPr>
            <w:tcW w:w="800" w:type="pct"/>
            <w:tcBorders>
              <w:top w:val="single" w:sz="4" w:space="0" w:color="auto"/>
              <w:left w:val="single" w:sz="4" w:space="0" w:color="auto"/>
              <w:bottom w:val="single" w:sz="4" w:space="0" w:color="auto"/>
              <w:right w:val="single" w:sz="4" w:space="0" w:color="auto"/>
            </w:tcBorders>
            <w:vAlign w:val="center"/>
          </w:tcPr>
          <w:p w14:paraId="39141B7C"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36F45FB"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EDC7F8E"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r w:rsidR="0074067A" w:rsidRPr="0074067A" w14:paraId="537736E5"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ECD0A04" w14:textId="77777777" w:rsidR="0074067A" w:rsidRPr="0074067A" w:rsidRDefault="0074067A" w:rsidP="0074067A">
            <w:pPr>
              <w:spacing w:after="0" w:line="240" w:lineRule="auto"/>
              <w:rPr>
                <w:rFonts w:ascii="Arial" w:hAnsi="Arial" w:cs="Arial"/>
                <w:sz w:val="20"/>
                <w:szCs w:val="20"/>
              </w:rPr>
            </w:pPr>
            <w:r>
              <w:rPr>
                <w:rFonts w:ascii="Arial" w:hAnsi="Arial"/>
                <w:sz w:val="20"/>
              </w:rPr>
              <w:t>Studimi i fizibilitetit + AKP</w:t>
            </w:r>
          </w:p>
        </w:tc>
        <w:tc>
          <w:tcPr>
            <w:tcW w:w="800" w:type="pct"/>
            <w:tcBorders>
              <w:top w:val="single" w:sz="4" w:space="0" w:color="auto"/>
              <w:left w:val="single" w:sz="4" w:space="0" w:color="auto"/>
              <w:bottom w:val="single" w:sz="4" w:space="0" w:color="auto"/>
              <w:right w:val="single" w:sz="4" w:space="0" w:color="auto"/>
            </w:tcBorders>
            <w:vAlign w:val="center"/>
          </w:tcPr>
          <w:p w14:paraId="3B060CAD"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2211ECA" w14:textId="17EF2C89" w:rsidR="0074067A" w:rsidRPr="0074067A" w:rsidRDefault="00B63E23" w:rsidP="0074067A">
            <w:pPr>
              <w:spacing w:after="0" w:line="240" w:lineRule="auto"/>
              <w:jc w:val="center"/>
              <w:rPr>
                <w:rFonts w:ascii="Arial" w:hAnsi="Arial" w:cs="Arial"/>
                <w:sz w:val="20"/>
                <w:szCs w:val="20"/>
              </w:rPr>
            </w:pPr>
            <w:r>
              <w:rPr>
                <w:rFonts w:ascii="Arial" w:hAnsi="Arial"/>
                <w:sz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7BA71255" w14:textId="4D8C39DE" w:rsidR="0074067A" w:rsidRPr="0074067A" w:rsidRDefault="0074067A" w:rsidP="0074067A">
            <w:pPr>
              <w:spacing w:after="0" w:line="240" w:lineRule="auto"/>
              <w:jc w:val="center"/>
              <w:rPr>
                <w:rFonts w:ascii="Arial" w:hAnsi="Arial" w:cs="Arial"/>
                <w:sz w:val="20"/>
                <w:szCs w:val="20"/>
              </w:rPr>
            </w:pPr>
          </w:p>
        </w:tc>
      </w:tr>
      <w:tr w:rsidR="0074067A" w:rsidRPr="0074067A" w14:paraId="509A9306"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F81DE50" w14:textId="77777777" w:rsidR="0074067A" w:rsidRPr="0074067A" w:rsidRDefault="0074067A" w:rsidP="0074067A">
            <w:pPr>
              <w:spacing w:after="0" w:line="240" w:lineRule="auto"/>
              <w:rPr>
                <w:rFonts w:ascii="Arial" w:hAnsi="Arial" w:cs="Arial"/>
                <w:sz w:val="20"/>
                <w:szCs w:val="20"/>
              </w:rPr>
            </w:pPr>
            <w:r>
              <w:rPr>
                <w:rFonts w:ascii="Arial" w:hAnsi="Arial"/>
                <w:sz w:val="20"/>
              </w:rPr>
              <w:t>Studimi i VNM (nëse nevojitet)</w:t>
            </w:r>
          </w:p>
        </w:tc>
        <w:tc>
          <w:tcPr>
            <w:tcW w:w="800" w:type="pct"/>
            <w:tcBorders>
              <w:top w:val="single" w:sz="4" w:space="0" w:color="auto"/>
              <w:left w:val="single" w:sz="4" w:space="0" w:color="auto"/>
              <w:bottom w:val="single" w:sz="4" w:space="0" w:color="auto"/>
              <w:right w:val="single" w:sz="4" w:space="0" w:color="auto"/>
            </w:tcBorders>
            <w:vAlign w:val="center"/>
          </w:tcPr>
          <w:p w14:paraId="543A64D9"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F3BC51A"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13056258"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r w:rsidR="0074067A" w:rsidRPr="0074067A" w14:paraId="1909149A"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5072AD7" w14:textId="77777777" w:rsidR="0074067A" w:rsidRPr="0074067A" w:rsidRDefault="0074067A" w:rsidP="0074067A">
            <w:pPr>
              <w:spacing w:after="0" w:line="240" w:lineRule="auto"/>
              <w:rPr>
                <w:rFonts w:ascii="Arial" w:hAnsi="Arial" w:cs="Arial"/>
                <w:sz w:val="20"/>
                <w:szCs w:val="20"/>
              </w:rPr>
            </w:pPr>
            <w:r>
              <w:rPr>
                <w:rFonts w:ascii="Arial" w:hAnsi="Arial"/>
                <w:sz w:val="20"/>
              </w:rPr>
              <w:t>Dokumentet e vlefshme të planifikimit hapësinor</w:t>
            </w:r>
          </w:p>
        </w:tc>
        <w:tc>
          <w:tcPr>
            <w:tcW w:w="800" w:type="pct"/>
            <w:tcBorders>
              <w:top w:val="single" w:sz="4" w:space="0" w:color="auto"/>
              <w:left w:val="single" w:sz="4" w:space="0" w:color="auto"/>
              <w:bottom w:val="single" w:sz="4" w:space="0" w:color="auto"/>
              <w:right w:val="single" w:sz="4" w:space="0" w:color="auto"/>
            </w:tcBorders>
            <w:vAlign w:val="center"/>
          </w:tcPr>
          <w:p w14:paraId="0F0355E5"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E02F93A"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231FE10A"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r w:rsidR="0074067A" w:rsidRPr="0074067A" w14:paraId="2488165D"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C6814DE" w14:textId="77777777" w:rsidR="0074067A" w:rsidRPr="0074067A" w:rsidRDefault="0074067A" w:rsidP="0074067A">
            <w:pPr>
              <w:spacing w:after="0" w:line="240" w:lineRule="auto"/>
              <w:rPr>
                <w:rFonts w:ascii="Arial" w:hAnsi="Arial" w:cs="Arial"/>
                <w:sz w:val="20"/>
                <w:szCs w:val="20"/>
              </w:rPr>
            </w:pPr>
            <w:r>
              <w:rPr>
                <w:rFonts w:ascii="Arial" w:hAnsi="Arial"/>
                <w:sz w:val="20"/>
              </w:rPr>
              <w:t>Prona tokë e zgjidhur</w:t>
            </w:r>
          </w:p>
        </w:tc>
        <w:tc>
          <w:tcPr>
            <w:tcW w:w="800" w:type="pct"/>
            <w:tcBorders>
              <w:top w:val="single" w:sz="4" w:space="0" w:color="auto"/>
              <w:left w:val="single" w:sz="4" w:space="0" w:color="auto"/>
              <w:bottom w:val="single" w:sz="4" w:space="0" w:color="auto"/>
              <w:right w:val="single" w:sz="4" w:space="0" w:color="auto"/>
            </w:tcBorders>
            <w:vAlign w:val="center"/>
          </w:tcPr>
          <w:p w14:paraId="0FF52F9D"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4C305EE5"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6B54E41"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r w:rsidR="0074067A" w:rsidRPr="0074067A" w14:paraId="4B2A638D"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3CEC647" w14:textId="77777777" w:rsidR="0074067A" w:rsidRPr="0074067A" w:rsidRDefault="0074067A" w:rsidP="0074067A">
            <w:pPr>
              <w:spacing w:after="0" w:line="240" w:lineRule="auto"/>
              <w:rPr>
                <w:rFonts w:ascii="Arial" w:hAnsi="Arial" w:cs="Arial"/>
                <w:sz w:val="20"/>
                <w:szCs w:val="20"/>
              </w:rPr>
            </w:pPr>
            <w:r>
              <w:rPr>
                <w:rFonts w:ascii="Arial" w:hAnsi="Arial"/>
                <w:sz w:val="20"/>
              </w:rPr>
              <w:t>Projektimi paraprak</w:t>
            </w:r>
          </w:p>
        </w:tc>
        <w:tc>
          <w:tcPr>
            <w:tcW w:w="800" w:type="pct"/>
            <w:tcBorders>
              <w:top w:val="single" w:sz="4" w:space="0" w:color="auto"/>
              <w:left w:val="single" w:sz="4" w:space="0" w:color="auto"/>
              <w:bottom w:val="single" w:sz="4" w:space="0" w:color="auto"/>
              <w:right w:val="single" w:sz="4" w:space="0" w:color="auto"/>
            </w:tcBorders>
            <w:vAlign w:val="center"/>
          </w:tcPr>
          <w:p w14:paraId="7E99591F"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BFCF777"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12AE7E27"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r w:rsidR="0074067A" w:rsidRPr="0074067A" w14:paraId="021D2D8D"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439F9B5" w14:textId="77777777" w:rsidR="0074067A" w:rsidRPr="0074067A" w:rsidRDefault="0074067A" w:rsidP="0074067A">
            <w:pPr>
              <w:spacing w:after="0" w:line="240" w:lineRule="auto"/>
              <w:rPr>
                <w:rFonts w:ascii="Arial" w:hAnsi="Arial" w:cs="Arial"/>
                <w:sz w:val="20"/>
                <w:szCs w:val="20"/>
              </w:rPr>
            </w:pPr>
            <w:r>
              <w:rPr>
                <w:rFonts w:ascii="Arial" w:hAnsi="Arial"/>
                <w:sz w:val="20"/>
              </w:rPr>
              <w:t>Projektimi kryesor/projektimi i detajuar</w:t>
            </w:r>
          </w:p>
        </w:tc>
        <w:tc>
          <w:tcPr>
            <w:tcW w:w="800" w:type="pct"/>
            <w:tcBorders>
              <w:top w:val="single" w:sz="4" w:space="0" w:color="auto"/>
              <w:left w:val="single" w:sz="4" w:space="0" w:color="auto"/>
              <w:bottom w:val="single" w:sz="4" w:space="0" w:color="auto"/>
              <w:right w:val="single" w:sz="4" w:space="0" w:color="auto"/>
            </w:tcBorders>
            <w:vAlign w:val="center"/>
          </w:tcPr>
          <w:p w14:paraId="2F2D544B"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9079C48"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4036A99"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r w:rsidR="0074067A" w:rsidRPr="0074067A" w14:paraId="31A4013A"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4693604" w14:textId="77777777" w:rsidR="0074067A" w:rsidRPr="0074067A" w:rsidRDefault="0074067A" w:rsidP="0074067A">
            <w:pPr>
              <w:spacing w:after="0" w:line="240" w:lineRule="auto"/>
              <w:rPr>
                <w:rFonts w:ascii="Arial" w:hAnsi="Arial" w:cs="Arial"/>
                <w:sz w:val="20"/>
                <w:szCs w:val="20"/>
              </w:rPr>
            </w:pPr>
            <w:r>
              <w:rPr>
                <w:rFonts w:ascii="Arial" w:hAnsi="Arial"/>
                <w:sz w:val="20"/>
              </w:rPr>
              <w:t>Dokumentacioni i tenderit</w:t>
            </w:r>
          </w:p>
        </w:tc>
        <w:tc>
          <w:tcPr>
            <w:tcW w:w="800" w:type="pct"/>
            <w:tcBorders>
              <w:top w:val="single" w:sz="4" w:space="0" w:color="auto"/>
              <w:left w:val="single" w:sz="4" w:space="0" w:color="auto"/>
              <w:bottom w:val="single" w:sz="4" w:space="0" w:color="auto"/>
              <w:right w:val="single" w:sz="4" w:space="0" w:color="auto"/>
            </w:tcBorders>
            <w:vAlign w:val="center"/>
          </w:tcPr>
          <w:p w14:paraId="434A0F59"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B3B9649"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80136E7"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r w:rsidR="0074067A" w:rsidRPr="0074067A" w14:paraId="4EF03F14"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BCFE895" w14:textId="77777777" w:rsidR="0074067A" w:rsidRPr="0074067A" w:rsidRDefault="0074067A" w:rsidP="0074067A">
            <w:pPr>
              <w:spacing w:after="0" w:line="240" w:lineRule="auto"/>
              <w:rPr>
                <w:rFonts w:ascii="Arial" w:hAnsi="Arial" w:cs="Arial"/>
                <w:sz w:val="20"/>
                <w:szCs w:val="20"/>
              </w:rPr>
            </w:pPr>
            <w:r>
              <w:rPr>
                <w:rFonts w:ascii="Arial" w:hAnsi="Arial"/>
                <w:sz w:val="20"/>
              </w:rPr>
              <w:t>Lejet e ndërtimit dhe të tjera</w:t>
            </w:r>
          </w:p>
        </w:tc>
        <w:tc>
          <w:tcPr>
            <w:tcW w:w="800" w:type="pct"/>
            <w:tcBorders>
              <w:top w:val="single" w:sz="4" w:space="0" w:color="auto"/>
              <w:left w:val="single" w:sz="4" w:space="0" w:color="auto"/>
              <w:bottom w:val="single" w:sz="4" w:space="0" w:color="auto"/>
              <w:right w:val="single" w:sz="4" w:space="0" w:color="auto"/>
            </w:tcBorders>
            <w:vAlign w:val="center"/>
          </w:tcPr>
          <w:p w14:paraId="721A8626"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E9960E7"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D277CEC"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r w:rsidR="0074067A" w:rsidRPr="0074067A" w14:paraId="1AA3339A"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1B0B7D5" w14:textId="77777777" w:rsidR="0074067A" w:rsidRPr="0074067A" w:rsidRDefault="0074067A" w:rsidP="0074067A">
            <w:pPr>
              <w:spacing w:after="0" w:line="240" w:lineRule="auto"/>
              <w:rPr>
                <w:rFonts w:ascii="Arial" w:hAnsi="Arial" w:cs="Arial"/>
                <w:sz w:val="20"/>
                <w:szCs w:val="20"/>
              </w:rPr>
            </w:pPr>
            <w:r>
              <w:rPr>
                <w:rFonts w:ascii="Arial" w:hAnsi="Arial"/>
                <w:sz w:val="20"/>
              </w:rPr>
              <w:t>Kontrata e ndërtimit është nënshkruar</w:t>
            </w:r>
          </w:p>
        </w:tc>
        <w:tc>
          <w:tcPr>
            <w:tcW w:w="800" w:type="pct"/>
            <w:tcBorders>
              <w:top w:val="single" w:sz="4" w:space="0" w:color="auto"/>
              <w:left w:val="single" w:sz="4" w:space="0" w:color="auto"/>
              <w:bottom w:val="single" w:sz="4" w:space="0" w:color="auto"/>
              <w:right w:val="single" w:sz="4" w:space="0" w:color="auto"/>
            </w:tcBorders>
            <w:vAlign w:val="center"/>
          </w:tcPr>
          <w:p w14:paraId="238950DB" w14:textId="77777777" w:rsidR="0074067A" w:rsidRPr="0074067A" w:rsidRDefault="0074067A" w:rsidP="0074067A">
            <w:pPr>
              <w:spacing w:after="0" w:line="240" w:lineRule="auto"/>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5EF9961" w14:textId="77777777" w:rsidR="0074067A" w:rsidRPr="0074067A" w:rsidRDefault="0074067A" w:rsidP="0074067A">
            <w:pPr>
              <w:spacing w:after="0" w:line="240" w:lineRule="auto"/>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3DC0471" w14:textId="77777777" w:rsidR="0074067A" w:rsidRPr="0074067A" w:rsidRDefault="009A2B88" w:rsidP="0074067A">
            <w:pPr>
              <w:spacing w:after="0" w:line="240" w:lineRule="auto"/>
              <w:jc w:val="center"/>
              <w:rPr>
                <w:rFonts w:ascii="Arial" w:hAnsi="Arial" w:cs="Arial"/>
                <w:sz w:val="20"/>
                <w:szCs w:val="20"/>
              </w:rPr>
            </w:pPr>
            <w:r>
              <w:rPr>
                <w:rFonts w:ascii="Arial" w:hAnsi="Arial"/>
                <w:sz w:val="20"/>
              </w:rPr>
              <w:t>x</w:t>
            </w:r>
          </w:p>
        </w:tc>
      </w:tr>
    </w:tbl>
    <w:p w14:paraId="29E4B2EA" w14:textId="77777777" w:rsidR="003A71CB" w:rsidRPr="0074067A" w:rsidRDefault="003A71CB" w:rsidP="001C2CAF">
      <w:pPr>
        <w:spacing w:after="120"/>
        <w:rPr>
          <w:rFonts w:cs="Arial"/>
          <w:b/>
        </w:rPr>
      </w:pPr>
    </w:p>
    <w:p w14:paraId="45B08616" w14:textId="77777777" w:rsidR="001C2CAF" w:rsidRDefault="001C2CAF" w:rsidP="001C2CAF">
      <w:pPr>
        <w:pStyle w:val="ListParagraph"/>
        <w:numPr>
          <w:ilvl w:val="0"/>
          <w:numId w:val="41"/>
        </w:numPr>
        <w:spacing w:after="120"/>
        <w:rPr>
          <w:rFonts w:cs="Arial"/>
          <w:b/>
        </w:rPr>
      </w:pPr>
      <w:r>
        <w:rPr>
          <w:b/>
        </w:rPr>
        <w:t>PËRCAKTIMI I BURIMIT TË FINANCIMIT</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8"/>
        <w:gridCol w:w="674"/>
        <w:gridCol w:w="4154"/>
        <w:gridCol w:w="560"/>
      </w:tblGrid>
      <w:tr w:rsidR="001C2CAF" w:rsidRPr="001C2CAF" w14:paraId="1CF1A17C" w14:textId="77777777" w:rsidTr="001C2CAF">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4D3FC" w14:textId="77777777" w:rsidR="001C2CAF" w:rsidRPr="001C2CAF" w:rsidRDefault="001C2CAF" w:rsidP="001C2CAF">
            <w:pPr>
              <w:spacing w:after="0" w:line="240" w:lineRule="auto"/>
              <w:rPr>
                <w:rFonts w:ascii="Arial" w:hAnsi="Arial" w:cs="Arial"/>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523CA" w14:textId="77777777" w:rsidR="001C2CAF" w:rsidRPr="001C2CAF" w:rsidRDefault="001C2CAF" w:rsidP="001C2CAF">
            <w:pPr>
              <w:spacing w:after="0" w:line="240" w:lineRule="auto"/>
              <w:jc w:val="center"/>
              <w:rPr>
                <w:rFonts w:ascii="Arial" w:hAnsi="Arial" w:cs="Arial"/>
                <w:sz w:val="20"/>
                <w:szCs w:val="20"/>
              </w:rPr>
            </w:pPr>
            <w:r>
              <w:rPr>
                <w:rFonts w:ascii="Arial" w:hAnsi="Arial"/>
                <w:sz w:val="20"/>
              </w:rPr>
              <w:t>Po</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0AF3E4" w14:textId="77777777" w:rsidR="001C2CAF" w:rsidRPr="001C2CAF" w:rsidRDefault="001C2CAF" w:rsidP="001C2CAF">
            <w:pPr>
              <w:spacing w:after="0" w:line="240" w:lineRule="auto"/>
              <w:jc w:val="center"/>
              <w:rPr>
                <w:rFonts w:ascii="Arial" w:hAnsi="Arial" w:cs="Arial"/>
                <w:sz w:val="20"/>
                <w:szCs w:val="20"/>
              </w:rPr>
            </w:pPr>
            <w:r>
              <w:rPr>
                <w:rFonts w:ascii="Arial" w:hAnsi="Arial"/>
                <w:sz w:val="20"/>
              </w:rPr>
              <w:t>Arsyetimi</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B672A" w14:textId="77777777" w:rsidR="001C2CAF" w:rsidRPr="001C2CAF" w:rsidRDefault="001C2CAF" w:rsidP="001C2CAF">
            <w:pPr>
              <w:spacing w:after="0" w:line="240" w:lineRule="auto"/>
              <w:jc w:val="center"/>
              <w:rPr>
                <w:rFonts w:ascii="Arial" w:hAnsi="Arial" w:cs="Arial"/>
                <w:sz w:val="20"/>
                <w:szCs w:val="20"/>
              </w:rPr>
            </w:pPr>
            <w:r>
              <w:rPr>
                <w:rFonts w:ascii="Arial" w:hAnsi="Arial"/>
                <w:sz w:val="20"/>
              </w:rPr>
              <w:t>Jo</w:t>
            </w:r>
          </w:p>
        </w:tc>
      </w:tr>
      <w:tr w:rsidR="001C2CAF" w:rsidRPr="001C2CAF" w14:paraId="63C1C455" w14:textId="77777777" w:rsidTr="001C2CAF">
        <w:trPr>
          <w:trHeight w:val="26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vAlign w:val="center"/>
          </w:tcPr>
          <w:p w14:paraId="7CCCC2BF" w14:textId="137D3809" w:rsidR="001C2CAF" w:rsidRPr="001C2CAF" w:rsidRDefault="001C2CAF" w:rsidP="00202643">
            <w:pPr>
              <w:spacing w:after="0" w:line="240" w:lineRule="auto"/>
              <w:rPr>
                <w:rFonts w:ascii="Arial" w:hAnsi="Arial" w:cs="Arial"/>
                <w:sz w:val="20"/>
                <w:szCs w:val="20"/>
              </w:rPr>
            </w:pPr>
            <w:r>
              <w:rPr>
                <w:rFonts w:ascii="Arial" w:hAnsi="Arial"/>
                <w:sz w:val="20"/>
              </w:rPr>
              <w:t xml:space="preserve">A e përmirëson projekti </w:t>
            </w:r>
            <w:r w:rsidR="00202643">
              <w:rPr>
                <w:rFonts w:ascii="Arial" w:hAnsi="Arial"/>
                <w:sz w:val="20"/>
              </w:rPr>
              <w:t>ndërlidhshmërinë</w:t>
            </w:r>
            <w:r>
              <w:rPr>
                <w:rFonts w:ascii="Arial" w:hAnsi="Arial"/>
                <w:sz w:val="20"/>
              </w:rPr>
              <w:t>?</w:t>
            </w:r>
          </w:p>
        </w:tc>
        <w:tc>
          <w:tcPr>
            <w:tcW w:w="340" w:type="pct"/>
            <w:tcBorders>
              <w:top w:val="single" w:sz="4" w:space="0" w:color="auto"/>
              <w:left w:val="single" w:sz="4" w:space="0" w:color="auto"/>
              <w:bottom w:val="single" w:sz="4" w:space="0" w:color="auto"/>
              <w:right w:val="single" w:sz="4" w:space="0" w:color="auto"/>
            </w:tcBorders>
            <w:vAlign w:val="center"/>
          </w:tcPr>
          <w:p w14:paraId="56581C23" w14:textId="436F14AD" w:rsidR="001C2CAF" w:rsidRPr="001C2CAF" w:rsidRDefault="00E24EC2" w:rsidP="001C2CAF">
            <w:pPr>
              <w:spacing w:after="0" w:line="240" w:lineRule="auto"/>
              <w:rPr>
                <w:rFonts w:ascii="Arial" w:hAnsi="Arial" w:cs="Arial"/>
                <w:sz w:val="20"/>
                <w:szCs w:val="20"/>
              </w:rPr>
            </w:pPr>
            <w:r>
              <w:rPr>
                <w:rFonts w:ascii="Arial" w:hAnsi="Arial"/>
                <w:sz w:val="20"/>
              </w:rPr>
              <w:t>x</w:t>
            </w:r>
          </w:p>
        </w:tc>
        <w:tc>
          <w:tcPr>
            <w:tcW w:w="2099" w:type="pct"/>
            <w:tcBorders>
              <w:top w:val="single" w:sz="4" w:space="0" w:color="auto"/>
              <w:left w:val="single" w:sz="4" w:space="0" w:color="auto"/>
              <w:bottom w:val="single" w:sz="4" w:space="0" w:color="auto"/>
              <w:right w:val="single" w:sz="4" w:space="0" w:color="auto"/>
            </w:tcBorders>
            <w:vAlign w:val="center"/>
          </w:tcPr>
          <w:p w14:paraId="0D3C4335" w14:textId="686CF5AD" w:rsidR="001C2CAF" w:rsidRPr="001C2CAF" w:rsidRDefault="00E24EC2" w:rsidP="00793A4C">
            <w:pPr>
              <w:spacing w:after="0" w:line="240" w:lineRule="auto"/>
              <w:jc w:val="both"/>
              <w:rPr>
                <w:rFonts w:ascii="Arial" w:hAnsi="Arial" w:cs="Arial"/>
                <w:sz w:val="20"/>
                <w:szCs w:val="20"/>
              </w:rPr>
            </w:pPr>
            <w:r>
              <w:rPr>
                <w:rFonts w:ascii="Arial" w:hAnsi="Arial"/>
                <w:sz w:val="20"/>
              </w:rPr>
              <w:t>Projekti përmirëson lidhjen ndërmjet qeverisë dhe institucionit publik me sekto</w:t>
            </w:r>
            <w:r w:rsidR="00793A4C">
              <w:rPr>
                <w:rFonts w:ascii="Arial" w:hAnsi="Arial"/>
                <w:sz w:val="20"/>
              </w:rPr>
              <w:t>rin privat dhe me nivelin lokal.</w:t>
            </w:r>
          </w:p>
        </w:tc>
        <w:tc>
          <w:tcPr>
            <w:tcW w:w="283" w:type="pct"/>
            <w:tcBorders>
              <w:top w:val="single" w:sz="4" w:space="0" w:color="auto"/>
              <w:left w:val="single" w:sz="4" w:space="0" w:color="auto"/>
              <w:bottom w:val="single" w:sz="4" w:space="0" w:color="auto"/>
              <w:right w:val="single" w:sz="4" w:space="0" w:color="auto"/>
            </w:tcBorders>
            <w:vAlign w:val="center"/>
          </w:tcPr>
          <w:p w14:paraId="5BEB0F96" w14:textId="77777777" w:rsidR="001C2CAF" w:rsidRPr="001C2CAF" w:rsidRDefault="001C2CAF" w:rsidP="001C2CAF">
            <w:pPr>
              <w:spacing w:after="0" w:line="240" w:lineRule="auto"/>
              <w:rPr>
                <w:rFonts w:ascii="Arial" w:hAnsi="Arial" w:cs="Arial"/>
                <w:sz w:val="20"/>
                <w:szCs w:val="20"/>
              </w:rPr>
            </w:pPr>
          </w:p>
        </w:tc>
        <w:bookmarkStart w:id="0" w:name="_GoBack"/>
        <w:bookmarkEnd w:id="0"/>
      </w:tr>
      <w:tr w:rsidR="001C2CAF" w:rsidRPr="001C2CAF" w14:paraId="46EF7683" w14:textId="77777777" w:rsidTr="001C2CAF">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vAlign w:val="center"/>
          </w:tcPr>
          <w:p w14:paraId="1B95DEBA" w14:textId="77777777" w:rsidR="001C2CAF" w:rsidRPr="001C2CAF" w:rsidRDefault="001C2CAF" w:rsidP="001C2CAF">
            <w:pPr>
              <w:spacing w:after="0" w:line="240" w:lineRule="auto"/>
              <w:rPr>
                <w:rFonts w:ascii="Arial" w:hAnsi="Arial" w:cs="Arial"/>
                <w:sz w:val="20"/>
                <w:szCs w:val="20"/>
              </w:rPr>
            </w:pPr>
            <w:r>
              <w:rPr>
                <w:rFonts w:ascii="Arial" w:hAnsi="Arial"/>
                <w:sz w:val="20"/>
              </w:rPr>
              <w:t>A ka projekti ndikim ndërkufitar apo në vendet e tjera të rajonit?</w:t>
            </w:r>
          </w:p>
        </w:tc>
        <w:tc>
          <w:tcPr>
            <w:tcW w:w="340" w:type="pct"/>
            <w:tcBorders>
              <w:top w:val="single" w:sz="4" w:space="0" w:color="auto"/>
              <w:left w:val="single" w:sz="4" w:space="0" w:color="auto"/>
              <w:bottom w:val="single" w:sz="4" w:space="0" w:color="auto"/>
              <w:right w:val="single" w:sz="4" w:space="0" w:color="auto"/>
            </w:tcBorders>
            <w:vAlign w:val="center"/>
          </w:tcPr>
          <w:p w14:paraId="5F8E43FC" w14:textId="12222310" w:rsidR="001C2CAF" w:rsidRPr="001C2CAF" w:rsidRDefault="001C2CAF" w:rsidP="001C2CAF">
            <w:pPr>
              <w:spacing w:after="0" w:line="240" w:lineRule="auto"/>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vAlign w:val="center"/>
          </w:tcPr>
          <w:p w14:paraId="6FD30026" w14:textId="77777777" w:rsidR="001C2CAF" w:rsidRPr="001C2CAF" w:rsidRDefault="001C2CAF" w:rsidP="001C2CAF">
            <w:pPr>
              <w:spacing w:after="0" w:line="240" w:lineRule="auto"/>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0CB99756" w14:textId="2D4168F2" w:rsidR="001C2CAF" w:rsidRPr="001C2CAF" w:rsidRDefault="00E24EC2" w:rsidP="001C2CAF">
            <w:pPr>
              <w:spacing w:after="0" w:line="240" w:lineRule="auto"/>
              <w:rPr>
                <w:rFonts w:ascii="Arial" w:hAnsi="Arial" w:cs="Arial"/>
                <w:sz w:val="20"/>
                <w:szCs w:val="20"/>
              </w:rPr>
            </w:pPr>
            <w:r>
              <w:rPr>
                <w:rFonts w:ascii="Arial" w:hAnsi="Arial"/>
                <w:sz w:val="20"/>
              </w:rPr>
              <w:t>x</w:t>
            </w:r>
          </w:p>
        </w:tc>
      </w:tr>
      <w:tr w:rsidR="001C2CAF" w:rsidRPr="001C2CAF" w14:paraId="6B728040" w14:textId="77777777" w:rsidTr="001C2CAF">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vAlign w:val="center"/>
          </w:tcPr>
          <w:p w14:paraId="6BA2693D" w14:textId="77777777" w:rsidR="001C2CAF" w:rsidRPr="001C2CAF" w:rsidRDefault="001C2CAF" w:rsidP="001C2CAF">
            <w:pPr>
              <w:spacing w:after="0" w:line="240" w:lineRule="auto"/>
              <w:rPr>
                <w:rFonts w:ascii="Arial" w:hAnsi="Arial" w:cs="Arial"/>
                <w:sz w:val="20"/>
                <w:szCs w:val="20"/>
              </w:rPr>
            </w:pPr>
            <w:r>
              <w:rPr>
                <w:rFonts w:ascii="Arial" w:hAnsi="Arial"/>
                <w:sz w:val="20"/>
              </w:rPr>
              <w:t>A mundet projekti në ndonjë mënyrë tjetër të caktohet si projekt rajonal?</w:t>
            </w:r>
          </w:p>
        </w:tc>
        <w:tc>
          <w:tcPr>
            <w:tcW w:w="340" w:type="pct"/>
            <w:tcBorders>
              <w:top w:val="single" w:sz="4" w:space="0" w:color="auto"/>
              <w:left w:val="single" w:sz="4" w:space="0" w:color="auto"/>
              <w:bottom w:val="single" w:sz="4" w:space="0" w:color="auto"/>
              <w:right w:val="single" w:sz="4" w:space="0" w:color="auto"/>
            </w:tcBorders>
            <w:vAlign w:val="center"/>
          </w:tcPr>
          <w:p w14:paraId="50AC2758" w14:textId="42A7D529" w:rsidR="001C2CAF" w:rsidRPr="001C2CAF" w:rsidRDefault="001C2CAF" w:rsidP="001C2CAF">
            <w:pPr>
              <w:spacing w:after="0" w:line="240" w:lineRule="auto"/>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vAlign w:val="center"/>
          </w:tcPr>
          <w:p w14:paraId="776E413E" w14:textId="77777777" w:rsidR="001C2CAF" w:rsidRPr="001C2CAF" w:rsidRDefault="001C2CAF" w:rsidP="001C2CAF">
            <w:pPr>
              <w:spacing w:after="0" w:line="240" w:lineRule="auto"/>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5BC9E567" w14:textId="1C2CFD2B" w:rsidR="001C2CAF" w:rsidRPr="001C2CAF" w:rsidRDefault="00E24EC2" w:rsidP="001C2CAF">
            <w:pPr>
              <w:spacing w:after="0" w:line="240" w:lineRule="auto"/>
              <w:rPr>
                <w:rFonts w:ascii="Arial" w:hAnsi="Arial" w:cs="Arial"/>
                <w:sz w:val="20"/>
                <w:szCs w:val="20"/>
              </w:rPr>
            </w:pPr>
            <w:r>
              <w:rPr>
                <w:rFonts w:ascii="Arial" w:hAnsi="Arial"/>
                <w:sz w:val="20"/>
              </w:rPr>
              <w:t>x</w:t>
            </w:r>
          </w:p>
        </w:tc>
      </w:tr>
    </w:tbl>
    <w:p w14:paraId="22AEFD4E" w14:textId="77777777" w:rsidR="001C2CAF" w:rsidRPr="001C2CAF" w:rsidRDefault="001C2CAF" w:rsidP="001C2CAF">
      <w:pPr>
        <w:rPr>
          <w:rFonts w:cs="Arial"/>
          <w:b/>
        </w:rPr>
      </w:pPr>
    </w:p>
    <w:p w14:paraId="304031F3" w14:textId="00FF4DA2" w:rsidR="0074067A" w:rsidRPr="00202643" w:rsidRDefault="00717B3E" w:rsidP="00202643">
      <w:pPr>
        <w:pStyle w:val="ListParagraph"/>
        <w:numPr>
          <w:ilvl w:val="0"/>
          <w:numId w:val="41"/>
        </w:numPr>
        <w:spacing w:after="120"/>
        <w:rPr>
          <w:rFonts w:cs="Arial"/>
          <w:b/>
        </w:rPr>
      </w:pPr>
      <w:r>
        <w:rPr>
          <w:b/>
        </w:rPr>
        <w:t>PLANIFIKIMI I SHPENZIMEVE</w:t>
      </w:r>
    </w:p>
    <w:tbl>
      <w:tblPr>
        <w:tblW w:w="0" w:type="auto"/>
        <w:tblLook w:val="04A0" w:firstRow="1" w:lastRow="0" w:firstColumn="1" w:lastColumn="0" w:noHBand="0" w:noVBand="1"/>
      </w:tblPr>
      <w:tblGrid>
        <w:gridCol w:w="1665"/>
        <w:gridCol w:w="867"/>
        <w:gridCol w:w="1352"/>
        <w:gridCol w:w="1017"/>
        <w:gridCol w:w="1017"/>
        <w:gridCol w:w="1117"/>
        <w:gridCol w:w="1117"/>
        <w:gridCol w:w="1117"/>
        <w:gridCol w:w="617"/>
      </w:tblGrid>
      <w:tr w:rsidR="000C5649" w:rsidRPr="00AA509C" w14:paraId="6A0A8006" w14:textId="77777777" w:rsidTr="00A513C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4CC48E8E" w14:textId="77777777" w:rsidR="000C5649" w:rsidRPr="00AA509C" w:rsidRDefault="000C5649" w:rsidP="00A513CB">
            <w:pPr>
              <w:spacing w:after="0" w:line="240" w:lineRule="auto"/>
              <w:rPr>
                <w:rFonts w:ascii="Arial" w:hAnsi="Arial" w:cs="Arial"/>
                <w:color w:val="000000"/>
                <w:sz w:val="18"/>
                <w:szCs w:val="18"/>
              </w:rPr>
            </w:pPr>
            <w:r>
              <w:rPr>
                <w:rFonts w:ascii="Arial" w:hAnsi="Arial"/>
                <w:color w:val="000000"/>
                <w:sz w:val="18"/>
              </w:rPr>
              <w:t> </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2B9DC3A4" w14:textId="77777777" w:rsidR="000C5649" w:rsidRPr="00AA509C" w:rsidRDefault="000C5649" w:rsidP="00A513CB">
            <w:pPr>
              <w:spacing w:after="0" w:line="240" w:lineRule="auto"/>
              <w:jc w:val="right"/>
              <w:rPr>
                <w:rFonts w:ascii="Arial" w:hAnsi="Arial" w:cs="Arial"/>
                <w:color w:val="000000"/>
                <w:sz w:val="18"/>
                <w:szCs w:val="18"/>
              </w:rPr>
            </w:pPr>
            <w:r>
              <w:rPr>
                <w:rFonts w:ascii="Arial" w:hAnsi="Arial"/>
                <w:color w:val="000000"/>
                <w:sz w:val="18"/>
              </w:rPr>
              <w:t>2023</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5E672D30" w14:textId="77777777" w:rsidR="000C5649" w:rsidRPr="00AA509C" w:rsidRDefault="000C5649" w:rsidP="00A513CB">
            <w:pPr>
              <w:spacing w:after="0" w:line="240" w:lineRule="auto"/>
              <w:jc w:val="right"/>
              <w:rPr>
                <w:rFonts w:ascii="Arial" w:hAnsi="Arial" w:cs="Arial"/>
                <w:color w:val="000000"/>
                <w:sz w:val="18"/>
                <w:szCs w:val="18"/>
              </w:rPr>
            </w:pPr>
            <w:r>
              <w:rPr>
                <w:rFonts w:ascii="Arial" w:hAnsi="Arial"/>
                <w:color w:val="000000"/>
                <w:sz w:val="18"/>
              </w:rPr>
              <w:t>2024</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373D76A3" w14:textId="77777777" w:rsidR="000C5649" w:rsidRPr="00AA509C" w:rsidRDefault="000C5649" w:rsidP="00A513CB">
            <w:pPr>
              <w:spacing w:after="0" w:line="240" w:lineRule="auto"/>
              <w:jc w:val="right"/>
              <w:rPr>
                <w:rFonts w:ascii="Arial" w:hAnsi="Arial" w:cs="Arial"/>
                <w:color w:val="000000"/>
                <w:sz w:val="18"/>
                <w:szCs w:val="18"/>
              </w:rPr>
            </w:pPr>
            <w:r>
              <w:rPr>
                <w:rFonts w:ascii="Arial" w:hAnsi="Arial"/>
                <w:color w:val="000000"/>
                <w:sz w:val="18"/>
              </w:rPr>
              <w:t>2025</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4BFD09C8" w14:textId="77777777" w:rsidR="000C5649" w:rsidRPr="00AA509C" w:rsidRDefault="000C5649" w:rsidP="00A513CB">
            <w:pPr>
              <w:spacing w:after="0" w:line="240" w:lineRule="auto"/>
              <w:jc w:val="right"/>
              <w:rPr>
                <w:rFonts w:ascii="Arial" w:hAnsi="Arial" w:cs="Arial"/>
                <w:color w:val="000000"/>
                <w:sz w:val="18"/>
                <w:szCs w:val="18"/>
              </w:rPr>
            </w:pPr>
            <w:r>
              <w:rPr>
                <w:rFonts w:ascii="Arial" w:hAnsi="Arial"/>
                <w:color w:val="000000"/>
                <w:sz w:val="18"/>
              </w:rPr>
              <w:t>2026</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456D0AD5" w14:textId="77777777" w:rsidR="000C5649" w:rsidRPr="00AA509C" w:rsidRDefault="000C5649" w:rsidP="00A513CB">
            <w:pPr>
              <w:spacing w:after="0" w:line="240" w:lineRule="auto"/>
              <w:jc w:val="right"/>
              <w:rPr>
                <w:rFonts w:ascii="Arial" w:hAnsi="Arial" w:cs="Arial"/>
                <w:color w:val="000000"/>
                <w:sz w:val="18"/>
                <w:szCs w:val="18"/>
              </w:rPr>
            </w:pPr>
            <w:r>
              <w:rPr>
                <w:rFonts w:ascii="Arial" w:hAnsi="Arial"/>
                <w:color w:val="000000"/>
                <w:sz w:val="18"/>
              </w:rPr>
              <w:t>2027</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03456AAB" w14:textId="77777777" w:rsidR="000C5649" w:rsidRPr="00AA509C" w:rsidRDefault="000C5649" w:rsidP="00A513CB">
            <w:pPr>
              <w:spacing w:after="0" w:line="240" w:lineRule="auto"/>
              <w:jc w:val="right"/>
              <w:rPr>
                <w:rFonts w:ascii="Arial" w:hAnsi="Arial" w:cs="Arial"/>
                <w:color w:val="000000"/>
                <w:sz w:val="18"/>
                <w:szCs w:val="18"/>
              </w:rPr>
            </w:pPr>
            <w:r>
              <w:rPr>
                <w:rFonts w:ascii="Arial" w:hAnsi="Arial"/>
                <w:color w:val="000000"/>
                <w:sz w:val="18"/>
              </w:rPr>
              <w:t>2028</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1919DB12" w14:textId="77777777" w:rsidR="000C5649" w:rsidRPr="00AA509C" w:rsidRDefault="000C5649" w:rsidP="00A513CB">
            <w:pPr>
              <w:spacing w:after="0" w:line="240" w:lineRule="auto"/>
              <w:jc w:val="right"/>
              <w:rPr>
                <w:rFonts w:ascii="Arial" w:hAnsi="Arial" w:cs="Arial"/>
                <w:color w:val="000000"/>
                <w:sz w:val="18"/>
                <w:szCs w:val="18"/>
              </w:rPr>
            </w:pPr>
            <w:r>
              <w:rPr>
                <w:rFonts w:ascii="Arial" w:hAnsi="Arial"/>
                <w:color w:val="000000"/>
                <w:sz w:val="18"/>
              </w:rPr>
              <w:t>2029</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0FF5F6D2" w14:textId="77777777" w:rsidR="000C5649" w:rsidRPr="00AA509C" w:rsidRDefault="000C5649" w:rsidP="00A513CB">
            <w:pPr>
              <w:spacing w:after="0" w:line="240" w:lineRule="auto"/>
              <w:jc w:val="right"/>
              <w:rPr>
                <w:rFonts w:ascii="Arial" w:hAnsi="Arial" w:cs="Arial"/>
                <w:color w:val="000000"/>
                <w:sz w:val="18"/>
                <w:szCs w:val="18"/>
              </w:rPr>
            </w:pPr>
            <w:r>
              <w:rPr>
                <w:rFonts w:ascii="Arial" w:hAnsi="Arial"/>
                <w:color w:val="000000"/>
                <w:sz w:val="18"/>
              </w:rPr>
              <w:t>2030</w:t>
            </w:r>
          </w:p>
        </w:tc>
      </w:tr>
      <w:tr w:rsidR="000C5649" w:rsidRPr="00AA509C" w14:paraId="5234059C" w14:textId="77777777" w:rsidTr="00A513CB">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2FDE46B0" w14:textId="5D6CC881" w:rsidR="000C5649" w:rsidRPr="00AA509C" w:rsidRDefault="005D32EE" w:rsidP="00A513CB">
            <w:pPr>
              <w:spacing w:after="0" w:line="240" w:lineRule="auto"/>
              <w:rPr>
                <w:rFonts w:ascii="Arial" w:hAnsi="Arial" w:cs="Arial"/>
                <w:b/>
                <w:bCs/>
                <w:color w:val="000000"/>
                <w:sz w:val="18"/>
                <w:szCs w:val="18"/>
              </w:rPr>
            </w:pPr>
            <w:r>
              <w:rPr>
                <w:rFonts w:ascii="Arial" w:hAnsi="Arial"/>
                <w:b/>
                <w:color w:val="000000"/>
                <w:sz w:val="18"/>
              </w:rPr>
              <w:t>Kostot (në euro)</w:t>
            </w:r>
            <w:r w:rsidR="000C5649">
              <w:rPr>
                <w:rFonts w:ascii="Arial" w:hAnsi="Arial"/>
                <w:b/>
                <w:color w:val="000000"/>
                <w:sz w:val="18"/>
              </w:rPr>
              <w:t>:</w:t>
            </w:r>
          </w:p>
        </w:tc>
        <w:tc>
          <w:tcPr>
            <w:tcW w:w="0" w:type="auto"/>
            <w:tcBorders>
              <w:top w:val="nil"/>
              <w:left w:val="nil"/>
              <w:bottom w:val="single" w:sz="8" w:space="0" w:color="auto"/>
              <w:right w:val="single" w:sz="8" w:space="0" w:color="auto"/>
            </w:tcBorders>
            <w:shd w:val="clear" w:color="auto" w:fill="auto"/>
            <w:vAlign w:val="center"/>
            <w:hideMark/>
          </w:tcPr>
          <w:p w14:paraId="7D4AA5FA" w14:textId="77777777" w:rsidR="000C5649" w:rsidRPr="00AA509C" w:rsidRDefault="000C5649" w:rsidP="00A513CB">
            <w:pPr>
              <w:spacing w:after="0" w:line="240" w:lineRule="auto"/>
              <w:jc w:val="center"/>
              <w:rPr>
                <w:rFonts w:ascii="Arial" w:hAnsi="Arial" w:cs="Arial"/>
                <w:b/>
                <w:bCs/>
                <w:color w:val="000000"/>
                <w:sz w:val="18"/>
                <w:szCs w:val="18"/>
              </w:rPr>
            </w:pPr>
            <w:r>
              <w:rPr>
                <w:rFonts w:ascii="Arial" w:hAnsi="Arial"/>
                <w:b/>
                <w:color w:val="000000"/>
                <w:sz w:val="18"/>
              </w:rPr>
              <w:t>200,000</w:t>
            </w:r>
          </w:p>
        </w:tc>
        <w:tc>
          <w:tcPr>
            <w:tcW w:w="0" w:type="auto"/>
            <w:tcBorders>
              <w:top w:val="nil"/>
              <w:left w:val="nil"/>
              <w:bottom w:val="single" w:sz="8" w:space="0" w:color="auto"/>
              <w:right w:val="single" w:sz="8" w:space="0" w:color="auto"/>
            </w:tcBorders>
            <w:shd w:val="clear" w:color="auto" w:fill="auto"/>
            <w:vAlign w:val="center"/>
            <w:hideMark/>
          </w:tcPr>
          <w:p w14:paraId="33CE5212" w14:textId="77777777" w:rsidR="000C5649" w:rsidRPr="00AA509C" w:rsidRDefault="000C5649" w:rsidP="00A513CB">
            <w:pPr>
              <w:spacing w:after="0" w:line="240" w:lineRule="auto"/>
              <w:rPr>
                <w:rFonts w:ascii="Arial" w:hAnsi="Arial" w:cs="Arial"/>
                <w:b/>
                <w:bCs/>
                <w:color w:val="000000"/>
                <w:sz w:val="18"/>
                <w:szCs w:val="18"/>
              </w:rPr>
            </w:pPr>
            <w:r>
              <w:rPr>
                <w:rFonts w:ascii="Arial" w:hAnsi="Arial"/>
                <w:b/>
                <w:color w:val="000000"/>
                <w:sz w:val="18"/>
              </w:rPr>
              <w:t xml:space="preserve">   1,960,000.00 </w:t>
            </w:r>
          </w:p>
        </w:tc>
        <w:tc>
          <w:tcPr>
            <w:tcW w:w="0" w:type="auto"/>
            <w:tcBorders>
              <w:top w:val="nil"/>
              <w:left w:val="nil"/>
              <w:bottom w:val="single" w:sz="8" w:space="0" w:color="auto"/>
              <w:right w:val="single" w:sz="8" w:space="0" w:color="auto"/>
            </w:tcBorders>
            <w:shd w:val="clear" w:color="auto" w:fill="auto"/>
            <w:vAlign w:val="center"/>
            <w:hideMark/>
          </w:tcPr>
          <w:p w14:paraId="0D2F45E6"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4,760,000</w:t>
            </w:r>
          </w:p>
        </w:tc>
        <w:tc>
          <w:tcPr>
            <w:tcW w:w="0" w:type="auto"/>
            <w:tcBorders>
              <w:top w:val="nil"/>
              <w:left w:val="nil"/>
              <w:bottom w:val="single" w:sz="8" w:space="0" w:color="auto"/>
              <w:right w:val="single" w:sz="8" w:space="0" w:color="auto"/>
            </w:tcBorders>
            <w:shd w:val="clear" w:color="auto" w:fill="auto"/>
            <w:vAlign w:val="center"/>
            <w:hideMark/>
          </w:tcPr>
          <w:p w14:paraId="6999355C"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7,760,000</w:t>
            </w:r>
          </w:p>
        </w:tc>
        <w:tc>
          <w:tcPr>
            <w:tcW w:w="0" w:type="auto"/>
            <w:tcBorders>
              <w:top w:val="nil"/>
              <w:left w:val="nil"/>
              <w:bottom w:val="single" w:sz="8" w:space="0" w:color="auto"/>
              <w:right w:val="single" w:sz="8" w:space="0" w:color="auto"/>
            </w:tcBorders>
            <w:shd w:val="clear" w:color="auto" w:fill="auto"/>
            <w:vAlign w:val="center"/>
            <w:hideMark/>
          </w:tcPr>
          <w:p w14:paraId="35A0FC17"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10,760,000</w:t>
            </w:r>
          </w:p>
        </w:tc>
        <w:tc>
          <w:tcPr>
            <w:tcW w:w="0" w:type="auto"/>
            <w:tcBorders>
              <w:top w:val="nil"/>
              <w:left w:val="nil"/>
              <w:bottom w:val="single" w:sz="8" w:space="0" w:color="auto"/>
              <w:right w:val="single" w:sz="8" w:space="0" w:color="auto"/>
            </w:tcBorders>
            <w:shd w:val="clear" w:color="auto" w:fill="auto"/>
            <w:vAlign w:val="center"/>
            <w:hideMark/>
          </w:tcPr>
          <w:p w14:paraId="7BF3C6E2"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11,760,000</w:t>
            </w:r>
          </w:p>
        </w:tc>
        <w:tc>
          <w:tcPr>
            <w:tcW w:w="0" w:type="auto"/>
            <w:tcBorders>
              <w:top w:val="nil"/>
              <w:left w:val="nil"/>
              <w:bottom w:val="single" w:sz="8" w:space="0" w:color="auto"/>
              <w:right w:val="single" w:sz="8" w:space="0" w:color="auto"/>
            </w:tcBorders>
            <w:shd w:val="clear" w:color="auto" w:fill="auto"/>
            <w:vAlign w:val="center"/>
            <w:hideMark/>
          </w:tcPr>
          <w:p w14:paraId="5221C5B6"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12,800,000</w:t>
            </w:r>
          </w:p>
        </w:tc>
        <w:tc>
          <w:tcPr>
            <w:tcW w:w="0" w:type="auto"/>
            <w:tcBorders>
              <w:top w:val="nil"/>
              <w:left w:val="nil"/>
              <w:bottom w:val="single" w:sz="8" w:space="0" w:color="auto"/>
              <w:right w:val="single" w:sz="8" w:space="0" w:color="auto"/>
            </w:tcBorders>
            <w:shd w:val="clear" w:color="auto" w:fill="auto"/>
            <w:vAlign w:val="center"/>
            <w:hideMark/>
          </w:tcPr>
          <w:p w14:paraId="74AAA976" w14:textId="77777777" w:rsidR="000C5649" w:rsidRPr="00AA509C" w:rsidRDefault="000C5649" w:rsidP="00A513CB">
            <w:pPr>
              <w:spacing w:after="0" w:line="240" w:lineRule="auto"/>
              <w:rPr>
                <w:rFonts w:ascii="Arial" w:hAnsi="Arial" w:cs="Arial"/>
                <w:b/>
                <w:bCs/>
                <w:color w:val="000000"/>
                <w:sz w:val="18"/>
                <w:szCs w:val="18"/>
              </w:rPr>
            </w:pPr>
            <w:r>
              <w:rPr>
                <w:rFonts w:ascii="Arial" w:hAnsi="Arial"/>
                <w:b/>
                <w:color w:val="000000"/>
                <w:sz w:val="18"/>
              </w:rPr>
              <w:t> </w:t>
            </w:r>
          </w:p>
        </w:tc>
      </w:tr>
      <w:tr w:rsidR="000C5649" w:rsidRPr="00AA509C" w14:paraId="0C61D23A" w14:textId="77777777" w:rsidTr="00A513CB">
        <w:trPr>
          <w:trHeight w:val="468"/>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30C80152" w14:textId="58BACCEB" w:rsidR="000C5649" w:rsidRPr="00AA509C" w:rsidRDefault="000C5649" w:rsidP="005D32EE">
            <w:pPr>
              <w:spacing w:after="0" w:line="240" w:lineRule="auto"/>
              <w:rPr>
                <w:rFonts w:ascii="Arial" w:hAnsi="Arial" w:cs="Arial"/>
                <w:color w:val="000000"/>
                <w:sz w:val="18"/>
                <w:szCs w:val="18"/>
              </w:rPr>
            </w:pPr>
            <w:r>
              <w:rPr>
                <w:rFonts w:ascii="Arial" w:hAnsi="Arial"/>
                <w:color w:val="000000"/>
                <w:sz w:val="18"/>
              </w:rPr>
              <w:t>Përg</w:t>
            </w:r>
            <w:r w:rsidR="005D32EE">
              <w:rPr>
                <w:rFonts w:ascii="Arial" w:hAnsi="Arial"/>
                <w:color w:val="000000"/>
                <w:sz w:val="18"/>
              </w:rPr>
              <w:t>atitja e projektit (TA)</w:t>
            </w:r>
          </w:p>
        </w:tc>
        <w:tc>
          <w:tcPr>
            <w:tcW w:w="0" w:type="auto"/>
            <w:tcBorders>
              <w:top w:val="nil"/>
              <w:left w:val="nil"/>
              <w:bottom w:val="single" w:sz="8" w:space="0" w:color="auto"/>
              <w:right w:val="single" w:sz="8" w:space="0" w:color="auto"/>
            </w:tcBorders>
            <w:shd w:val="clear" w:color="auto" w:fill="auto"/>
            <w:vAlign w:val="center"/>
            <w:hideMark/>
          </w:tcPr>
          <w:p w14:paraId="03E783DB" w14:textId="77777777" w:rsidR="000C5649" w:rsidRPr="00AA509C" w:rsidRDefault="000C5649" w:rsidP="00A513CB">
            <w:pPr>
              <w:spacing w:after="0" w:line="240" w:lineRule="auto"/>
              <w:rPr>
                <w:rFonts w:ascii="Arial" w:hAnsi="Arial" w:cs="Arial"/>
                <w:color w:val="000000"/>
                <w:sz w:val="18"/>
                <w:szCs w:val="18"/>
              </w:rPr>
            </w:pPr>
            <w:r>
              <w:rPr>
                <w:rFonts w:ascii="Arial" w:hAnsi="Arial"/>
                <w:color w:val="000000"/>
                <w:sz w:val="18"/>
              </w:rPr>
              <w:t> </w:t>
            </w:r>
          </w:p>
        </w:tc>
        <w:tc>
          <w:tcPr>
            <w:tcW w:w="0" w:type="auto"/>
            <w:tcBorders>
              <w:top w:val="nil"/>
              <w:left w:val="nil"/>
              <w:bottom w:val="single" w:sz="8" w:space="0" w:color="auto"/>
              <w:right w:val="single" w:sz="8" w:space="0" w:color="auto"/>
            </w:tcBorders>
            <w:shd w:val="clear" w:color="auto" w:fill="auto"/>
            <w:vAlign w:val="center"/>
            <w:hideMark/>
          </w:tcPr>
          <w:p w14:paraId="63BA0C99"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200,000</w:t>
            </w:r>
          </w:p>
        </w:tc>
        <w:tc>
          <w:tcPr>
            <w:tcW w:w="0" w:type="auto"/>
            <w:tcBorders>
              <w:top w:val="nil"/>
              <w:left w:val="nil"/>
              <w:bottom w:val="single" w:sz="8" w:space="0" w:color="auto"/>
              <w:right w:val="single" w:sz="8" w:space="0" w:color="auto"/>
            </w:tcBorders>
            <w:shd w:val="clear" w:color="auto" w:fill="auto"/>
            <w:vAlign w:val="center"/>
            <w:hideMark/>
          </w:tcPr>
          <w:p w14:paraId="73823194"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200,000</w:t>
            </w:r>
          </w:p>
        </w:tc>
        <w:tc>
          <w:tcPr>
            <w:tcW w:w="0" w:type="auto"/>
            <w:tcBorders>
              <w:top w:val="nil"/>
              <w:left w:val="nil"/>
              <w:bottom w:val="single" w:sz="8" w:space="0" w:color="auto"/>
              <w:right w:val="single" w:sz="8" w:space="0" w:color="auto"/>
            </w:tcBorders>
            <w:shd w:val="clear" w:color="auto" w:fill="auto"/>
            <w:vAlign w:val="center"/>
            <w:hideMark/>
          </w:tcPr>
          <w:p w14:paraId="64B4FF76"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200,000</w:t>
            </w:r>
          </w:p>
        </w:tc>
        <w:tc>
          <w:tcPr>
            <w:tcW w:w="0" w:type="auto"/>
            <w:tcBorders>
              <w:top w:val="nil"/>
              <w:left w:val="nil"/>
              <w:bottom w:val="single" w:sz="8" w:space="0" w:color="auto"/>
              <w:right w:val="single" w:sz="8" w:space="0" w:color="auto"/>
            </w:tcBorders>
            <w:shd w:val="clear" w:color="auto" w:fill="auto"/>
            <w:vAlign w:val="center"/>
            <w:hideMark/>
          </w:tcPr>
          <w:p w14:paraId="0EB94616"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200,000</w:t>
            </w:r>
          </w:p>
        </w:tc>
        <w:tc>
          <w:tcPr>
            <w:tcW w:w="0" w:type="auto"/>
            <w:tcBorders>
              <w:top w:val="nil"/>
              <w:left w:val="nil"/>
              <w:bottom w:val="single" w:sz="8" w:space="0" w:color="auto"/>
              <w:right w:val="single" w:sz="8" w:space="0" w:color="auto"/>
            </w:tcBorders>
            <w:shd w:val="clear" w:color="auto" w:fill="auto"/>
            <w:vAlign w:val="center"/>
            <w:hideMark/>
          </w:tcPr>
          <w:p w14:paraId="74C262E6" w14:textId="77777777" w:rsidR="000C5649" w:rsidRPr="00AA509C" w:rsidRDefault="000C5649" w:rsidP="00A513CB">
            <w:pPr>
              <w:spacing w:after="0" w:line="240" w:lineRule="auto"/>
              <w:jc w:val="right"/>
              <w:rPr>
                <w:rFonts w:ascii="Arial" w:hAnsi="Arial" w:cs="Arial"/>
                <w:b/>
                <w:bCs/>
                <w:color w:val="000000"/>
                <w:sz w:val="18"/>
                <w:szCs w:val="18"/>
              </w:rPr>
            </w:pPr>
            <w:r>
              <w:rPr>
                <w:rFonts w:ascii="Arial" w:hAnsi="Arial"/>
                <w:b/>
                <w:color w:val="000000"/>
                <w:sz w:val="18"/>
              </w:rPr>
              <w:t>200,000</w:t>
            </w:r>
          </w:p>
        </w:tc>
        <w:tc>
          <w:tcPr>
            <w:tcW w:w="0" w:type="auto"/>
            <w:tcBorders>
              <w:top w:val="nil"/>
              <w:left w:val="nil"/>
              <w:bottom w:val="single" w:sz="8" w:space="0" w:color="auto"/>
              <w:right w:val="single" w:sz="8" w:space="0" w:color="auto"/>
            </w:tcBorders>
            <w:shd w:val="clear" w:color="auto" w:fill="auto"/>
            <w:vAlign w:val="center"/>
            <w:hideMark/>
          </w:tcPr>
          <w:p w14:paraId="60591880" w14:textId="77777777" w:rsidR="000C5649" w:rsidRPr="00AA509C" w:rsidRDefault="000C5649" w:rsidP="00A513CB">
            <w:pPr>
              <w:spacing w:after="0" w:line="240" w:lineRule="auto"/>
              <w:rPr>
                <w:rFonts w:ascii="Arial" w:hAnsi="Arial" w:cs="Arial"/>
                <w:color w:val="000000"/>
                <w:sz w:val="18"/>
                <w:szCs w:val="18"/>
              </w:rPr>
            </w:pPr>
            <w:r>
              <w:rPr>
                <w:rFonts w:ascii="Arial" w:hAnsi="Arial"/>
                <w:color w:val="000000"/>
                <w:sz w:val="18"/>
              </w:rPr>
              <w:t> </w:t>
            </w:r>
          </w:p>
        </w:tc>
        <w:tc>
          <w:tcPr>
            <w:tcW w:w="0" w:type="auto"/>
            <w:tcBorders>
              <w:top w:val="nil"/>
              <w:left w:val="nil"/>
              <w:bottom w:val="single" w:sz="8" w:space="0" w:color="auto"/>
              <w:right w:val="single" w:sz="8" w:space="0" w:color="auto"/>
            </w:tcBorders>
            <w:shd w:val="clear" w:color="auto" w:fill="auto"/>
            <w:vAlign w:val="center"/>
            <w:hideMark/>
          </w:tcPr>
          <w:p w14:paraId="550DC595" w14:textId="77777777" w:rsidR="000C5649" w:rsidRPr="00AA509C" w:rsidRDefault="000C5649" w:rsidP="00A513CB">
            <w:pPr>
              <w:spacing w:after="0" w:line="240" w:lineRule="auto"/>
              <w:rPr>
                <w:rFonts w:ascii="Arial" w:hAnsi="Arial" w:cs="Arial"/>
                <w:color w:val="000000"/>
                <w:sz w:val="18"/>
                <w:szCs w:val="18"/>
              </w:rPr>
            </w:pPr>
            <w:r>
              <w:rPr>
                <w:rFonts w:ascii="Arial" w:hAnsi="Arial"/>
                <w:color w:val="000000"/>
                <w:sz w:val="18"/>
              </w:rPr>
              <w:t> </w:t>
            </w:r>
          </w:p>
        </w:tc>
      </w:tr>
      <w:tr w:rsidR="000C5649" w:rsidRPr="00AA509C" w14:paraId="3ECC6122" w14:textId="77777777" w:rsidTr="00A513CB">
        <w:trPr>
          <w:trHeight w:val="30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1FCAC088" w14:textId="03D043BC" w:rsidR="000C5649" w:rsidRPr="00AA509C" w:rsidRDefault="005D32EE" w:rsidP="00A513CB">
            <w:pPr>
              <w:spacing w:after="0" w:line="240" w:lineRule="auto"/>
              <w:rPr>
                <w:rFonts w:ascii="Arial" w:hAnsi="Arial" w:cs="Arial"/>
                <w:color w:val="000000"/>
                <w:sz w:val="18"/>
                <w:szCs w:val="18"/>
              </w:rPr>
            </w:pPr>
            <w:r>
              <w:rPr>
                <w:rFonts w:ascii="Arial" w:hAnsi="Arial"/>
                <w:color w:val="000000"/>
                <w:sz w:val="18"/>
              </w:rPr>
              <w:t>Investimi</w:t>
            </w:r>
          </w:p>
        </w:tc>
        <w:tc>
          <w:tcPr>
            <w:tcW w:w="0" w:type="auto"/>
            <w:tcBorders>
              <w:top w:val="nil"/>
              <w:left w:val="nil"/>
              <w:bottom w:val="single" w:sz="8" w:space="0" w:color="auto"/>
              <w:right w:val="single" w:sz="8" w:space="0" w:color="auto"/>
            </w:tcBorders>
            <w:shd w:val="clear" w:color="auto" w:fill="auto"/>
            <w:vAlign w:val="center"/>
            <w:hideMark/>
          </w:tcPr>
          <w:p w14:paraId="4048E37E" w14:textId="77777777" w:rsidR="000C5649" w:rsidRPr="00AA509C" w:rsidRDefault="000C5649" w:rsidP="00A513CB">
            <w:pPr>
              <w:spacing w:after="0" w:line="240" w:lineRule="auto"/>
              <w:jc w:val="center"/>
              <w:rPr>
                <w:rFonts w:ascii="Arial" w:hAnsi="Arial" w:cs="Arial"/>
                <w:color w:val="000000"/>
                <w:sz w:val="18"/>
                <w:szCs w:val="18"/>
              </w:rPr>
            </w:pPr>
            <w:r>
              <w:rPr>
                <w:rFonts w:ascii="Arial" w:hAnsi="Arial"/>
                <w:color w:val="000000"/>
                <w:sz w:val="18"/>
              </w:rPr>
              <w:t>200,000</w:t>
            </w:r>
          </w:p>
        </w:tc>
        <w:tc>
          <w:tcPr>
            <w:tcW w:w="0" w:type="auto"/>
            <w:tcBorders>
              <w:top w:val="nil"/>
              <w:left w:val="nil"/>
              <w:bottom w:val="single" w:sz="8" w:space="0" w:color="auto"/>
              <w:right w:val="single" w:sz="8" w:space="0" w:color="auto"/>
            </w:tcBorders>
            <w:shd w:val="clear" w:color="auto" w:fill="auto"/>
            <w:vAlign w:val="center"/>
            <w:hideMark/>
          </w:tcPr>
          <w:p w14:paraId="474C3A8E" w14:textId="77777777" w:rsidR="000C5649" w:rsidRPr="00AA509C" w:rsidRDefault="000C5649" w:rsidP="00A513CB">
            <w:pPr>
              <w:spacing w:after="0" w:line="240" w:lineRule="auto"/>
              <w:jc w:val="center"/>
              <w:rPr>
                <w:rFonts w:ascii="Arial" w:hAnsi="Arial" w:cs="Arial"/>
                <w:color w:val="000000"/>
                <w:sz w:val="18"/>
                <w:szCs w:val="18"/>
              </w:rPr>
            </w:pPr>
            <w:r>
              <w:rPr>
                <w:rFonts w:ascii="Arial" w:hAnsi="Arial"/>
                <w:color w:val="000000"/>
                <w:sz w:val="18"/>
              </w:rPr>
              <w:t>2,160,000</w:t>
            </w:r>
          </w:p>
        </w:tc>
        <w:tc>
          <w:tcPr>
            <w:tcW w:w="0" w:type="auto"/>
            <w:tcBorders>
              <w:top w:val="nil"/>
              <w:left w:val="nil"/>
              <w:bottom w:val="single" w:sz="8" w:space="0" w:color="auto"/>
              <w:right w:val="single" w:sz="8" w:space="0" w:color="auto"/>
            </w:tcBorders>
            <w:shd w:val="clear" w:color="auto" w:fill="auto"/>
            <w:vAlign w:val="center"/>
            <w:hideMark/>
          </w:tcPr>
          <w:p w14:paraId="526F34FF" w14:textId="77777777" w:rsidR="000C5649" w:rsidRPr="00AA509C" w:rsidRDefault="000C5649" w:rsidP="00A513CB">
            <w:pPr>
              <w:spacing w:after="0" w:line="240" w:lineRule="auto"/>
              <w:jc w:val="center"/>
              <w:rPr>
                <w:rFonts w:ascii="Arial" w:hAnsi="Arial" w:cs="Arial"/>
                <w:color w:val="000000"/>
                <w:sz w:val="18"/>
                <w:szCs w:val="18"/>
              </w:rPr>
            </w:pPr>
            <w:r>
              <w:rPr>
                <w:rFonts w:ascii="Arial" w:hAnsi="Arial"/>
                <w:color w:val="000000"/>
                <w:sz w:val="18"/>
              </w:rPr>
              <w:t>4,960,000</w:t>
            </w:r>
          </w:p>
        </w:tc>
        <w:tc>
          <w:tcPr>
            <w:tcW w:w="0" w:type="auto"/>
            <w:tcBorders>
              <w:top w:val="nil"/>
              <w:left w:val="nil"/>
              <w:bottom w:val="single" w:sz="8" w:space="0" w:color="auto"/>
              <w:right w:val="single" w:sz="8" w:space="0" w:color="auto"/>
            </w:tcBorders>
            <w:shd w:val="clear" w:color="auto" w:fill="auto"/>
            <w:vAlign w:val="center"/>
            <w:hideMark/>
          </w:tcPr>
          <w:p w14:paraId="0F510B8F" w14:textId="77777777" w:rsidR="000C5649" w:rsidRPr="00AA509C" w:rsidRDefault="000C5649" w:rsidP="00A513CB">
            <w:pPr>
              <w:spacing w:after="0" w:line="240" w:lineRule="auto"/>
              <w:jc w:val="center"/>
              <w:rPr>
                <w:rFonts w:ascii="Arial" w:hAnsi="Arial" w:cs="Arial"/>
                <w:color w:val="000000"/>
                <w:sz w:val="18"/>
                <w:szCs w:val="18"/>
              </w:rPr>
            </w:pPr>
            <w:r>
              <w:rPr>
                <w:rFonts w:ascii="Arial" w:hAnsi="Arial"/>
                <w:color w:val="000000"/>
                <w:sz w:val="18"/>
              </w:rPr>
              <w:t>7,960,000</w:t>
            </w:r>
          </w:p>
        </w:tc>
        <w:tc>
          <w:tcPr>
            <w:tcW w:w="0" w:type="auto"/>
            <w:tcBorders>
              <w:top w:val="nil"/>
              <w:left w:val="nil"/>
              <w:bottom w:val="single" w:sz="8" w:space="0" w:color="auto"/>
              <w:right w:val="single" w:sz="8" w:space="0" w:color="auto"/>
            </w:tcBorders>
            <w:shd w:val="clear" w:color="auto" w:fill="auto"/>
            <w:vAlign w:val="center"/>
            <w:hideMark/>
          </w:tcPr>
          <w:p w14:paraId="33351629" w14:textId="77777777" w:rsidR="000C5649" w:rsidRPr="00AA509C" w:rsidRDefault="000C5649" w:rsidP="00A513CB">
            <w:pPr>
              <w:spacing w:after="0" w:line="240" w:lineRule="auto"/>
              <w:jc w:val="center"/>
              <w:rPr>
                <w:rFonts w:ascii="Arial" w:hAnsi="Arial" w:cs="Arial"/>
                <w:color w:val="000000"/>
                <w:sz w:val="18"/>
                <w:szCs w:val="18"/>
              </w:rPr>
            </w:pPr>
            <w:r>
              <w:rPr>
                <w:rFonts w:ascii="Arial" w:hAnsi="Arial"/>
                <w:color w:val="000000"/>
                <w:sz w:val="18"/>
              </w:rPr>
              <w:t>10,960,000</w:t>
            </w:r>
          </w:p>
        </w:tc>
        <w:tc>
          <w:tcPr>
            <w:tcW w:w="0" w:type="auto"/>
            <w:tcBorders>
              <w:top w:val="nil"/>
              <w:left w:val="nil"/>
              <w:bottom w:val="single" w:sz="8" w:space="0" w:color="auto"/>
              <w:right w:val="single" w:sz="8" w:space="0" w:color="auto"/>
            </w:tcBorders>
            <w:shd w:val="clear" w:color="auto" w:fill="auto"/>
            <w:vAlign w:val="center"/>
            <w:hideMark/>
          </w:tcPr>
          <w:p w14:paraId="169FF8FD" w14:textId="77777777" w:rsidR="000C5649" w:rsidRPr="00AA509C" w:rsidRDefault="000C5649" w:rsidP="00A513CB">
            <w:pPr>
              <w:spacing w:after="0" w:line="240" w:lineRule="auto"/>
              <w:jc w:val="center"/>
              <w:rPr>
                <w:rFonts w:ascii="Arial" w:hAnsi="Arial" w:cs="Arial"/>
                <w:color w:val="000000"/>
                <w:sz w:val="18"/>
                <w:szCs w:val="18"/>
              </w:rPr>
            </w:pPr>
            <w:r>
              <w:rPr>
                <w:rFonts w:ascii="Arial" w:hAnsi="Arial"/>
                <w:color w:val="000000"/>
                <w:sz w:val="18"/>
              </w:rPr>
              <w:t>11,960,000</w:t>
            </w:r>
          </w:p>
        </w:tc>
        <w:tc>
          <w:tcPr>
            <w:tcW w:w="0" w:type="auto"/>
            <w:tcBorders>
              <w:top w:val="nil"/>
              <w:left w:val="nil"/>
              <w:bottom w:val="single" w:sz="8" w:space="0" w:color="auto"/>
              <w:right w:val="single" w:sz="8" w:space="0" w:color="auto"/>
            </w:tcBorders>
            <w:shd w:val="clear" w:color="auto" w:fill="auto"/>
            <w:vAlign w:val="center"/>
            <w:hideMark/>
          </w:tcPr>
          <w:p w14:paraId="121FD070" w14:textId="77777777" w:rsidR="000C5649" w:rsidRPr="00AA509C" w:rsidRDefault="000C5649" w:rsidP="00A513CB">
            <w:pPr>
              <w:spacing w:after="0" w:line="240" w:lineRule="auto"/>
              <w:jc w:val="center"/>
              <w:rPr>
                <w:rFonts w:ascii="Arial" w:hAnsi="Arial" w:cs="Arial"/>
                <w:color w:val="000000"/>
                <w:sz w:val="18"/>
                <w:szCs w:val="18"/>
              </w:rPr>
            </w:pPr>
            <w:r>
              <w:rPr>
                <w:rFonts w:ascii="Arial" w:hAnsi="Arial"/>
                <w:color w:val="000000"/>
                <w:sz w:val="18"/>
              </w:rPr>
              <w:t>12,800,000</w:t>
            </w:r>
          </w:p>
        </w:tc>
        <w:tc>
          <w:tcPr>
            <w:tcW w:w="0" w:type="auto"/>
            <w:tcBorders>
              <w:top w:val="nil"/>
              <w:left w:val="nil"/>
              <w:bottom w:val="single" w:sz="8" w:space="0" w:color="auto"/>
              <w:right w:val="single" w:sz="8" w:space="0" w:color="auto"/>
            </w:tcBorders>
            <w:shd w:val="clear" w:color="auto" w:fill="auto"/>
            <w:vAlign w:val="center"/>
          </w:tcPr>
          <w:p w14:paraId="698C19F3" w14:textId="77777777" w:rsidR="000C5649" w:rsidRPr="00AA509C" w:rsidRDefault="000C5649" w:rsidP="00A513CB">
            <w:pPr>
              <w:spacing w:after="0" w:line="240" w:lineRule="auto"/>
              <w:jc w:val="center"/>
              <w:rPr>
                <w:rFonts w:ascii="Arial" w:hAnsi="Arial" w:cs="Arial"/>
                <w:color w:val="000000"/>
                <w:sz w:val="18"/>
                <w:szCs w:val="18"/>
                <w:lang w:val="en-US"/>
              </w:rPr>
            </w:pPr>
          </w:p>
        </w:tc>
      </w:tr>
    </w:tbl>
    <w:p w14:paraId="333E1234" w14:textId="53D4924B" w:rsidR="00C352F8" w:rsidRPr="001A1984" w:rsidRDefault="00141AD3" w:rsidP="003A0727">
      <w:pPr>
        <w:rPr>
          <w:rFonts w:ascii="Arial" w:hAnsi="Arial" w:cs="Arial"/>
        </w:rPr>
      </w:pPr>
      <w:r>
        <w:rPr>
          <w:rFonts w:ascii="Arial" w:hAnsi="Arial"/>
        </w:rPr>
        <w:tab/>
      </w:r>
    </w:p>
    <w:p w14:paraId="1D586EFA" w14:textId="77777777" w:rsidR="00024F00" w:rsidRPr="001A1984" w:rsidRDefault="00024F00" w:rsidP="00E417C4">
      <w:pPr>
        <w:spacing w:before="240" w:after="0"/>
        <w:rPr>
          <w:rFonts w:ascii="Arial" w:hAnsi="Arial" w:cs="Arial"/>
        </w:rPr>
      </w:pPr>
    </w:p>
    <w:p w14:paraId="339BA6DC" w14:textId="09630F3F" w:rsidR="0019538C" w:rsidRPr="00BE2A05" w:rsidRDefault="00DB4132" w:rsidP="00ED0153">
      <w:pPr>
        <w:rPr>
          <w:rFonts w:ascii="Arial" w:hAnsi="Arial" w:cs="Arial"/>
          <w:sz w:val="20"/>
          <w:szCs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sectPr w:rsidR="0019538C" w:rsidRPr="00BE2A05" w:rsidSect="00FC644F">
      <w:headerReference w:type="default" r:id="rId10"/>
      <w:footerReference w:type="default" r:id="rId11"/>
      <w:headerReference w:type="first" r:id="rId12"/>
      <w:footerReference w:type="first" r:id="rId13"/>
      <w:pgSz w:w="11913" w:h="16834" w:code="9"/>
      <w:pgMar w:top="720" w:right="720" w:bottom="720" w:left="720" w:header="397" w:footer="0" w:gutter="567"/>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41D9A" w14:textId="77777777" w:rsidR="00305B97" w:rsidRDefault="00305B97" w:rsidP="00CE33CC">
      <w:pPr>
        <w:spacing w:after="0" w:line="240" w:lineRule="auto"/>
      </w:pPr>
      <w:r>
        <w:separator/>
      </w:r>
    </w:p>
  </w:endnote>
  <w:endnote w:type="continuationSeparator" w:id="0">
    <w:p w14:paraId="2F92B085" w14:textId="77777777" w:rsidR="00305B97" w:rsidRDefault="00305B97"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140D8916" w14:textId="5AF4AEDE" w:rsidR="0083451C" w:rsidRPr="0083451C" w:rsidRDefault="0083451C">
        <w:pPr>
          <w:pStyle w:val="Footer"/>
          <w:jc w:val="right"/>
          <w:rPr>
            <w:rFonts w:ascii="Arial" w:hAnsi="Arial" w:cs="Arial"/>
            <w:noProof/>
            <w:color w:val="003870"/>
            <w:sz w:val="17"/>
            <w:szCs w:val="17"/>
          </w:rPr>
        </w:pPr>
        <w:r w:rsidRPr="0083451C">
          <w:rPr>
            <w:rFonts w:ascii="Arial" w:hAnsi="Arial" w:cs="Arial"/>
            <w:color w:val="003870"/>
            <w:sz w:val="17"/>
          </w:rPr>
          <w:fldChar w:fldCharType="begin"/>
        </w:r>
        <w:r w:rsidRPr="0083451C">
          <w:rPr>
            <w:rFonts w:ascii="Arial" w:hAnsi="Arial" w:cs="Arial"/>
            <w:color w:val="003870"/>
            <w:sz w:val="17"/>
          </w:rPr>
          <w:instrText xml:space="preserve"> PAGE   \* MERGEFORMAT </w:instrText>
        </w:r>
        <w:r w:rsidRPr="0083451C">
          <w:rPr>
            <w:rFonts w:ascii="Arial" w:hAnsi="Arial" w:cs="Arial"/>
            <w:color w:val="003870"/>
            <w:sz w:val="17"/>
          </w:rPr>
          <w:fldChar w:fldCharType="separate"/>
        </w:r>
        <w:r w:rsidR="007A76F7">
          <w:rPr>
            <w:rFonts w:ascii="Arial" w:hAnsi="Arial" w:cs="Arial"/>
            <w:noProof/>
            <w:color w:val="003870"/>
            <w:sz w:val="17"/>
          </w:rPr>
          <w:t>7</w:t>
        </w:r>
        <w:r w:rsidRPr="0083451C">
          <w:rPr>
            <w:rFonts w:ascii="Arial" w:hAnsi="Arial" w:cs="Arial"/>
            <w:color w:val="003870"/>
            <w:sz w:val="17"/>
          </w:rPr>
          <w:fldChar w:fldCharType="end"/>
        </w:r>
      </w:p>
      <w:p w14:paraId="6650CC7C" w14:textId="77777777" w:rsidR="0083451C" w:rsidRDefault="00305B97">
        <w:pPr>
          <w:pStyle w:val="Footer"/>
          <w:jc w:val="right"/>
        </w:pPr>
      </w:p>
    </w:sdtContent>
  </w:sdt>
  <w:p w14:paraId="44C1936E" w14:textId="77777777" w:rsidR="00DB4132" w:rsidRDefault="00DB41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2AB7EF17" w14:textId="291A43CD" w:rsidR="00FC644F" w:rsidRPr="0083451C" w:rsidRDefault="00EA0570" w:rsidP="00FC644F">
        <w:pPr>
          <w:pStyle w:val="Footer"/>
          <w:jc w:val="right"/>
          <w:rPr>
            <w:rFonts w:ascii="Arial" w:hAnsi="Arial" w:cs="Arial"/>
            <w:noProof/>
            <w:color w:val="003870"/>
            <w:sz w:val="17"/>
            <w:szCs w:val="17"/>
          </w:rPr>
        </w:pPr>
        <w:r>
          <w:rPr>
            <w:rFonts w:ascii="Arial" w:hAnsi="Arial"/>
            <w:color w:val="003870"/>
            <w:sz w:val="17"/>
          </w:rPr>
          <w:br/>
        </w:r>
        <w:r w:rsidR="00FC644F" w:rsidRPr="0083451C">
          <w:rPr>
            <w:rFonts w:ascii="Arial" w:hAnsi="Arial" w:cs="Arial"/>
            <w:color w:val="003870"/>
            <w:sz w:val="17"/>
          </w:rPr>
          <w:fldChar w:fldCharType="begin"/>
        </w:r>
        <w:r w:rsidR="00FC644F" w:rsidRPr="0083451C">
          <w:rPr>
            <w:rFonts w:ascii="Arial" w:hAnsi="Arial" w:cs="Arial"/>
            <w:color w:val="003870"/>
            <w:sz w:val="17"/>
          </w:rPr>
          <w:instrText xml:space="preserve"> PAGE   \* MERGEFORMAT </w:instrText>
        </w:r>
        <w:r w:rsidR="00FC644F" w:rsidRPr="0083451C">
          <w:rPr>
            <w:rFonts w:ascii="Arial" w:hAnsi="Arial" w:cs="Arial"/>
            <w:color w:val="003870"/>
            <w:sz w:val="17"/>
          </w:rPr>
          <w:fldChar w:fldCharType="separate"/>
        </w:r>
        <w:r w:rsidR="007A76F7">
          <w:rPr>
            <w:rFonts w:ascii="Arial" w:hAnsi="Arial" w:cs="Arial"/>
            <w:noProof/>
            <w:color w:val="003870"/>
            <w:sz w:val="17"/>
          </w:rPr>
          <w:t>1</w:t>
        </w:r>
        <w:r w:rsidR="00FC644F" w:rsidRPr="0083451C">
          <w:rPr>
            <w:rFonts w:ascii="Arial" w:hAnsi="Arial" w:cs="Arial"/>
            <w:color w:val="003870"/>
            <w:sz w:val="17"/>
          </w:rPr>
          <w:fldChar w:fldCharType="end"/>
        </w:r>
      </w:p>
      <w:p w14:paraId="6D5C0890" w14:textId="77777777" w:rsidR="00FC644F" w:rsidRDefault="00305B97" w:rsidP="00FC644F">
        <w:pPr>
          <w:pStyle w:val="Footer"/>
          <w:jc w:val="right"/>
          <w:rPr>
            <w:noProof/>
          </w:rPr>
        </w:pPr>
      </w:p>
    </w:sdtContent>
  </w:sdt>
  <w:p w14:paraId="7EC179E4" w14:textId="77777777" w:rsidR="00CE33CC" w:rsidRPr="00CE33CC" w:rsidRDefault="00CE33CC"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CE97E" w14:textId="77777777" w:rsidR="00305B97" w:rsidRDefault="00305B97" w:rsidP="00CE33CC">
      <w:pPr>
        <w:spacing w:after="0" w:line="240" w:lineRule="auto"/>
      </w:pPr>
      <w:r>
        <w:separator/>
      </w:r>
    </w:p>
  </w:footnote>
  <w:footnote w:type="continuationSeparator" w:id="0">
    <w:p w14:paraId="6B37517B" w14:textId="77777777" w:rsidR="00305B97" w:rsidRDefault="00305B97"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C75CD" w14:textId="77777777" w:rsidR="00743564" w:rsidRDefault="00F87596" w:rsidP="00F87596">
    <w:pPr>
      <w:pStyle w:val="Header"/>
      <w:rPr>
        <w:noProof/>
      </w:rPr>
    </w:pPr>
    <w:r>
      <w:t xml:space="preserve">                                                                                     </w:t>
    </w:r>
  </w:p>
  <w:p w14:paraId="6D4FF75C" w14:textId="77777777" w:rsidR="00667E55" w:rsidRDefault="00667E55"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C57A3" w14:textId="77777777" w:rsidR="00141AD3" w:rsidRDefault="00141AD3"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677"/>
    <w:multiLevelType w:val="hybridMultilevel"/>
    <w:tmpl w:val="E64C78A8"/>
    <w:lvl w:ilvl="0" w:tplc="1C508B6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F0324"/>
    <w:multiLevelType w:val="hybridMultilevel"/>
    <w:tmpl w:val="C3E4A358"/>
    <w:lvl w:ilvl="0" w:tplc="30C45DB8">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0F"/>
    <w:multiLevelType w:val="hybridMultilevel"/>
    <w:tmpl w:val="366E7222"/>
    <w:lvl w:ilvl="0" w:tplc="3E00E992">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A4444"/>
    <w:multiLevelType w:val="hybridMultilevel"/>
    <w:tmpl w:val="713EE446"/>
    <w:lvl w:ilvl="0" w:tplc="23B2D9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22A6F"/>
    <w:multiLevelType w:val="hybridMultilevel"/>
    <w:tmpl w:val="250CA4BE"/>
    <w:lvl w:ilvl="0" w:tplc="70E47AB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32844"/>
    <w:multiLevelType w:val="hybridMultilevel"/>
    <w:tmpl w:val="474A6D46"/>
    <w:lvl w:ilvl="0" w:tplc="9E5250C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72D413C"/>
    <w:multiLevelType w:val="hybridMultilevel"/>
    <w:tmpl w:val="FD983C48"/>
    <w:lvl w:ilvl="0" w:tplc="EDB26BE0">
      <w:start w:val="1"/>
      <w:numFmt w:val="lowerLetter"/>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E64A4"/>
    <w:multiLevelType w:val="hybridMultilevel"/>
    <w:tmpl w:val="B544A2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8813B66"/>
    <w:multiLevelType w:val="hybridMultilevel"/>
    <w:tmpl w:val="8F4CB872"/>
    <w:lvl w:ilvl="0" w:tplc="71229312">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15B0E"/>
    <w:multiLevelType w:val="hybridMultilevel"/>
    <w:tmpl w:val="0046CE96"/>
    <w:lvl w:ilvl="0" w:tplc="BB0EA2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27253"/>
    <w:multiLevelType w:val="hybridMultilevel"/>
    <w:tmpl w:val="D5B06C1C"/>
    <w:lvl w:ilvl="0" w:tplc="9B1AB60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C0440"/>
    <w:multiLevelType w:val="hybridMultilevel"/>
    <w:tmpl w:val="807A52AC"/>
    <w:lvl w:ilvl="0" w:tplc="0D3AB93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06EA1"/>
    <w:multiLevelType w:val="hybridMultilevel"/>
    <w:tmpl w:val="882803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74D6"/>
    <w:multiLevelType w:val="hybridMultilevel"/>
    <w:tmpl w:val="139812CE"/>
    <w:lvl w:ilvl="0" w:tplc="B9C2CA8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A6957"/>
    <w:multiLevelType w:val="hybridMultilevel"/>
    <w:tmpl w:val="CE8A396C"/>
    <w:lvl w:ilvl="0" w:tplc="C34CD54E">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33684"/>
    <w:multiLevelType w:val="hybridMultilevel"/>
    <w:tmpl w:val="2B163482"/>
    <w:lvl w:ilvl="0" w:tplc="1D3E5562">
      <w:start w:val="1"/>
      <w:numFmt w:val="bullet"/>
      <w:lvlText w:val=""/>
      <w:lvlJc w:val="left"/>
      <w:pPr>
        <w:ind w:left="360" w:hanging="24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E6639"/>
    <w:multiLevelType w:val="hybridMultilevel"/>
    <w:tmpl w:val="954892A6"/>
    <w:lvl w:ilvl="0" w:tplc="77E60E50">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0E2DA2"/>
    <w:multiLevelType w:val="multilevel"/>
    <w:tmpl w:val="529E0678"/>
    <w:lvl w:ilvl="0">
      <w:start w:val="1"/>
      <w:numFmt w:val="decimal"/>
      <w:lvlRestart w:val="0"/>
      <w:isLgl/>
      <w:lvlText w:val="%1"/>
      <w:lvlJc w:val="left"/>
      <w:pPr>
        <w:tabs>
          <w:tab w:val="num" w:pos="0"/>
        </w:tabs>
        <w:ind w:left="0" w:hanging="1134"/>
      </w:pPr>
      <w:rPr>
        <w:rFonts w:ascii="Arial" w:hAnsi="Arial" w:cs="Arial"/>
        <w:b w:val="0"/>
        <w:color w:val="80A1B6"/>
        <w:sz w:val="48"/>
      </w:rPr>
    </w:lvl>
    <w:lvl w:ilvl="1">
      <w:start w:val="1"/>
      <w:numFmt w:val="decimal"/>
      <w:isLgl/>
      <w:lvlText w:val="%1.%2"/>
      <w:lvlJc w:val="left"/>
      <w:pPr>
        <w:tabs>
          <w:tab w:val="num" w:pos="0"/>
        </w:tabs>
        <w:ind w:left="0" w:hanging="1134"/>
      </w:pPr>
      <w:rPr>
        <w:rFonts w:ascii="Arial" w:hAnsi="Arial" w:cs="Arial"/>
        <w:b w:val="0"/>
        <w:color w:val="000000"/>
        <w:sz w:val="20"/>
      </w:rPr>
    </w:lvl>
    <w:lvl w:ilvl="2">
      <w:start w:val="1"/>
      <w:numFmt w:val="decimal"/>
      <w:isLgl/>
      <w:lvlText w:val="%1.%2.%3"/>
      <w:lvlJc w:val="left"/>
      <w:pPr>
        <w:tabs>
          <w:tab w:val="num" w:pos="0"/>
        </w:tabs>
        <w:ind w:left="0" w:hanging="1134"/>
      </w:pPr>
      <w:rPr>
        <w:rFonts w:ascii="Arial" w:hAnsi="Arial" w:cs="Arial"/>
        <w:b w:val="0"/>
        <w:color w:val="000000"/>
        <w:sz w:val="20"/>
      </w:rPr>
    </w:lvl>
    <w:lvl w:ilvl="3">
      <w:start w:val="1"/>
      <w:numFmt w:val="none"/>
      <w:suff w:val="nothing"/>
      <w:lvlText w:val=""/>
      <w:lvlJc w:val="left"/>
      <w:pPr>
        <w:ind w:left="1009" w:hanging="442"/>
      </w:pPr>
    </w:lvl>
    <w:lvl w:ilvl="4">
      <w:start w:val="1"/>
      <w:numFmt w:val="none"/>
      <w:suff w:val="nothing"/>
      <w:lvlText w:val=""/>
      <w:lvlJc w:val="left"/>
      <w:pPr>
        <w:ind w:left="1009" w:hanging="442"/>
      </w:pPr>
    </w:lvl>
    <w:lvl w:ilvl="5">
      <w:start w:val="1"/>
      <w:numFmt w:val="none"/>
      <w:suff w:val="nothing"/>
      <w:lvlText w:val=""/>
      <w:lvlJc w:val="left"/>
      <w:pPr>
        <w:ind w:left="1009" w:hanging="442"/>
      </w:pPr>
    </w:lvl>
    <w:lvl w:ilvl="6">
      <w:start w:val="1"/>
      <w:numFmt w:val="none"/>
      <w:suff w:val="nothing"/>
      <w:lvlText w:val=""/>
      <w:lvlJc w:val="left"/>
      <w:pPr>
        <w:ind w:left="1009" w:hanging="442"/>
      </w:pPr>
    </w:lvl>
    <w:lvl w:ilvl="7">
      <w:start w:val="1"/>
      <w:numFmt w:val="none"/>
      <w:suff w:val="nothing"/>
      <w:lvlText w:val=""/>
      <w:lvlJc w:val="left"/>
      <w:pPr>
        <w:ind w:left="1009" w:hanging="442"/>
      </w:pPr>
    </w:lvl>
    <w:lvl w:ilvl="8">
      <w:start w:val="1"/>
      <w:numFmt w:val="none"/>
      <w:suff w:val="nothing"/>
      <w:lvlText w:val=""/>
      <w:lvlJc w:val="left"/>
      <w:pPr>
        <w:ind w:left="1009" w:hanging="442"/>
      </w:pPr>
    </w:lvl>
  </w:abstractNum>
  <w:abstractNum w:abstractNumId="20" w15:restartNumberingAfterBreak="0">
    <w:nsid w:val="40AB1711"/>
    <w:multiLevelType w:val="hybridMultilevel"/>
    <w:tmpl w:val="87B8FE9E"/>
    <w:lvl w:ilvl="0" w:tplc="90DCF58C">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D3C30"/>
    <w:multiLevelType w:val="hybridMultilevel"/>
    <w:tmpl w:val="94B2DD12"/>
    <w:lvl w:ilvl="0" w:tplc="37C020E6">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7F09BB"/>
    <w:multiLevelType w:val="hybridMultilevel"/>
    <w:tmpl w:val="0C021830"/>
    <w:lvl w:ilvl="0" w:tplc="D572F5D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14C74"/>
    <w:multiLevelType w:val="hybridMultilevel"/>
    <w:tmpl w:val="67B88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BB28BC"/>
    <w:multiLevelType w:val="hybridMultilevel"/>
    <w:tmpl w:val="7F3E0E6A"/>
    <w:lvl w:ilvl="0" w:tplc="360A93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33ECF"/>
    <w:multiLevelType w:val="hybridMultilevel"/>
    <w:tmpl w:val="BD226604"/>
    <w:lvl w:ilvl="0" w:tplc="53266A98">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56A95"/>
    <w:multiLevelType w:val="hybridMultilevel"/>
    <w:tmpl w:val="F70ACACE"/>
    <w:lvl w:ilvl="0" w:tplc="7A488716">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8456C"/>
    <w:multiLevelType w:val="hybridMultilevel"/>
    <w:tmpl w:val="7A9075D8"/>
    <w:lvl w:ilvl="0" w:tplc="72B05B50">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C1C03"/>
    <w:multiLevelType w:val="hybridMultilevel"/>
    <w:tmpl w:val="C4F8EEE4"/>
    <w:lvl w:ilvl="0" w:tplc="ADDAF438">
      <w:numFmt w:val="bullet"/>
      <w:lvlText w:val="-"/>
      <w:lvlJc w:val="left"/>
      <w:pPr>
        <w:ind w:left="680" w:hanging="340"/>
      </w:pPr>
      <w:rPr>
        <w:rFonts w:ascii="Arial" w:eastAsia="Times New Roman" w:hAnsi="Aria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46E37CC"/>
    <w:multiLevelType w:val="hybridMultilevel"/>
    <w:tmpl w:val="544AF34C"/>
    <w:lvl w:ilvl="0" w:tplc="0C42880A">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C50A3"/>
    <w:multiLevelType w:val="hybridMultilevel"/>
    <w:tmpl w:val="5F8CE230"/>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D2C04"/>
    <w:multiLevelType w:val="hybridMultilevel"/>
    <w:tmpl w:val="4F3C1084"/>
    <w:lvl w:ilvl="0" w:tplc="98EC3838">
      <w:numFmt w:val="bullet"/>
      <w:lvlText w:val="-"/>
      <w:lvlJc w:val="left"/>
      <w:pPr>
        <w:ind w:left="567" w:hanging="227"/>
      </w:pPr>
      <w:rPr>
        <w:rFonts w:ascii="Arial" w:eastAsia="Times New Roman" w:hAnsi="Arial" w:hint="default"/>
        <w:color w:val="0070C0"/>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578F4F2B"/>
    <w:multiLevelType w:val="hybridMultilevel"/>
    <w:tmpl w:val="10282166"/>
    <w:lvl w:ilvl="0" w:tplc="78FAB054">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F6E35"/>
    <w:multiLevelType w:val="hybridMultilevel"/>
    <w:tmpl w:val="BC78E0EC"/>
    <w:lvl w:ilvl="0" w:tplc="C9A0A920">
      <w:start w:val="1"/>
      <w:numFmt w:val="bullet"/>
      <w:lvlText w:val=""/>
      <w:lvlJc w:val="left"/>
      <w:pPr>
        <w:ind w:left="340" w:hanging="227"/>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D6A81"/>
    <w:multiLevelType w:val="hybridMultilevel"/>
    <w:tmpl w:val="70F03F9A"/>
    <w:lvl w:ilvl="0" w:tplc="5A3C01B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82864"/>
    <w:multiLevelType w:val="hybridMultilevel"/>
    <w:tmpl w:val="8BACCAC6"/>
    <w:lvl w:ilvl="0" w:tplc="A7D6576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05E9B"/>
    <w:multiLevelType w:val="hybridMultilevel"/>
    <w:tmpl w:val="6918389C"/>
    <w:lvl w:ilvl="0" w:tplc="E2B851E0">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34784"/>
    <w:multiLevelType w:val="hybridMultilevel"/>
    <w:tmpl w:val="598A9676"/>
    <w:lvl w:ilvl="0" w:tplc="D3B665F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EC84AA5"/>
    <w:multiLevelType w:val="hybridMultilevel"/>
    <w:tmpl w:val="BE4A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42711F"/>
    <w:multiLevelType w:val="hybridMultilevel"/>
    <w:tmpl w:val="1AE4FA2E"/>
    <w:lvl w:ilvl="0" w:tplc="6972ADE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974BE"/>
    <w:multiLevelType w:val="hybridMultilevel"/>
    <w:tmpl w:val="F8EAABB2"/>
    <w:lvl w:ilvl="0" w:tplc="51767F66">
      <w:start w:val="1"/>
      <w:numFmt w:val="bullet"/>
      <w:lvlText w:val=""/>
      <w:lvlJc w:val="left"/>
      <w:pPr>
        <w:ind w:left="340" w:hanging="34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57253"/>
    <w:multiLevelType w:val="hybridMultilevel"/>
    <w:tmpl w:val="4B3E13EC"/>
    <w:lvl w:ilvl="0" w:tplc="8D50C9CC">
      <w:start w:val="1"/>
      <w:numFmt w:val="bullet"/>
      <w:lvlText w:val=""/>
      <w:lvlJc w:val="left"/>
      <w:pPr>
        <w:ind w:left="340" w:hanging="34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71F58"/>
    <w:multiLevelType w:val="hybridMultilevel"/>
    <w:tmpl w:val="CE1229B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7937174C"/>
    <w:multiLevelType w:val="hybridMultilevel"/>
    <w:tmpl w:val="144CF328"/>
    <w:lvl w:ilvl="0" w:tplc="F2C055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2032A2"/>
    <w:multiLevelType w:val="multilevel"/>
    <w:tmpl w:val="B5B20384"/>
    <w:lvl w:ilvl="0">
      <w:start w:val="1"/>
      <w:numFmt w:val="decimal"/>
      <w:lvlText w:val="%1."/>
      <w:lvlJc w:val="center"/>
      <w:pPr>
        <w:ind w:left="340" w:hanging="340"/>
      </w:pPr>
      <w:rPr>
        <w:rFonts w:hint="default"/>
      </w:rPr>
    </w:lvl>
    <w:lvl w:ilvl="1">
      <w:start w:val="15"/>
      <w:numFmt w:val="decimal"/>
      <w:isLgl/>
      <w:lvlText w:val="%1.%2."/>
      <w:lvlJc w:val="left"/>
      <w:pPr>
        <w:ind w:left="504" w:hanging="50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19"/>
  </w:num>
  <w:num w:numId="2">
    <w:abstractNumId w:val="38"/>
  </w:num>
  <w:num w:numId="3">
    <w:abstractNumId w:val="34"/>
  </w:num>
  <w:num w:numId="4">
    <w:abstractNumId w:val="12"/>
  </w:num>
  <w:num w:numId="5">
    <w:abstractNumId w:val="30"/>
  </w:num>
  <w:num w:numId="6">
    <w:abstractNumId w:val="29"/>
  </w:num>
  <w:num w:numId="7">
    <w:abstractNumId w:val="24"/>
  </w:num>
  <w:num w:numId="8">
    <w:abstractNumId w:val="0"/>
  </w:num>
  <w:num w:numId="9">
    <w:abstractNumId w:val="18"/>
  </w:num>
  <w:num w:numId="10">
    <w:abstractNumId w:val="6"/>
  </w:num>
  <w:num w:numId="11">
    <w:abstractNumId w:val="39"/>
  </w:num>
  <w:num w:numId="12">
    <w:abstractNumId w:val="13"/>
  </w:num>
  <w:num w:numId="13">
    <w:abstractNumId w:val="43"/>
  </w:num>
  <w:num w:numId="14">
    <w:abstractNumId w:val="25"/>
  </w:num>
  <w:num w:numId="15">
    <w:abstractNumId w:val="21"/>
  </w:num>
  <w:num w:numId="16">
    <w:abstractNumId w:val="35"/>
  </w:num>
  <w:num w:numId="17">
    <w:abstractNumId w:val="15"/>
  </w:num>
  <w:num w:numId="18">
    <w:abstractNumId w:val="23"/>
  </w:num>
  <w:num w:numId="19">
    <w:abstractNumId w:val="9"/>
  </w:num>
  <w:num w:numId="20">
    <w:abstractNumId w:val="8"/>
  </w:num>
  <w:num w:numId="21">
    <w:abstractNumId w:val="37"/>
  </w:num>
  <w:num w:numId="22">
    <w:abstractNumId w:val="10"/>
  </w:num>
  <w:num w:numId="23">
    <w:abstractNumId w:val="17"/>
  </w:num>
  <w:num w:numId="24">
    <w:abstractNumId w:val="1"/>
  </w:num>
  <w:num w:numId="25">
    <w:abstractNumId w:val="31"/>
  </w:num>
  <w:num w:numId="26">
    <w:abstractNumId w:val="33"/>
  </w:num>
  <w:num w:numId="27">
    <w:abstractNumId w:val="20"/>
  </w:num>
  <w:num w:numId="28">
    <w:abstractNumId w:val="36"/>
  </w:num>
  <w:num w:numId="29">
    <w:abstractNumId w:val="32"/>
  </w:num>
  <w:num w:numId="30">
    <w:abstractNumId w:val="28"/>
  </w:num>
  <w:num w:numId="31">
    <w:abstractNumId w:val="14"/>
  </w:num>
  <w:num w:numId="32">
    <w:abstractNumId w:val="11"/>
  </w:num>
  <w:num w:numId="33">
    <w:abstractNumId w:val="40"/>
  </w:num>
  <w:num w:numId="34">
    <w:abstractNumId w:val="41"/>
  </w:num>
  <w:num w:numId="35">
    <w:abstractNumId w:val="7"/>
  </w:num>
  <w:num w:numId="36">
    <w:abstractNumId w:val="26"/>
  </w:num>
  <w:num w:numId="37">
    <w:abstractNumId w:val="27"/>
  </w:num>
  <w:num w:numId="38">
    <w:abstractNumId w:val="22"/>
  </w:num>
  <w:num w:numId="39">
    <w:abstractNumId w:val="5"/>
  </w:num>
  <w:num w:numId="40">
    <w:abstractNumId w:val="2"/>
  </w:num>
  <w:num w:numId="41">
    <w:abstractNumId w:val="44"/>
  </w:num>
  <w:num w:numId="42">
    <w:abstractNumId w:val="16"/>
  </w:num>
  <w:num w:numId="43">
    <w:abstractNumId w:val="4"/>
  </w:num>
  <w:num w:numId="44">
    <w:abstractNumId w:val="4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38E1"/>
    <w:rsid w:val="0001000E"/>
    <w:rsid w:val="0002294E"/>
    <w:rsid w:val="00024F00"/>
    <w:rsid w:val="000250CC"/>
    <w:rsid w:val="00033C1B"/>
    <w:rsid w:val="000525F5"/>
    <w:rsid w:val="00056F04"/>
    <w:rsid w:val="00066620"/>
    <w:rsid w:val="000757F4"/>
    <w:rsid w:val="00077EBE"/>
    <w:rsid w:val="00081476"/>
    <w:rsid w:val="00085842"/>
    <w:rsid w:val="00086022"/>
    <w:rsid w:val="000979C4"/>
    <w:rsid w:val="000A4E3E"/>
    <w:rsid w:val="000B021F"/>
    <w:rsid w:val="000B06D7"/>
    <w:rsid w:val="000C5649"/>
    <w:rsid w:val="000C79A5"/>
    <w:rsid w:val="000D5EA2"/>
    <w:rsid w:val="000E16B9"/>
    <w:rsid w:val="0010693B"/>
    <w:rsid w:val="0012661D"/>
    <w:rsid w:val="00140A8B"/>
    <w:rsid w:val="00141AD3"/>
    <w:rsid w:val="00164336"/>
    <w:rsid w:val="001703C7"/>
    <w:rsid w:val="001707A4"/>
    <w:rsid w:val="00170C0C"/>
    <w:rsid w:val="001719A0"/>
    <w:rsid w:val="0018576E"/>
    <w:rsid w:val="001913E5"/>
    <w:rsid w:val="001944F2"/>
    <w:rsid w:val="0019538C"/>
    <w:rsid w:val="00197CB7"/>
    <w:rsid w:val="001A129D"/>
    <w:rsid w:val="001A1984"/>
    <w:rsid w:val="001B27AF"/>
    <w:rsid w:val="001C2CAF"/>
    <w:rsid w:val="001C7C6A"/>
    <w:rsid w:val="001E21A8"/>
    <w:rsid w:val="001F18C8"/>
    <w:rsid w:val="001F405F"/>
    <w:rsid w:val="001F66ED"/>
    <w:rsid w:val="00201367"/>
    <w:rsid w:val="00202643"/>
    <w:rsid w:val="00205DE6"/>
    <w:rsid w:val="0020713C"/>
    <w:rsid w:val="002146EA"/>
    <w:rsid w:val="00215F01"/>
    <w:rsid w:val="00216A63"/>
    <w:rsid w:val="0021706D"/>
    <w:rsid w:val="00222FCD"/>
    <w:rsid w:val="00227004"/>
    <w:rsid w:val="00230229"/>
    <w:rsid w:val="0023500A"/>
    <w:rsid w:val="00252955"/>
    <w:rsid w:val="00252A19"/>
    <w:rsid w:val="00254927"/>
    <w:rsid w:val="0025604B"/>
    <w:rsid w:val="0026664D"/>
    <w:rsid w:val="00267781"/>
    <w:rsid w:val="00277935"/>
    <w:rsid w:val="00286652"/>
    <w:rsid w:val="0028686F"/>
    <w:rsid w:val="002900BB"/>
    <w:rsid w:val="002967DB"/>
    <w:rsid w:val="002A13B8"/>
    <w:rsid w:val="002B0BC6"/>
    <w:rsid w:val="002B15FF"/>
    <w:rsid w:val="002B6022"/>
    <w:rsid w:val="002D03E4"/>
    <w:rsid w:val="002E173C"/>
    <w:rsid w:val="002E5D25"/>
    <w:rsid w:val="002E5E1D"/>
    <w:rsid w:val="002F395B"/>
    <w:rsid w:val="003025B9"/>
    <w:rsid w:val="00303D19"/>
    <w:rsid w:val="00305B97"/>
    <w:rsid w:val="00316222"/>
    <w:rsid w:val="003234A2"/>
    <w:rsid w:val="00324712"/>
    <w:rsid w:val="00327226"/>
    <w:rsid w:val="003301CE"/>
    <w:rsid w:val="003332E9"/>
    <w:rsid w:val="003474FA"/>
    <w:rsid w:val="003540DB"/>
    <w:rsid w:val="00391BF8"/>
    <w:rsid w:val="00393D13"/>
    <w:rsid w:val="00397383"/>
    <w:rsid w:val="003A0727"/>
    <w:rsid w:val="003A71CB"/>
    <w:rsid w:val="003B2BCA"/>
    <w:rsid w:val="003F72F1"/>
    <w:rsid w:val="00403E8F"/>
    <w:rsid w:val="00415FC4"/>
    <w:rsid w:val="0042382D"/>
    <w:rsid w:val="004243DC"/>
    <w:rsid w:val="0043684E"/>
    <w:rsid w:val="00447EEF"/>
    <w:rsid w:val="00461529"/>
    <w:rsid w:val="0046198A"/>
    <w:rsid w:val="00464762"/>
    <w:rsid w:val="004676AB"/>
    <w:rsid w:val="00473656"/>
    <w:rsid w:val="00484248"/>
    <w:rsid w:val="0048633C"/>
    <w:rsid w:val="00486F06"/>
    <w:rsid w:val="00487CC4"/>
    <w:rsid w:val="0049254B"/>
    <w:rsid w:val="00496703"/>
    <w:rsid w:val="004969CD"/>
    <w:rsid w:val="004974EC"/>
    <w:rsid w:val="004B21C7"/>
    <w:rsid w:val="004C1099"/>
    <w:rsid w:val="004C188F"/>
    <w:rsid w:val="004D17E4"/>
    <w:rsid w:val="00501A11"/>
    <w:rsid w:val="005148BB"/>
    <w:rsid w:val="005421C3"/>
    <w:rsid w:val="00542555"/>
    <w:rsid w:val="00542768"/>
    <w:rsid w:val="00545283"/>
    <w:rsid w:val="0054570B"/>
    <w:rsid w:val="005457C6"/>
    <w:rsid w:val="005531AD"/>
    <w:rsid w:val="00567A3F"/>
    <w:rsid w:val="005704BC"/>
    <w:rsid w:val="005A3F39"/>
    <w:rsid w:val="005A5B74"/>
    <w:rsid w:val="005B02CB"/>
    <w:rsid w:val="005B145C"/>
    <w:rsid w:val="005C0DEF"/>
    <w:rsid w:val="005C3293"/>
    <w:rsid w:val="005C6AD1"/>
    <w:rsid w:val="005D32EE"/>
    <w:rsid w:val="005E0E57"/>
    <w:rsid w:val="00601C66"/>
    <w:rsid w:val="00602E39"/>
    <w:rsid w:val="0060494A"/>
    <w:rsid w:val="006143A1"/>
    <w:rsid w:val="006149B7"/>
    <w:rsid w:val="0062444C"/>
    <w:rsid w:val="00631B88"/>
    <w:rsid w:val="006419D2"/>
    <w:rsid w:val="00641E05"/>
    <w:rsid w:val="0065147C"/>
    <w:rsid w:val="00657D8A"/>
    <w:rsid w:val="00663180"/>
    <w:rsid w:val="00667E55"/>
    <w:rsid w:val="0067360F"/>
    <w:rsid w:val="0068538C"/>
    <w:rsid w:val="00685929"/>
    <w:rsid w:val="006A05A0"/>
    <w:rsid w:val="006A41D9"/>
    <w:rsid w:val="006A4475"/>
    <w:rsid w:val="006A4EE7"/>
    <w:rsid w:val="006B4F74"/>
    <w:rsid w:val="006C77E9"/>
    <w:rsid w:val="006D2384"/>
    <w:rsid w:val="006D5800"/>
    <w:rsid w:val="006D624F"/>
    <w:rsid w:val="006E23C6"/>
    <w:rsid w:val="006E585A"/>
    <w:rsid w:val="006F1611"/>
    <w:rsid w:val="006F2F0E"/>
    <w:rsid w:val="0070491D"/>
    <w:rsid w:val="007054F7"/>
    <w:rsid w:val="007112D4"/>
    <w:rsid w:val="00712D73"/>
    <w:rsid w:val="00717B3E"/>
    <w:rsid w:val="00732239"/>
    <w:rsid w:val="0073320A"/>
    <w:rsid w:val="0073384B"/>
    <w:rsid w:val="00734128"/>
    <w:rsid w:val="00735156"/>
    <w:rsid w:val="0074067A"/>
    <w:rsid w:val="00743564"/>
    <w:rsid w:val="0075544D"/>
    <w:rsid w:val="007615F1"/>
    <w:rsid w:val="00775C29"/>
    <w:rsid w:val="00776DF7"/>
    <w:rsid w:val="00793A4C"/>
    <w:rsid w:val="007A679C"/>
    <w:rsid w:val="007A76F7"/>
    <w:rsid w:val="007B0787"/>
    <w:rsid w:val="007C19A0"/>
    <w:rsid w:val="007C7EB5"/>
    <w:rsid w:val="00812D7F"/>
    <w:rsid w:val="00815EC6"/>
    <w:rsid w:val="00832D07"/>
    <w:rsid w:val="0083451C"/>
    <w:rsid w:val="00834964"/>
    <w:rsid w:val="008458F3"/>
    <w:rsid w:val="00867A1A"/>
    <w:rsid w:val="00874F3F"/>
    <w:rsid w:val="00885E3D"/>
    <w:rsid w:val="00885FA0"/>
    <w:rsid w:val="00886B8D"/>
    <w:rsid w:val="008B7800"/>
    <w:rsid w:val="008C79BD"/>
    <w:rsid w:val="008C7C9A"/>
    <w:rsid w:val="008D4416"/>
    <w:rsid w:val="008F0E54"/>
    <w:rsid w:val="008F43B0"/>
    <w:rsid w:val="008F59D1"/>
    <w:rsid w:val="008F7104"/>
    <w:rsid w:val="00907BC7"/>
    <w:rsid w:val="0091306D"/>
    <w:rsid w:val="00922308"/>
    <w:rsid w:val="00927DC7"/>
    <w:rsid w:val="00931F30"/>
    <w:rsid w:val="0095455F"/>
    <w:rsid w:val="0095640A"/>
    <w:rsid w:val="0095784A"/>
    <w:rsid w:val="00963ADB"/>
    <w:rsid w:val="009653FB"/>
    <w:rsid w:val="00980383"/>
    <w:rsid w:val="009830C4"/>
    <w:rsid w:val="009865EE"/>
    <w:rsid w:val="00995582"/>
    <w:rsid w:val="009A0C14"/>
    <w:rsid w:val="009A2B88"/>
    <w:rsid w:val="009B1B55"/>
    <w:rsid w:val="009C541E"/>
    <w:rsid w:val="009F283D"/>
    <w:rsid w:val="00A00A6A"/>
    <w:rsid w:val="00A03FF1"/>
    <w:rsid w:val="00A066BE"/>
    <w:rsid w:val="00A14114"/>
    <w:rsid w:val="00A25F8B"/>
    <w:rsid w:val="00A37008"/>
    <w:rsid w:val="00A50015"/>
    <w:rsid w:val="00A5021A"/>
    <w:rsid w:val="00A56165"/>
    <w:rsid w:val="00A62606"/>
    <w:rsid w:val="00A62A5E"/>
    <w:rsid w:val="00A67595"/>
    <w:rsid w:val="00A76BD5"/>
    <w:rsid w:val="00A8031B"/>
    <w:rsid w:val="00A8114B"/>
    <w:rsid w:val="00A86B40"/>
    <w:rsid w:val="00A874D9"/>
    <w:rsid w:val="00A95CF8"/>
    <w:rsid w:val="00A96F18"/>
    <w:rsid w:val="00AA6FB0"/>
    <w:rsid w:val="00AA7212"/>
    <w:rsid w:val="00AB0CC0"/>
    <w:rsid w:val="00AB6AB4"/>
    <w:rsid w:val="00AC6971"/>
    <w:rsid w:val="00AE0D8D"/>
    <w:rsid w:val="00AE1E85"/>
    <w:rsid w:val="00AE5472"/>
    <w:rsid w:val="00AF3717"/>
    <w:rsid w:val="00B00ABB"/>
    <w:rsid w:val="00B22ED2"/>
    <w:rsid w:val="00B32D17"/>
    <w:rsid w:val="00B41F58"/>
    <w:rsid w:val="00B55BCF"/>
    <w:rsid w:val="00B63E23"/>
    <w:rsid w:val="00B67706"/>
    <w:rsid w:val="00B70BEF"/>
    <w:rsid w:val="00B7402A"/>
    <w:rsid w:val="00B80D2F"/>
    <w:rsid w:val="00B82EF8"/>
    <w:rsid w:val="00B90CD5"/>
    <w:rsid w:val="00B9360E"/>
    <w:rsid w:val="00BA1CB5"/>
    <w:rsid w:val="00BA50FA"/>
    <w:rsid w:val="00BA5857"/>
    <w:rsid w:val="00BD2A57"/>
    <w:rsid w:val="00BD6023"/>
    <w:rsid w:val="00BE11CE"/>
    <w:rsid w:val="00BE2A05"/>
    <w:rsid w:val="00BE44E6"/>
    <w:rsid w:val="00BF5CE2"/>
    <w:rsid w:val="00C14506"/>
    <w:rsid w:val="00C214F9"/>
    <w:rsid w:val="00C264B7"/>
    <w:rsid w:val="00C32D82"/>
    <w:rsid w:val="00C352F8"/>
    <w:rsid w:val="00C36A58"/>
    <w:rsid w:val="00C37FCD"/>
    <w:rsid w:val="00C41A66"/>
    <w:rsid w:val="00C42F76"/>
    <w:rsid w:val="00C517D2"/>
    <w:rsid w:val="00C51EFA"/>
    <w:rsid w:val="00C64DD6"/>
    <w:rsid w:val="00C67527"/>
    <w:rsid w:val="00C83D1A"/>
    <w:rsid w:val="00C9330D"/>
    <w:rsid w:val="00CA77CF"/>
    <w:rsid w:val="00CC0407"/>
    <w:rsid w:val="00CD3BA4"/>
    <w:rsid w:val="00CE33CC"/>
    <w:rsid w:val="00CE5BC0"/>
    <w:rsid w:val="00CE6131"/>
    <w:rsid w:val="00CE64A2"/>
    <w:rsid w:val="00CF0E28"/>
    <w:rsid w:val="00CF1732"/>
    <w:rsid w:val="00CF421B"/>
    <w:rsid w:val="00D00B16"/>
    <w:rsid w:val="00D141ED"/>
    <w:rsid w:val="00D26E5F"/>
    <w:rsid w:val="00D27B28"/>
    <w:rsid w:val="00D369B2"/>
    <w:rsid w:val="00D40DC1"/>
    <w:rsid w:val="00D45A87"/>
    <w:rsid w:val="00D5060C"/>
    <w:rsid w:val="00D52D63"/>
    <w:rsid w:val="00D55DFD"/>
    <w:rsid w:val="00D61F1E"/>
    <w:rsid w:val="00D62480"/>
    <w:rsid w:val="00D81321"/>
    <w:rsid w:val="00DA0925"/>
    <w:rsid w:val="00DA5F0A"/>
    <w:rsid w:val="00DB4132"/>
    <w:rsid w:val="00DB5E86"/>
    <w:rsid w:val="00DC4B07"/>
    <w:rsid w:val="00DD3C66"/>
    <w:rsid w:val="00DD7856"/>
    <w:rsid w:val="00DE330A"/>
    <w:rsid w:val="00E00E16"/>
    <w:rsid w:val="00E0470F"/>
    <w:rsid w:val="00E05F2D"/>
    <w:rsid w:val="00E1318A"/>
    <w:rsid w:val="00E24EC2"/>
    <w:rsid w:val="00E272A8"/>
    <w:rsid w:val="00E35384"/>
    <w:rsid w:val="00E4069E"/>
    <w:rsid w:val="00E417C4"/>
    <w:rsid w:val="00E54449"/>
    <w:rsid w:val="00E548AE"/>
    <w:rsid w:val="00E64C96"/>
    <w:rsid w:val="00E747B6"/>
    <w:rsid w:val="00E755DC"/>
    <w:rsid w:val="00E93CB0"/>
    <w:rsid w:val="00E96673"/>
    <w:rsid w:val="00EA0570"/>
    <w:rsid w:val="00EB0F29"/>
    <w:rsid w:val="00EB222A"/>
    <w:rsid w:val="00EC19BB"/>
    <w:rsid w:val="00EC3459"/>
    <w:rsid w:val="00ED0153"/>
    <w:rsid w:val="00ED1869"/>
    <w:rsid w:val="00ED4AEF"/>
    <w:rsid w:val="00EE09C9"/>
    <w:rsid w:val="00EE6582"/>
    <w:rsid w:val="00EF48D7"/>
    <w:rsid w:val="00F17A7B"/>
    <w:rsid w:val="00F32D5C"/>
    <w:rsid w:val="00F36125"/>
    <w:rsid w:val="00F6479A"/>
    <w:rsid w:val="00F65AF0"/>
    <w:rsid w:val="00F666E9"/>
    <w:rsid w:val="00F749AB"/>
    <w:rsid w:val="00F81AB1"/>
    <w:rsid w:val="00F87596"/>
    <w:rsid w:val="00F9406F"/>
    <w:rsid w:val="00FB0EB4"/>
    <w:rsid w:val="00FC5BA6"/>
    <w:rsid w:val="00FC644F"/>
    <w:rsid w:val="00FD4579"/>
    <w:rsid w:val="00FD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D0A71"/>
  <w15:docId w15:val="{98CC0C4E-F960-4303-9097-941C1CD1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q-AL"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rPr>
  </w:style>
  <w:style w:type="character" w:customStyle="1" w:styleId="FootnoteTextChar">
    <w:name w:val="Footnote Text Char"/>
    <w:link w:val="FootnoteText"/>
    <w:rsid w:val="00197CB7"/>
    <w:rPr>
      <w:rFonts w:ascii="Arial" w:eastAsia="Calibri" w:hAnsi="Arial"/>
      <w:lang w:val="sq-AL" w:eastAsia="en-US"/>
    </w:rPr>
  </w:style>
  <w:style w:type="character" w:styleId="FootnoteReference">
    <w:name w:val="footnote reference"/>
    <w:aliases w:val="ftref,Знак сноски-FN,16 Point,Superscript 6 Point,Footnote Reference Superscript,Footnote symbol,Footnote Reference Number,Footnote Reference_LVL6,Footnote Reference_LVL61,Footnote Reference_LVL62,Footnote Reference_LVL63,fr"/>
    <w:link w:val="CarattereCarattereCharCharCharCharCharCharZchn"/>
    <w:uiPriority w:val="99"/>
    <w:unhideWhenUsed/>
    <w:qFormat/>
    <w:rsid w:val="00197CB7"/>
    <w:rPr>
      <w:vertAlign w:val="superscript"/>
    </w:rPr>
  </w:style>
  <w:style w:type="paragraph" w:styleId="ListParagraph">
    <w:name w:val="List Paragraph"/>
    <w:basedOn w:val="Normal"/>
    <w:link w:val="ListParagraphChar"/>
    <w:uiPriority w:val="34"/>
    <w:qFormat/>
    <w:rsid w:val="00197CB7"/>
    <w:pPr>
      <w:spacing w:after="0"/>
      <w:ind w:left="720"/>
      <w:contextualSpacing/>
    </w:pPr>
    <w:rPr>
      <w:rFonts w:ascii="Arial" w:eastAsia="Calibri" w:hAnsi="Arial"/>
      <w:sz w:val="20"/>
    </w:rPr>
  </w:style>
  <w:style w:type="character" w:customStyle="1" w:styleId="ListParagraphChar">
    <w:name w:val="List Paragraph Char"/>
    <w:link w:val="ListParagraph"/>
    <w:uiPriority w:val="34"/>
    <w:rsid w:val="00197CB7"/>
    <w:rPr>
      <w:rFonts w:ascii="Arial" w:eastAsia="Calibri" w:hAnsi="Arial"/>
      <w:szCs w:val="22"/>
      <w:lang w:val="sq-AL"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0"/>
      </w:numPr>
      <w:spacing w:after="0" w:line="260" w:lineRule="exact"/>
    </w:pPr>
    <w:rPr>
      <w:rFonts w:ascii="Arial" w:hAnsi="Arial" w:cs="Arial"/>
      <w:sz w:val="20"/>
      <w:szCs w:val="24"/>
      <w:lang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rPr>
  </w:style>
  <w:style w:type="character" w:customStyle="1" w:styleId="BodyTextChar">
    <w:name w:val="Body Text Char"/>
    <w:link w:val="BodyText"/>
    <w:uiPriority w:val="1"/>
    <w:rsid w:val="000757F4"/>
    <w:rPr>
      <w:rFonts w:ascii="Times New Roman" w:hAnsi="Times New Roman"/>
      <w:sz w:val="24"/>
      <w:szCs w:val="24"/>
      <w:lang w:val="sq-AL"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eastAsia="en-GB"/>
    </w:rPr>
  </w:style>
  <w:style w:type="table" w:customStyle="1" w:styleId="GridTable1Light-Accent51">
    <w:name w:val="Grid Table 1 Light - Accent 51"/>
    <w:basedOn w:val="TableNormal"/>
    <w:uiPriority w:val="46"/>
    <w:rsid w:val="00170C0C"/>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719A0"/>
    <w:rPr>
      <w:sz w:val="16"/>
      <w:szCs w:val="16"/>
    </w:rPr>
  </w:style>
  <w:style w:type="paragraph" w:styleId="CommentText">
    <w:name w:val="annotation text"/>
    <w:basedOn w:val="Normal"/>
    <w:link w:val="CommentTextChar"/>
    <w:uiPriority w:val="99"/>
    <w:unhideWhenUsed/>
    <w:rsid w:val="001719A0"/>
    <w:pPr>
      <w:spacing w:line="240" w:lineRule="auto"/>
    </w:pPr>
    <w:rPr>
      <w:sz w:val="20"/>
      <w:szCs w:val="20"/>
    </w:rPr>
  </w:style>
  <w:style w:type="character" w:customStyle="1" w:styleId="CommentTextChar">
    <w:name w:val="Comment Text Char"/>
    <w:basedOn w:val="DefaultParagraphFont"/>
    <w:link w:val="CommentText"/>
    <w:uiPriority w:val="99"/>
    <w:rsid w:val="001719A0"/>
    <w:rPr>
      <w:lang w:eastAsia="en-US"/>
    </w:rPr>
  </w:style>
  <w:style w:type="paragraph" w:styleId="CommentSubject">
    <w:name w:val="annotation subject"/>
    <w:basedOn w:val="CommentText"/>
    <w:next w:val="CommentText"/>
    <w:link w:val="CommentSubjectChar"/>
    <w:uiPriority w:val="99"/>
    <w:semiHidden/>
    <w:unhideWhenUsed/>
    <w:rsid w:val="001719A0"/>
    <w:rPr>
      <w:b/>
      <w:bCs/>
    </w:rPr>
  </w:style>
  <w:style w:type="character" w:customStyle="1" w:styleId="CommentSubjectChar">
    <w:name w:val="Comment Subject Char"/>
    <w:basedOn w:val="CommentTextChar"/>
    <w:link w:val="CommentSubject"/>
    <w:uiPriority w:val="99"/>
    <w:semiHidden/>
    <w:rsid w:val="001719A0"/>
    <w:rPr>
      <w:b/>
      <w:bCs/>
      <w:lang w:eastAsia="en-US"/>
    </w:rPr>
  </w:style>
  <w:style w:type="paragraph" w:customStyle="1" w:styleId="ti-art">
    <w:name w:val="ti-art"/>
    <w:basedOn w:val="Normal"/>
    <w:rsid w:val="00641E05"/>
    <w:pPr>
      <w:spacing w:before="100" w:beforeAutospacing="1" w:after="100" w:afterAutospacing="1" w:line="240" w:lineRule="auto"/>
    </w:pPr>
    <w:rPr>
      <w:rFonts w:ascii="Times New Roman" w:hAnsi="Times New Roman"/>
      <w:sz w:val="24"/>
      <w:szCs w:val="24"/>
    </w:rPr>
  </w:style>
  <w:style w:type="paragraph" w:customStyle="1" w:styleId="sti-art">
    <w:name w:val="sti-art"/>
    <w:basedOn w:val="Normal"/>
    <w:rsid w:val="00641E05"/>
    <w:pPr>
      <w:spacing w:before="100" w:beforeAutospacing="1" w:after="100" w:afterAutospacing="1" w:line="240" w:lineRule="auto"/>
    </w:pPr>
    <w:rPr>
      <w:rFonts w:ascii="Times New Roman" w:hAnsi="Times New Roman"/>
      <w:sz w:val="24"/>
      <w:szCs w:val="24"/>
    </w:rPr>
  </w:style>
  <w:style w:type="paragraph" w:customStyle="1" w:styleId="Normal1">
    <w:name w:val="Normal1"/>
    <w:basedOn w:val="Normal"/>
    <w:rsid w:val="00641E05"/>
    <w:pPr>
      <w:spacing w:before="100" w:beforeAutospacing="1" w:after="100" w:afterAutospacing="1" w:line="240" w:lineRule="auto"/>
    </w:pPr>
    <w:rPr>
      <w:rFonts w:ascii="Times New Roman" w:hAnsi="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FD6587"/>
    <w:pPr>
      <w:spacing w:after="160" w:line="240" w:lineRule="exact"/>
      <w:jc w:val="both"/>
    </w:pPr>
    <w:rPr>
      <w:sz w:val="20"/>
      <w:szCs w:val="20"/>
      <w:vertAlign w:val="superscript"/>
      <w:lang w:eastAsia="en-GB"/>
    </w:rPr>
  </w:style>
  <w:style w:type="paragraph" w:styleId="Revision">
    <w:name w:val="Revision"/>
    <w:hidden/>
    <w:uiPriority w:val="99"/>
    <w:semiHidden/>
    <w:rsid w:val="000979C4"/>
    <w:rPr>
      <w:sz w:val="22"/>
      <w:szCs w:val="22"/>
      <w:lang w:eastAsia="en-US"/>
    </w:rPr>
  </w:style>
  <w:style w:type="character" w:styleId="Hyperlink">
    <w:name w:val="Hyperlink"/>
    <w:basedOn w:val="DefaultParagraphFont"/>
    <w:uiPriority w:val="99"/>
    <w:unhideWhenUsed/>
    <w:rsid w:val="00ED01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52315">
      <w:bodyDiv w:val="1"/>
      <w:marLeft w:val="0"/>
      <w:marRight w:val="0"/>
      <w:marTop w:val="0"/>
      <w:marBottom w:val="0"/>
      <w:divBdr>
        <w:top w:val="none" w:sz="0" w:space="0" w:color="auto"/>
        <w:left w:val="none" w:sz="0" w:space="0" w:color="auto"/>
        <w:bottom w:val="none" w:sz="0" w:space="0" w:color="auto"/>
        <w:right w:val="none" w:sz="0" w:space="0" w:color="auto"/>
      </w:divBdr>
    </w:div>
    <w:div w:id="1008874122">
      <w:bodyDiv w:val="1"/>
      <w:marLeft w:val="0"/>
      <w:marRight w:val="0"/>
      <w:marTop w:val="0"/>
      <w:marBottom w:val="0"/>
      <w:divBdr>
        <w:top w:val="none" w:sz="0" w:space="0" w:color="auto"/>
        <w:left w:val="none" w:sz="0" w:space="0" w:color="auto"/>
        <w:bottom w:val="none" w:sz="0" w:space="0" w:color="auto"/>
        <w:right w:val="none" w:sz="0" w:space="0" w:color="auto"/>
      </w:divBdr>
    </w:div>
    <w:div w:id="1152798469">
      <w:bodyDiv w:val="1"/>
      <w:marLeft w:val="0"/>
      <w:marRight w:val="0"/>
      <w:marTop w:val="0"/>
      <w:marBottom w:val="0"/>
      <w:divBdr>
        <w:top w:val="none" w:sz="0" w:space="0" w:color="auto"/>
        <w:left w:val="none" w:sz="0" w:space="0" w:color="auto"/>
        <w:bottom w:val="none" w:sz="0" w:space="0" w:color="auto"/>
        <w:right w:val="none" w:sz="0" w:space="0" w:color="auto"/>
      </w:divBdr>
    </w:div>
    <w:div w:id="1280915220">
      <w:bodyDiv w:val="1"/>
      <w:marLeft w:val="0"/>
      <w:marRight w:val="0"/>
      <w:marTop w:val="0"/>
      <w:marBottom w:val="0"/>
      <w:divBdr>
        <w:top w:val="none" w:sz="0" w:space="0" w:color="auto"/>
        <w:left w:val="none" w:sz="0" w:space="0" w:color="auto"/>
        <w:bottom w:val="none" w:sz="0" w:space="0" w:color="auto"/>
        <w:right w:val="none" w:sz="0" w:space="0" w:color="auto"/>
      </w:divBdr>
    </w:div>
    <w:div w:id="1688289942">
      <w:bodyDiv w:val="1"/>
      <w:marLeft w:val="0"/>
      <w:marRight w:val="0"/>
      <w:marTop w:val="0"/>
      <w:marBottom w:val="0"/>
      <w:divBdr>
        <w:top w:val="none" w:sz="0" w:space="0" w:color="auto"/>
        <w:left w:val="none" w:sz="0" w:space="0" w:color="auto"/>
        <w:bottom w:val="none" w:sz="0" w:space="0" w:color="auto"/>
        <w:right w:val="none" w:sz="0" w:space="0" w:color="auto"/>
      </w:divBdr>
    </w:div>
    <w:div w:id="20134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iton.hetemi@fkee-rk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7F20-06C8-42EC-BFA7-C416AB17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2760</Words>
  <Characters>15737</Characters>
  <Application>Microsoft Office Word</Application>
  <DocSecurity>0</DocSecurity>
  <Lines>131</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17</cp:revision>
  <cp:lastPrinted>2015-01-05T12:29:00Z</cp:lastPrinted>
  <dcterms:created xsi:type="dcterms:W3CDTF">2024-07-24T08:12:00Z</dcterms:created>
  <dcterms:modified xsi:type="dcterms:W3CDTF">2024-10-23T13:08:00Z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4c9ef64369544290935f014c52442ed917863da3eb96945893a0cf1acb4a5472</vt:lpwstr>
  </property>
</Properties>
</file>