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D932C" w14:textId="77777777" w:rsidR="00FC644F" w:rsidRPr="002C1177" w:rsidRDefault="00170C0C" w:rsidP="00AB6F2C">
      <w:pPr>
        <w:pStyle w:val="Title"/>
        <w:pBdr>
          <w:bottom w:val="single" w:sz="8" w:space="0" w:color="5B9BD5"/>
        </w:pBdr>
        <w:spacing w:before="120" w:after="0" w:line="276" w:lineRule="auto"/>
        <w:jc w:val="center"/>
        <w:rPr>
          <w:rFonts w:ascii="Arial" w:hAnsi="Arial" w:cs="Arial"/>
          <w:sz w:val="36"/>
          <w:szCs w:val="36"/>
        </w:rPr>
      </w:pPr>
      <w:r>
        <w:rPr>
          <w:rFonts w:ascii="Arial" w:hAnsi="Arial"/>
          <w:sz w:val="36"/>
        </w:rPr>
        <w:t>Formulari i identifikimit të projektit (FIP): Sektori i Mjedisit</w:t>
      </w:r>
    </w:p>
    <w:p w14:paraId="5B13BCB9" w14:textId="77777777" w:rsidR="00DA5F0A" w:rsidRPr="002C1177" w:rsidRDefault="0074067A" w:rsidP="0074067A">
      <w:pPr>
        <w:pStyle w:val="Heading1"/>
        <w:spacing w:before="240" w:after="120"/>
        <w:jc w:val="center"/>
        <w:rPr>
          <w:rFonts w:ascii="Arial" w:hAnsi="Arial" w:cs="Arial"/>
          <w:color w:val="auto"/>
          <w:sz w:val="24"/>
          <w:szCs w:val="24"/>
        </w:rPr>
      </w:pPr>
      <w:r>
        <w:rPr>
          <w:rFonts w:ascii="Arial" w:hAnsi="Arial"/>
          <w:color w:val="auto"/>
          <w:sz w:val="24"/>
        </w:rPr>
        <w:t>Pjesa e parë</w:t>
      </w:r>
    </w:p>
    <w:p w14:paraId="1F3BF8D3" w14:textId="77777777" w:rsidR="0074067A" w:rsidRPr="002C1177" w:rsidRDefault="0074067A" w:rsidP="0074067A">
      <w:pPr>
        <w:pStyle w:val="ListParagraph"/>
        <w:numPr>
          <w:ilvl w:val="0"/>
          <w:numId w:val="41"/>
        </w:numPr>
        <w:spacing w:before="200" w:after="120"/>
        <w:rPr>
          <w:rFonts w:cs="Arial"/>
          <w:b/>
          <w:szCs w:val="20"/>
        </w:rPr>
      </w:pPr>
      <w:r>
        <w:rPr>
          <w:b/>
          <w:bCs/>
        </w:rPr>
        <w:t>INFORMACIONE TË PËRGJITHSHME</w:t>
      </w:r>
    </w:p>
    <w:tbl>
      <w:tblPr>
        <w:tblW w:w="4947" w:type="pct"/>
        <w:jc w:val="center"/>
        <w:tblLook w:val="01E0" w:firstRow="1" w:lastRow="1" w:firstColumn="1" w:lastColumn="1" w:noHBand="0" w:noVBand="0"/>
      </w:tblPr>
      <w:tblGrid>
        <w:gridCol w:w="3928"/>
        <w:gridCol w:w="5863"/>
      </w:tblGrid>
      <w:tr w:rsidR="007128F1" w:rsidRPr="002C1177" w14:paraId="0E09BC97" w14:textId="77777777" w:rsidTr="007128F1">
        <w:trPr>
          <w:trHeight w:val="346"/>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5AC5748B" w14:textId="09169B4E" w:rsidR="007128F1" w:rsidRPr="002C1177" w:rsidRDefault="00AA5B2E" w:rsidP="007128F1">
            <w:pPr>
              <w:spacing w:before="60" w:after="60" w:line="260" w:lineRule="atLeast"/>
              <w:rPr>
                <w:rFonts w:ascii="Arial" w:hAnsi="Arial" w:cs="Arial"/>
                <w:b/>
                <w:bCs/>
                <w:sz w:val="20"/>
                <w:szCs w:val="20"/>
              </w:rPr>
            </w:pPr>
            <w:r>
              <w:rPr>
                <w:rFonts w:ascii="Arial" w:hAnsi="Arial"/>
                <w:b/>
                <w:sz w:val="20"/>
              </w:rPr>
              <w:t>Titulli i projektit</w:t>
            </w:r>
          </w:p>
        </w:tc>
        <w:tc>
          <w:tcPr>
            <w:tcW w:w="2994" w:type="pct"/>
            <w:tcBorders>
              <w:top w:val="single" w:sz="4" w:space="0" w:color="auto"/>
              <w:left w:val="single" w:sz="4" w:space="0" w:color="auto"/>
              <w:bottom w:val="single" w:sz="4" w:space="0" w:color="auto"/>
              <w:right w:val="single" w:sz="4" w:space="0" w:color="auto"/>
            </w:tcBorders>
            <w:vAlign w:val="center"/>
          </w:tcPr>
          <w:p w14:paraId="6414D3AF" w14:textId="3497F688" w:rsidR="007128F1" w:rsidRPr="002C1177" w:rsidRDefault="00AA5B2E" w:rsidP="00AA5B2E">
            <w:pPr>
              <w:spacing w:before="60" w:after="60" w:line="260" w:lineRule="atLeast"/>
              <w:rPr>
                <w:rFonts w:ascii="Arial" w:hAnsi="Arial" w:cs="Arial"/>
                <w:sz w:val="20"/>
                <w:szCs w:val="20"/>
              </w:rPr>
            </w:pPr>
            <w:r>
              <w:rPr>
                <w:rFonts w:ascii="Arial" w:hAnsi="Arial"/>
                <w:sz w:val="20"/>
              </w:rPr>
              <w:t>Matësit</w:t>
            </w:r>
            <w:r w:rsidR="00B70655">
              <w:rPr>
                <w:rFonts w:ascii="Arial" w:hAnsi="Arial"/>
                <w:sz w:val="20"/>
              </w:rPr>
              <w:t xml:space="preserve"> inteligjent</w:t>
            </w:r>
            <w:r>
              <w:rPr>
                <w:rFonts w:ascii="Arial" w:hAnsi="Arial"/>
                <w:sz w:val="20"/>
              </w:rPr>
              <w:t>ë të ujit</w:t>
            </w:r>
            <w:r w:rsidR="00B70655">
              <w:rPr>
                <w:rFonts w:ascii="Arial" w:hAnsi="Arial"/>
                <w:sz w:val="20"/>
              </w:rPr>
              <w:t xml:space="preserve"> </w:t>
            </w:r>
            <w:r w:rsidR="00480AF4">
              <w:rPr>
                <w:rFonts w:ascii="Arial" w:hAnsi="Arial"/>
                <w:sz w:val="20"/>
              </w:rPr>
              <w:t>me efikasitet</w:t>
            </w:r>
            <w:r>
              <w:rPr>
                <w:rFonts w:ascii="Arial" w:hAnsi="Arial"/>
                <w:sz w:val="20"/>
              </w:rPr>
              <w:t xml:space="preserve"> të lartë në përdorimin e ujit për shtatë kompanitë rajonale të u</w:t>
            </w:r>
            <w:r w:rsidR="00480AF4">
              <w:rPr>
                <w:rFonts w:ascii="Arial" w:hAnsi="Arial"/>
                <w:sz w:val="20"/>
              </w:rPr>
              <w:t>jësjellësit</w:t>
            </w:r>
          </w:p>
        </w:tc>
      </w:tr>
      <w:tr w:rsidR="007128F1" w:rsidRPr="002C1177" w14:paraId="3303C58D" w14:textId="77777777" w:rsidTr="007128F1">
        <w:trPr>
          <w:trHeight w:val="330"/>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2694A26E" w14:textId="77777777" w:rsidR="007128F1" w:rsidRPr="002C1177" w:rsidRDefault="007128F1" w:rsidP="007128F1">
            <w:pPr>
              <w:spacing w:before="60" w:after="60" w:line="260" w:lineRule="atLeast"/>
              <w:rPr>
                <w:rFonts w:ascii="Arial" w:hAnsi="Arial" w:cs="Arial"/>
                <w:bCs/>
                <w:sz w:val="20"/>
                <w:szCs w:val="20"/>
              </w:rPr>
            </w:pPr>
            <w:r>
              <w:rPr>
                <w:rFonts w:ascii="Arial" w:hAnsi="Arial"/>
                <w:sz w:val="20"/>
              </w:rPr>
              <w:t>Sektori</w:t>
            </w:r>
          </w:p>
        </w:tc>
        <w:tc>
          <w:tcPr>
            <w:tcW w:w="2994" w:type="pct"/>
            <w:tcBorders>
              <w:top w:val="single" w:sz="4" w:space="0" w:color="auto"/>
              <w:left w:val="single" w:sz="4" w:space="0" w:color="auto"/>
              <w:bottom w:val="single" w:sz="4" w:space="0" w:color="auto"/>
              <w:right w:val="single" w:sz="4" w:space="0" w:color="auto"/>
            </w:tcBorders>
            <w:vAlign w:val="center"/>
          </w:tcPr>
          <w:p w14:paraId="2F282AEE" w14:textId="303E7D78" w:rsidR="007128F1" w:rsidRPr="002C1177" w:rsidRDefault="00480AF4" w:rsidP="007128F1">
            <w:pPr>
              <w:spacing w:before="60" w:after="60" w:line="260" w:lineRule="atLeast"/>
              <w:rPr>
                <w:rFonts w:ascii="Arial" w:hAnsi="Arial" w:cs="Arial"/>
                <w:sz w:val="20"/>
                <w:szCs w:val="20"/>
              </w:rPr>
            </w:pPr>
            <w:r>
              <w:rPr>
                <w:rFonts w:ascii="Arial" w:hAnsi="Arial"/>
                <w:sz w:val="20"/>
              </w:rPr>
              <w:t>Mjedisi dhe klima</w:t>
            </w:r>
          </w:p>
        </w:tc>
      </w:tr>
      <w:tr w:rsidR="007128F1" w:rsidRPr="002C1177" w14:paraId="34A82114" w14:textId="77777777" w:rsidTr="007128F1">
        <w:trPr>
          <w:trHeight w:val="330"/>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32BE8AF0" w14:textId="4350A327" w:rsidR="007128F1" w:rsidRPr="002C1177" w:rsidRDefault="007128F1" w:rsidP="00AA5B2E">
            <w:pPr>
              <w:spacing w:before="60" w:after="60" w:line="260" w:lineRule="atLeast"/>
              <w:rPr>
                <w:rFonts w:ascii="Arial" w:hAnsi="Arial" w:cs="Arial"/>
                <w:bCs/>
                <w:sz w:val="20"/>
                <w:szCs w:val="20"/>
              </w:rPr>
            </w:pPr>
            <w:r>
              <w:rPr>
                <w:rFonts w:ascii="Arial" w:hAnsi="Arial"/>
                <w:sz w:val="20"/>
              </w:rPr>
              <w:t>Nënsektori</w:t>
            </w:r>
          </w:p>
        </w:tc>
        <w:tc>
          <w:tcPr>
            <w:tcW w:w="2994" w:type="pct"/>
            <w:tcBorders>
              <w:top w:val="single" w:sz="4" w:space="0" w:color="auto"/>
              <w:left w:val="single" w:sz="4" w:space="0" w:color="auto"/>
              <w:bottom w:val="single" w:sz="4" w:space="0" w:color="auto"/>
              <w:right w:val="single" w:sz="4" w:space="0" w:color="auto"/>
            </w:tcBorders>
            <w:vAlign w:val="center"/>
          </w:tcPr>
          <w:p w14:paraId="52E4F56C" w14:textId="466BB357" w:rsidR="007128F1" w:rsidRPr="002C1177" w:rsidRDefault="00480AF4" w:rsidP="007128F1">
            <w:pPr>
              <w:spacing w:before="60" w:after="60" w:line="260" w:lineRule="atLeast"/>
              <w:rPr>
                <w:rFonts w:ascii="Arial" w:hAnsi="Arial" w:cs="Arial"/>
                <w:sz w:val="20"/>
                <w:szCs w:val="20"/>
              </w:rPr>
            </w:pPr>
            <w:r>
              <w:rPr>
                <w:rFonts w:ascii="Arial" w:hAnsi="Arial"/>
                <w:sz w:val="20"/>
              </w:rPr>
              <w:t>Projektet e furnizimit me ujë</w:t>
            </w:r>
          </w:p>
        </w:tc>
      </w:tr>
      <w:tr w:rsidR="007128F1" w:rsidRPr="002C1177" w14:paraId="4B817438" w14:textId="77777777" w:rsidTr="007128F1">
        <w:trPr>
          <w:trHeight w:val="330"/>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3109C4DF" w14:textId="77777777" w:rsidR="007128F1" w:rsidRPr="002C1177" w:rsidRDefault="007128F1" w:rsidP="007128F1">
            <w:pPr>
              <w:spacing w:before="60" w:after="60" w:line="260" w:lineRule="atLeast"/>
              <w:rPr>
                <w:rFonts w:ascii="Arial" w:hAnsi="Arial" w:cs="Arial"/>
                <w:bCs/>
                <w:sz w:val="20"/>
                <w:szCs w:val="20"/>
              </w:rPr>
            </w:pPr>
            <w:r>
              <w:rPr>
                <w:rFonts w:ascii="Arial" w:hAnsi="Arial"/>
                <w:sz w:val="20"/>
              </w:rPr>
              <w:t>Përfituesi/propozuesi kryesor i projektit:</w:t>
            </w:r>
          </w:p>
        </w:tc>
        <w:tc>
          <w:tcPr>
            <w:tcW w:w="2994" w:type="pct"/>
            <w:tcBorders>
              <w:top w:val="single" w:sz="4" w:space="0" w:color="auto"/>
              <w:left w:val="single" w:sz="4" w:space="0" w:color="auto"/>
              <w:bottom w:val="single" w:sz="4" w:space="0" w:color="auto"/>
              <w:right w:val="single" w:sz="4" w:space="0" w:color="auto"/>
            </w:tcBorders>
            <w:vAlign w:val="center"/>
          </w:tcPr>
          <w:p w14:paraId="5ED27939" w14:textId="2B160CA8" w:rsidR="007128F1" w:rsidRPr="002C1177" w:rsidRDefault="00480AF4" w:rsidP="007128F1">
            <w:pPr>
              <w:spacing w:before="60" w:after="60" w:line="260" w:lineRule="atLeast"/>
              <w:rPr>
                <w:rFonts w:ascii="Arial" w:hAnsi="Arial" w:cs="Arial"/>
                <w:sz w:val="20"/>
                <w:szCs w:val="20"/>
              </w:rPr>
            </w:pPr>
            <w:r>
              <w:rPr>
                <w:rFonts w:ascii="Arial" w:hAnsi="Arial"/>
                <w:sz w:val="20"/>
              </w:rPr>
              <w:t>Shtatë Kompani Rajonale të Ujësjellësit në Republikën e Kosovës</w:t>
            </w:r>
          </w:p>
        </w:tc>
      </w:tr>
      <w:tr w:rsidR="007128F1" w:rsidRPr="002C1177" w14:paraId="66403633" w14:textId="77777777" w:rsidTr="007128F1">
        <w:trPr>
          <w:trHeight w:val="330"/>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1F213D5D" w14:textId="77777777" w:rsidR="007128F1" w:rsidRPr="002C1177" w:rsidRDefault="007128F1" w:rsidP="007128F1">
            <w:pPr>
              <w:spacing w:before="60" w:after="60" w:line="260" w:lineRule="atLeast"/>
              <w:rPr>
                <w:rFonts w:ascii="Arial" w:hAnsi="Arial" w:cs="Arial"/>
                <w:bCs/>
                <w:sz w:val="20"/>
                <w:szCs w:val="20"/>
              </w:rPr>
            </w:pPr>
            <w:r>
              <w:rPr>
                <w:rFonts w:ascii="Arial" w:hAnsi="Arial"/>
                <w:sz w:val="20"/>
              </w:rPr>
              <w:t>Institucioni që është autor i propozimit të projektit</w:t>
            </w:r>
          </w:p>
        </w:tc>
        <w:tc>
          <w:tcPr>
            <w:tcW w:w="2994" w:type="pct"/>
            <w:tcBorders>
              <w:top w:val="single" w:sz="4" w:space="0" w:color="auto"/>
              <w:left w:val="single" w:sz="4" w:space="0" w:color="auto"/>
              <w:bottom w:val="single" w:sz="4" w:space="0" w:color="auto"/>
              <w:right w:val="single" w:sz="4" w:space="0" w:color="auto"/>
            </w:tcBorders>
            <w:vAlign w:val="center"/>
          </w:tcPr>
          <w:p w14:paraId="593BCD4F" w14:textId="292A70F2" w:rsidR="007128F1" w:rsidRPr="002C1177" w:rsidRDefault="00480AF4" w:rsidP="007128F1">
            <w:pPr>
              <w:spacing w:before="60" w:after="60" w:line="260" w:lineRule="atLeast"/>
              <w:rPr>
                <w:rFonts w:ascii="Arial" w:hAnsi="Arial" w:cs="Arial"/>
                <w:sz w:val="20"/>
                <w:szCs w:val="20"/>
              </w:rPr>
            </w:pPr>
            <w:r>
              <w:rPr>
                <w:rFonts w:ascii="Arial" w:hAnsi="Arial"/>
                <w:sz w:val="20"/>
              </w:rPr>
              <w:t>KRU Prishtina</w:t>
            </w:r>
          </w:p>
        </w:tc>
      </w:tr>
      <w:tr w:rsidR="007128F1" w:rsidRPr="002C1177" w14:paraId="5800CD90" w14:textId="77777777" w:rsidTr="007128F1">
        <w:trPr>
          <w:trHeight w:val="330"/>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486C2EF3" w14:textId="77777777" w:rsidR="007128F1" w:rsidRPr="002C1177" w:rsidRDefault="007128F1" w:rsidP="007128F1">
            <w:pPr>
              <w:spacing w:before="60" w:after="60" w:line="260" w:lineRule="atLeast"/>
              <w:rPr>
                <w:rFonts w:ascii="Arial" w:hAnsi="Arial" w:cs="Arial"/>
                <w:bCs/>
                <w:sz w:val="20"/>
                <w:szCs w:val="20"/>
              </w:rPr>
            </w:pPr>
            <w:r>
              <w:rPr>
                <w:rFonts w:ascii="Arial" w:hAnsi="Arial"/>
                <w:sz w:val="20"/>
              </w:rPr>
              <w:t>Vendndodhja/Harta</w:t>
            </w:r>
          </w:p>
        </w:tc>
        <w:tc>
          <w:tcPr>
            <w:tcW w:w="2994" w:type="pct"/>
            <w:tcBorders>
              <w:top w:val="single" w:sz="4" w:space="0" w:color="auto"/>
              <w:left w:val="single" w:sz="4" w:space="0" w:color="auto"/>
              <w:bottom w:val="single" w:sz="4" w:space="0" w:color="auto"/>
              <w:right w:val="single" w:sz="4" w:space="0" w:color="auto"/>
            </w:tcBorders>
            <w:vAlign w:val="center"/>
          </w:tcPr>
          <w:p w14:paraId="40630A05" w14:textId="77777777" w:rsidR="007128F1" w:rsidRPr="002C1177" w:rsidRDefault="00480AF4" w:rsidP="007128F1">
            <w:pPr>
              <w:spacing w:before="60" w:after="60" w:line="260" w:lineRule="atLeast"/>
              <w:rPr>
                <w:rFonts w:ascii="Arial" w:hAnsi="Arial" w:cs="Arial"/>
                <w:sz w:val="20"/>
                <w:szCs w:val="20"/>
              </w:rPr>
            </w:pPr>
            <w:r>
              <w:rPr>
                <w:rFonts w:ascii="Arial" w:hAnsi="Arial"/>
                <w:noProof/>
                <w:sz w:val="20"/>
                <w:lang w:val="en-US"/>
              </w:rPr>
              <w:drawing>
                <wp:inline distT="0" distB="0" distL="0" distR="0" wp14:anchorId="529D87FB" wp14:editId="48BA4692">
                  <wp:extent cx="3009900" cy="2478290"/>
                  <wp:effectExtent l="0" t="0" r="0" b="0"/>
                  <wp:docPr id="1973346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5646" cy="2483021"/>
                          </a:xfrm>
                          <a:prstGeom prst="rect">
                            <a:avLst/>
                          </a:prstGeom>
                          <a:noFill/>
                        </pic:spPr>
                      </pic:pic>
                    </a:graphicData>
                  </a:graphic>
                </wp:inline>
              </w:drawing>
            </w:r>
          </w:p>
          <w:p w14:paraId="635B7487" w14:textId="00335D08" w:rsidR="00B2275B" w:rsidRPr="002C1177" w:rsidRDefault="00B2275B" w:rsidP="007128F1">
            <w:pPr>
              <w:spacing w:before="60" w:after="60" w:line="260" w:lineRule="atLeast"/>
              <w:rPr>
                <w:rFonts w:ascii="Arial" w:hAnsi="Arial" w:cs="Arial"/>
                <w:sz w:val="20"/>
                <w:szCs w:val="20"/>
              </w:rPr>
            </w:pPr>
            <w:r>
              <w:rPr>
                <w:rFonts w:ascii="Arial" w:hAnsi="Arial"/>
                <w:sz w:val="20"/>
              </w:rPr>
              <w:t>Mbulimi me Shërbime të Ujësjellësit për 7 Kompani Rajonale të Ujësjellësit në Republikën e Kosovës:</w:t>
            </w:r>
          </w:p>
          <w:p w14:paraId="7951F3BF" w14:textId="583B54CB" w:rsidR="00B2275B" w:rsidRPr="002C1177" w:rsidRDefault="00073C20" w:rsidP="007128F1">
            <w:pPr>
              <w:spacing w:before="60" w:after="60" w:line="260" w:lineRule="atLeast"/>
              <w:rPr>
                <w:rFonts w:ascii="Arial" w:hAnsi="Arial" w:cs="Arial"/>
                <w:sz w:val="20"/>
                <w:szCs w:val="20"/>
              </w:rPr>
            </w:pPr>
            <w:r>
              <w:rPr>
                <w:rFonts w:ascii="Arial" w:hAnsi="Arial"/>
                <w:sz w:val="20"/>
              </w:rPr>
              <w:t>Kompanitë Rajonale të Ujësjellësit:  Prishtina, Hidromorava, Bifurkacioni, Radoniqi, HidroRegjioni Jugor, Hidrodrini, dhe Mitrovica</w:t>
            </w:r>
          </w:p>
        </w:tc>
      </w:tr>
      <w:tr w:rsidR="007128F1" w:rsidRPr="002C1177" w14:paraId="530ACC62" w14:textId="77777777" w:rsidTr="007128F1">
        <w:trPr>
          <w:trHeight w:val="330"/>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31DAEBCC" w14:textId="77777777" w:rsidR="007128F1" w:rsidRPr="002C1177" w:rsidRDefault="007128F1" w:rsidP="007128F1">
            <w:pPr>
              <w:spacing w:before="60" w:after="60" w:line="260" w:lineRule="atLeast"/>
              <w:rPr>
                <w:rFonts w:ascii="Arial" w:hAnsi="Arial" w:cs="Arial"/>
                <w:bCs/>
                <w:sz w:val="20"/>
                <w:szCs w:val="20"/>
              </w:rPr>
            </w:pPr>
            <w:r>
              <w:rPr>
                <w:rFonts w:ascii="Arial" w:hAnsi="Arial"/>
                <w:sz w:val="20"/>
              </w:rPr>
              <w:t>Investimi total i parashikuar:</w:t>
            </w:r>
          </w:p>
          <w:p w14:paraId="3694CCD3" w14:textId="77777777" w:rsidR="007128F1" w:rsidRPr="002C1177" w:rsidRDefault="007128F1" w:rsidP="007128F1">
            <w:pPr>
              <w:numPr>
                <w:ilvl w:val="0"/>
                <w:numId w:val="42"/>
              </w:numPr>
              <w:spacing w:before="60" w:after="60" w:line="260" w:lineRule="atLeast"/>
              <w:ind w:left="223" w:hanging="223"/>
              <w:rPr>
                <w:rFonts w:ascii="Arial" w:hAnsi="Arial" w:cs="Arial"/>
                <w:bCs/>
                <w:sz w:val="20"/>
                <w:szCs w:val="20"/>
              </w:rPr>
            </w:pPr>
            <w:r>
              <w:rPr>
                <w:rFonts w:ascii="Arial" w:hAnsi="Arial"/>
                <w:sz w:val="20"/>
              </w:rPr>
              <w:t xml:space="preserve">Aktivitetet përgatitore (dokumentacioni planifikues, dokumentacioni teknik, marrja e tokës etj.) </w:t>
            </w:r>
          </w:p>
          <w:p w14:paraId="05827AB8" w14:textId="77777777" w:rsidR="007128F1" w:rsidRPr="002C1177" w:rsidRDefault="007128F1" w:rsidP="007128F1">
            <w:pPr>
              <w:numPr>
                <w:ilvl w:val="0"/>
                <w:numId w:val="42"/>
              </w:numPr>
              <w:spacing w:before="60" w:after="60" w:line="260" w:lineRule="atLeast"/>
              <w:ind w:left="223" w:hanging="223"/>
              <w:rPr>
                <w:rFonts w:ascii="Arial" w:hAnsi="Arial" w:cs="Arial"/>
                <w:bCs/>
                <w:sz w:val="20"/>
                <w:szCs w:val="20"/>
              </w:rPr>
            </w:pPr>
            <w:r>
              <w:rPr>
                <w:rFonts w:ascii="Arial" w:hAnsi="Arial"/>
                <w:sz w:val="20"/>
              </w:rPr>
              <w:t>Punimet ndërtimore</w:t>
            </w:r>
          </w:p>
          <w:p w14:paraId="79AAA3EE" w14:textId="77777777" w:rsidR="007128F1" w:rsidRPr="002C1177" w:rsidRDefault="007128F1" w:rsidP="007128F1">
            <w:pPr>
              <w:numPr>
                <w:ilvl w:val="0"/>
                <w:numId w:val="42"/>
              </w:numPr>
              <w:spacing w:before="60" w:after="60" w:line="260" w:lineRule="atLeast"/>
              <w:ind w:left="223" w:hanging="223"/>
              <w:rPr>
                <w:rFonts w:ascii="Arial" w:hAnsi="Arial" w:cs="Arial"/>
                <w:bCs/>
                <w:sz w:val="20"/>
                <w:szCs w:val="20"/>
              </w:rPr>
            </w:pPr>
            <w:r>
              <w:rPr>
                <w:rFonts w:ascii="Arial" w:hAnsi="Arial"/>
                <w:sz w:val="20"/>
              </w:rPr>
              <w:t xml:space="preserve">Mbikëqyrja </w:t>
            </w:r>
          </w:p>
        </w:tc>
        <w:tc>
          <w:tcPr>
            <w:tcW w:w="2994" w:type="pct"/>
            <w:tcBorders>
              <w:top w:val="single" w:sz="4" w:space="0" w:color="auto"/>
              <w:left w:val="single" w:sz="4" w:space="0" w:color="auto"/>
              <w:bottom w:val="single" w:sz="4" w:space="0" w:color="auto"/>
              <w:right w:val="single" w:sz="4" w:space="0" w:color="auto"/>
            </w:tcBorders>
            <w:vAlign w:val="center"/>
          </w:tcPr>
          <w:p w14:paraId="06ED7FA7" w14:textId="2D169FCE" w:rsidR="00F50C49" w:rsidRPr="002C1177" w:rsidRDefault="00AB6F2C" w:rsidP="00F50C49">
            <w:pPr>
              <w:spacing w:before="60" w:after="60" w:line="260" w:lineRule="atLeast"/>
              <w:rPr>
                <w:rFonts w:ascii="Arial" w:hAnsi="Arial" w:cs="Arial"/>
                <w:bCs/>
                <w:sz w:val="20"/>
                <w:szCs w:val="20"/>
              </w:rPr>
            </w:pPr>
            <w:r>
              <w:rPr>
                <w:rFonts w:ascii="Arial" w:hAnsi="Arial"/>
                <w:sz w:val="20"/>
              </w:rPr>
              <w:t>Gjithsej investimi: 114,655,000 EUR duke përfshirë:</w:t>
            </w:r>
          </w:p>
          <w:p w14:paraId="6046DF17" w14:textId="5A978A0B" w:rsidR="00F50C49" w:rsidRPr="002C1177" w:rsidRDefault="00F50C49" w:rsidP="00F50C49">
            <w:pPr>
              <w:pStyle w:val="ListParagraph"/>
              <w:numPr>
                <w:ilvl w:val="0"/>
                <w:numId w:val="46"/>
              </w:numPr>
              <w:spacing w:before="60" w:after="60" w:line="260" w:lineRule="atLeast"/>
              <w:rPr>
                <w:rFonts w:cs="Arial"/>
                <w:bCs/>
                <w:szCs w:val="20"/>
              </w:rPr>
            </w:pPr>
            <w:r>
              <w:t>Shërbimet e Konsulencës për Studimin dhe Mbikëqyrjen e Fizibilitetit për shtatë KRU - shuma e parashikuar 4,500,000</w:t>
            </w:r>
          </w:p>
          <w:p w14:paraId="19E962C1" w14:textId="4CD24B66" w:rsidR="00F50C49" w:rsidRPr="00B276A2" w:rsidRDefault="00F50C49" w:rsidP="00B276A2">
            <w:pPr>
              <w:pStyle w:val="ListParagraph"/>
              <w:numPr>
                <w:ilvl w:val="0"/>
                <w:numId w:val="46"/>
              </w:numPr>
              <w:spacing w:before="60" w:after="60" w:line="260" w:lineRule="atLeast"/>
              <w:rPr>
                <w:rFonts w:cs="Arial"/>
                <w:bCs/>
                <w:szCs w:val="20"/>
              </w:rPr>
            </w:pPr>
            <w:r>
              <w:t>Furnizimi dhe puna ndërtimore: 498,500 ujëmatës inteligjentë me pajisjet e nevojshme dhe pajisjet e tjera përcjellëse (infrastruktura) - shuma e parashikuar 103,000,000</w:t>
            </w:r>
          </w:p>
          <w:p w14:paraId="225FDF6B" w14:textId="14BC0271" w:rsidR="00480AF4" w:rsidRPr="002C1177" w:rsidRDefault="00F50C49" w:rsidP="002C1177">
            <w:pPr>
              <w:pStyle w:val="ListParagraph"/>
              <w:numPr>
                <w:ilvl w:val="0"/>
                <w:numId w:val="46"/>
              </w:numPr>
              <w:spacing w:before="60" w:after="60" w:line="260" w:lineRule="atLeast"/>
              <w:rPr>
                <w:rFonts w:cs="Arial"/>
                <w:bCs/>
                <w:szCs w:val="20"/>
              </w:rPr>
            </w:pPr>
            <w:r>
              <w:t>Komponenti i softuerit dhe SCADA, trajnim mbi teknologjinë e ofruar - shuma e parashikuar 7,155,000.00</w:t>
            </w:r>
          </w:p>
        </w:tc>
      </w:tr>
      <w:tr w:rsidR="007128F1" w:rsidRPr="002C1177" w14:paraId="7B1A039E" w14:textId="77777777" w:rsidTr="007128F1">
        <w:trPr>
          <w:trHeight w:val="346"/>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604FB480" w14:textId="77777777" w:rsidR="007128F1" w:rsidRPr="002C1177" w:rsidRDefault="007128F1" w:rsidP="007128F1">
            <w:pPr>
              <w:spacing w:before="60" w:after="60" w:line="260" w:lineRule="atLeast"/>
              <w:rPr>
                <w:rFonts w:ascii="Arial" w:hAnsi="Arial" w:cs="Arial"/>
                <w:b/>
                <w:sz w:val="20"/>
                <w:szCs w:val="20"/>
              </w:rPr>
            </w:pPr>
            <w:r>
              <w:rPr>
                <w:rFonts w:ascii="Arial" w:hAnsi="Arial"/>
                <w:b/>
                <w:sz w:val="20"/>
              </w:rPr>
              <w:t>Personi përgjegjës ose i autorizuar për kontakt:</w:t>
            </w:r>
          </w:p>
        </w:tc>
        <w:tc>
          <w:tcPr>
            <w:tcW w:w="2994" w:type="pct"/>
            <w:tcBorders>
              <w:top w:val="single" w:sz="4" w:space="0" w:color="auto"/>
              <w:left w:val="single" w:sz="4" w:space="0" w:color="auto"/>
              <w:bottom w:val="single" w:sz="4" w:space="0" w:color="auto"/>
              <w:right w:val="single" w:sz="4" w:space="0" w:color="auto"/>
            </w:tcBorders>
            <w:shd w:val="clear" w:color="auto" w:fill="auto"/>
            <w:vAlign w:val="center"/>
          </w:tcPr>
          <w:p w14:paraId="6CCC77BA" w14:textId="223DE1E0" w:rsidR="007128F1" w:rsidRPr="00B30DD6" w:rsidRDefault="00B30DD6" w:rsidP="007128F1">
            <w:pPr>
              <w:spacing w:before="60" w:after="60" w:line="260" w:lineRule="atLeast"/>
              <w:rPr>
                <w:rFonts w:ascii="Arial" w:hAnsi="Arial" w:cs="Arial"/>
                <w:sz w:val="20"/>
                <w:szCs w:val="20"/>
              </w:rPr>
            </w:pPr>
            <w:r>
              <w:rPr>
                <w:rFonts w:ascii="Arial" w:hAnsi="Arial"/>
                <w:sz w:val="20"/>
              </w:rPr>
              <w:t>Anita Hajredini</w:t>
            </w:r>
          </w:p>
        </w:tc>
      </w:tr>
      <w:tr w:rsidR="007128F1" w:rsidRPr="002C1177" w14:paraId="5D3F5677" w14:textId="77777777" w:rsidTr="007128F1">
        <w:trPr>
          <w:trHeight w:val="346"/>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3009B7B7" w14:textId="77777777" w:rsidR="007128F1" w:rsidRPr="002C1177" w:rsidRDefault="007128F1" w:rsidP="007128F1">
            <w:pPr>
              <w:spacing w:before="60" w:after="60" w:line="260" w:lineRule="atLeast"/>
              <w:rPr>
                <w:rFonts w:ascii="Arial" w:hAnsi="Arial" w:cs="Arial"/>
                <w:bCs/>
                <w:sz w:val="20"/>
                <w:szCs w:val="20"/>
              </w:rPr>
            </w:pPr>
            <w:r>
              <w:rPr>
                <w:rFonts w:ascii="Arial" w:hAnsi="Arial"/>
                <w:sz w:val="20"/>
              </w:rPr>
              <w:t>Emri – Pozita:</w:t>
            </w:r>
          </w:p>
        </w:tc>
        <w:tc>
          <w:tcPr>
            <w:tcW w:w="2994" w:type="pct"/>
            <w:tcBorders>
              <w:top w:val="single" w:sz="4" w:space="0" w:color="auto"/>
              <w:left w:val="single" w:sz="4" w:space="0" w:color="auto"/>
              <w:bottom w:val="single" w:sz="4" w:space="0" w:color="auto"/>
              <w:right w:val="single" w:sz="4" w:space="0" w:color="auto"/>
            </w:tcBorders>
            <w:vAlign w:val="center"/>
          </w:tcPr>
          <w:p w14:paraId="7FD9AFEF" w14:textId="62FCF6C3" w:rsidR="007128F1" w:rsidRPr="002C1177" w:rsidRDefault="00480AF4" w:rsidP="007128F1">
            <w:pPr>
              <w:spacing w:before="60" w:after="60" w:line="260" w:lineRule="atLeast"/>
              <w:rPr>
                <w:rFonts w:ascii="Arial" w:hAnsi="Arial" w:cs="Arial"/>
                <w:sz w:val="20"/>
                <w:szCs w:val="20"/>
              </w:rPr>
            </w:pPr>
            <w:r>
              <w:rPr>
                <w:rFonts w:ascii="Arial" w:hAnsi="Arial"/>
                <w:sz w:val="20"/>
              </w:rPr>
              <w:t>Anita Hajredini - Koordinatore për Projekte Kapitale, KRU Prishtina</w:t>
            </w:r>
          </w:p>
        </w:tc>
      </w:tr>
      <w:tr w:rsidR="007128F1" w:rsidRPr="002C1177" w14:paraId="7BECC6D0" w14:textId="77777777" w:rsidTr="007128F1">
        <w:trPr>
          <w:trHeight w:val="346"/>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61E4E9C5" w14:textId="77777777" w:rsidR="007128F1" w:rsidRPr="002C1177" w:rsidRDefault="007128F1" w:rsidP="007128F1">
            <w:pPr>
              <w:spacing w:before="60" w:after="60" w:line="260" w:lineRule="atLeast"/>
              <w:rPr>
                <w:rFonts w:ascii="Arial" w:hAnsi="Arial" w:cs="Arial"/>
                <w:bCs/>
                <w:sz w:val="20"/>
                <w:szCs w:val="20"/>
              </w:rPr>
            </w:pPr>
            <w:r>
              <w:rPr>
                <w:rFonts w:ascii="Arial" w:hAnsi="Arial"/>
                <w:sz w:val="20"/>
              </w:rPr>
              <w:t>Adresa e emailit - Telefoni:</w:t>
            </w:r>
          </w:p>
        </w:tc>
        <w:tc>
          <w:tcPr>
            <w:tcW w:w="2994" w:type="pct"/>
            <w:tcBorders>
              <w:top w:val="single" w:sz="4" w:space="0" w:color="auto"/>
              <w:left w:val="single" w:sz="4" w:space="0" w:color="auto"/>
              <w:bottom w:val="single" w:sz="4" w:space="0" w:color="auto"/>
              <w:right w:val="single" w:sz="4" w:space="0" w:color="auto"/>
            </w:tcBorders>
            <w:vAlign w:val="center"/>
          </w:tcPr>
          <w:p w14:paraId="25E922E7" w14:textId="521395E8" w:rsidR="007128F1" w:rsidRPr="002C1177" w:rsidRDefault="00BA1539" w:rsidP="007128F1">
            <w:pPr>
              <w:spacing w:before="60" w:after="60" w:line="260" w:lineRule="atLeast"/>
              <w:rPr>
                <w:rFonts w:ascii="Arial" w:hAnsi="Arial" w:cs="Arial"/>
                <w:sz w:val="20"/>
                <w:szCs w:val="20"/>
              </w:rPr>
            </w:pPr>
            <w:r>
              <w:rPr>
                <w:rFonts w:ascii="Arial" w:hAnsi="Arial"/>
                <w:sz w:val="20"/>
              </w:rPr>
              <w:t>anita.hajredini@kru-prishtina.com</w:t>
            </w:r>
          </w:p>
        </w:tc>
      </w:tr>
    </w:tbl>
    <w:p w14:paraId="45942408" w14:textId="77777777" w:rsidR="0074067A" w:rsidRPr="002C1177" w:rsidRDefault="0074067A" w:rsidP="0074067A">
      <w:pPr>
        <w:pStyle w:val="ListParagraph"/>
        <w:spacing w:before="200" w:after="120"/>
        <w:ind w:left="340"/>
        <w:jc w:val="both"/>
        <w:rPr>
          <w:rFonts w:cs="Arial"/>
          <w:b/>
          <w:szCs w:val="20"/>
        </w:rPr>
      </w:pPr>
    </w:p>
    <w:p w14:paraId="5F371428" w14:textId="77777777" w:rsidR="0083451C" w:rsidRPr="002C1177" w:rsidRDefault="0074067A" w:rsidP="001C2CAF">
      <w:pPr>
        <w:pStyle w:val="ListParagraph"/>
        <w:numPr>
          <w:ilvl w:val="0"/>
          <w:numId w:val="41"/>
        </w:numPr>
        <w:spacing w:before="200" w:after="120"/>
        <w:jc w:val="both"/>
        <w:rPr>
          <w:rFonts w:cs="Arial"/>
          <w:b/>
          <w:szCs w:val="20"/>
        </w:rPr>
      </w:pPr>
      <w:r>
        <w:rPr>
          <w:b/>
        </w:rPr>
        <w:t>PËRSHKRIMI I PROJEKTIT</w:t>
      </w:r>
    </w:p>
    <w:tbl>
      <w:tblPr>
        <w:tblW w:w="4947" w:type="pct"/>
        <w:tblInd w:w="108" w:type="dxa"/>
        <w:tblLook w:val="01E0" w:firstRow="1" w:lastRow="1" w:firstColumn="1" w:lastColumn="1" w:noHBand="0" w:noVBand="0"/>
      </w:tblPr>
      <w:tblGrid>
        <w:gridCol w:w="3938"/>
        <w:gridCol w:w="5853"/>
      </w:tblGrid>
      <w:tr w:rsidR="007128F1" w:rsidRPr="002C1177" w14:paraId="0B2E7545" w14:textId="77777777" w:rsidTr="007128F1">
        <w:trPr>
          <w:trHeight w:val="346"/>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F0D26C9" w14:textId="77777777" w:rsidR="007128F1" w:rsidRPr="002C1177" w:rsidRDefault="007128F1" w:rsidP="007128F1">
            <w:pPr>
              <w:spacing w:before="60" w:after="60" w:line="260" w:lineRule="atLeast"/>
              <w:rPr>
                <w:rFonts w:ascii="Arial" w:hAnsi="Arial" w:cs="Arial"/>
                <w:bCs/>
                <w:sz w:val="20"/>
                <w:szCs w:val="20"/>
              </w:rPr>
            </w:pPr>
            <w:r>
              <w:rPr>
                <w:rFonts w:ascii="Arial" w:hAnsi="Arial"/>
                <w:sz w:val="20"/>
              </w:rPr>
              <w:lastRenderedPageBreak/>
              <w:t>Qëllimi i projektit infrastrukturor</w:t>
            </w:r>
          </w:p>
        </w:tc>
        <w:tc>
          <w:tcPr>
            <w:tcW w:w="2989" w:type="pct"/>
            <w:tcBorders>
              <w:top w:val="single" w:sz="4" w:space="0" w:color="auto"/>
              <w:left w:val="single" w:sz="4" w:space="0" w:color="auto"/>
              <w:bottom w:val="single" w:sz="4" w:space="0" w:color="auto"/>
              <w:right w:val="single" w:sz="4" w:space="0" w:color="auto"/>
            </w:tcBorders>
          </w:tcPr>
          <w:p w14:paraId="35456E36" w14:textId="77777777" w:rsidR="007128F1" w:rsidRPr="002C1177" w:rsidRDefault="00480AF4" w:rsidP="00480AF4">
            <w:pPr>
              <w:spacing w:before="60" w:after="60" w:line="260" w:lineRule="atLeast"/>
              <w:jc w:val="both"/>
              <w:rPr>
                <w:rFonts w:ascii="Arial" w:hAnsi="Arial" w:cs="Arial"/>
                <w:bCs/>
                <w:sz w:val="20"/>
                <w:szCs w:val="20"/>
              </w:rPr>
            </w:pPr>
            <w:r>
              <w:rPr>
                <w:rFonts w:ascii="Arial" w:hAnsi="Arial"/>
                <w:sz w:val="20"/>
              </w:rPr>
              <w:t>Objektivi i përgjithshëm i projektit është ofrimi i furnizimit me ujë të qëndrueshëm dhe efikas për konsumatorët, garantimi i qasjes në furnizim të sigurt me ujë për pije dhe kanalizime për popullatën, si dhe shfrytëzimi dhe menaxhimi optimal i burimeve ujore në dispozicion nga KRU që ofrojnë shërbime të tilla, në përputhje me praktikat dhe politikat e BE-së dhe politikat dhe strategjitë kombëtare.</w:t>
            </w:r>
          </w:p>
          <w:p w14:paraId="2E38E2BE" w14:textId="77777777" w:rsidR="00480AF4" w:rsidRPr="002C1177" w:rsidRDefault="00480AF4" w:rsidP="00480AF4">
            <w:pPr>
              <w:spacing w:before="60" w:after="60" w:line="260" w:lineRule="atLeast"/>
              <w:jc w:val="both"/>
              <w:rPr>
                <w:rFonts w:ascii="Arial" w:hAnsi="Arial" w:cs="Arial"/>
                <w:bCs/>
                <w:sz w:val="20"/>
                <w:szCs w:val="20"/>
              </w:rPr>
            </w:pPr>
            <w:r>
              <w:rPr>
                <w:rFonts w:ascii="Arial" w:hAnsi="Arial"/>
                <w:sz w:val="20"/>
              </w:rPr>
              <w:t xml:space="preserve">Sektori i shërbimeve të ujësjellësit në Republikën e Kosovës është i organizuar përmes shtatë Kompanive Rajonale të Ujësjellësit (KRU), të cilat ofrojnë shërbimin e furnizimit me ujë të pijes dhe kanalizimit në të shtatë regjionet e vendit të Kosovës. </w:t>
            </w:r>
          </w:p>
          <w:p w14:paraId="10E21211" w14:textId="14A1E43B" w:rsidR="005B2F5E" w:rsidRPr="002C1177" w:rsidRDefault="005B2F5E" w:rsidP="00480AF4">
            <w:pPr>
              <w:spacing w:before="60" w:after="60" w:line="260" w:lineRule="atLeast"/>
              <w:jc w:val="both"/>
              <w:rPr>
                <w:rFonts w:ascii="Arial" w:hAnsi="Arial" w:cs="Arial"/>
                <w:bCs/>
                <w:sz w:val="20"/>
                <w:szCs w:val="20"/>
              </w:rPr>
            </w:pPr>
            <w:r>
              <w:rPr>
                <w:rFonts w:ascii="Arial" w:hAnsi="Arial"/>
                <w:sz w:val="20"/>
              </w:rPr>
              <w:t>Burimet e pakta ujore që janë një nga çështjet më të rëndësishme jo vetëm për KRU-të, por edhe në nivel kombëtar, duhet të adresohen dhe miratohen. Furnizimi me ujë të pijes në vend për popullsinë dhe për KRU-të mbështetet kryesisht në rezervuarë akumulues, liqene artificiale, varësisht vetëm nga reshjet. Me ndryshimet klimatike të fundit, burimet ujore janë bërë problematike, veçanërisht në stinët e thatësirës, dhe në këtë rast, klientët përballen me mungesë uji nga 2-10 orë në ditë për të menaxhuar rezervat ujore. Disa nga KRU-të vitet e fundit kanë përjetuar mungesë kritike të ujit në liqenet e akumuluar gjatë stinëve të verës për shkak të mungesës së reshjeve të cilat kanë imponuar mungesa të mëdha të furnizimit me ujë për konsumatorët, viti 2013 është regjistruar si thatësira më kritike.</w:t>
            </w:r>
          </w:p>
          <w:p w14:paraId="575F60A6" w14:textId="4292C192" w:rsidR="00480AF4" w:rsidRPr="002C1177" w:rsidRDefault="00480AF4" w:rsidP="00480AF4">
            <w:pPr>
              <w:spacing w:before="60" w:after="60" w:line="260" w:lineRule="atLeast"/>
              <w:jc w:val="both"/>
              <w:rPr>
                <w:rFonts w:ascii="Arial" w:hAnsi="Arial" w:cs="Arial"/>
                <w:bCs/>
                <w:sz w:val="20"/>
                <w:szCs w:val="20"/>
              </w:rPr>
            </w:pPr>
            <w:r>
              <w:rPr>
                <w:rFonts w:ascii="Arial" w:hAnsi="Arial"/>
                <w:sz w:val="20"/>
              </w:rPr>
              <w:t>Për të gjitha KRU-të, ulja e humbjeve të ujit është padyshim një nga sfidat më të mëdha për faktin se më shumë se gjysma e ujit të trajtuar që KRU-të shpërndajnë në sistemet e tyre (86 milionë m</w:t>
            </w:r>
            <w:r>
              <w:rPr>
                <w:rFonts w:ascii="Arial" w:hAnsi="Arial"/>
                <w:sz w:val="20"/>
                <w:vertAlign w:val="superscript"/>
              </w:rPr>
              <w:t>3</w:t>
            </w:r>
            <w:r>
              <w:rPr>
                <w:rFonts w:ascii="Arial" w:hAnsi="Arial"/>
                <w:sz w:val="20"/>
              </w:rPr>
              <w:t xml:space="preserve">) nuk faturohet për shkak të humbjeve fizike apo humbjeve komerciale (matje dhe lexim të pasaktë, vjedhje, etj.). Niveli i lartë i humbjeve të ujit jo vetëm që shkakton humbje të konsiderueshme financiare, por ndikon drejtpërdrejt në cilësinë e furnizimit me ujë (mungesa e furnizimit me ujë) duke rrezikuar më pas cilësinë e ujit dhe duke u bërë një rrezik i përhershëm shëndetësor për popullsinë në vendin me rreth 1.275.000 milionë banorë nën shërbimet e shtatë KRU-ve. </w:t>
            </w:r>
          </w:p>
          <w:p w14:paraId="010BA10B" w14:textId="2A535AFF" w:rsidR="00480AF4" w:rsidRPr="002C1177" w:rsidRDefault="00480AF4" w:rsidP="00480AF4">
            <w:pPr>
              <w:spacing w:before="60" w:after="60" w:line="260" w:lineRule="atLeast"/>
              <w:jc w:val="both"/>
              <w:rPr>
                <w:rFonts w:ascii="Arial" w:hAnsi="Arial" w:cs="Arial"/>
                <w:bCs/>
                <w:sz w:val="20"/>
                <w:szCs w:val="20"/>
              </w:rPr>
            </w:pPr>
            <w:r>
              <w:rPr>
                <w:rFonts w:ascii="Arial" w:hAnsi="Arial"/>
                <w:sz w:val="20"/>
              </w:rPr>
              <w:t>Shkalla e humbjes së ujit në zonat e shërbimit të KRU-ve është pothuajse e njëjtë duke arritur në 58%. Një nga shkaqet është pasaktësia e matjes dhe leximit, përkatësisht matësit e vjetruar (deri në 15-25 vjeç) që rezulton me saktësi të ulët të matjes. Sipas rregullores kombëtare të lëshuar nga Autoriteti Rregullator për Shërbimet e Ujit për ujëmatësit, ujëmatësit duhet të ndërrohen çdo 5-7 vjet.</w:t>
            </w:r>
          </w:p>
          <w:p w14:paraId="3528FBA6" w14:textId="56AEDDF5" w:rsidR="00480AF4" w:rsidRPr="002C1177" w:rsidRDefault="005B2F5E" w:rsidP="005B2F5E">
            <w:pPr>
              <w:spacing w:before="60" w:after="60" w:line="260" w:lineRule="atLeast"/>
              <w:jc w:val="both"/>
              <w:rPr>
                <w:rFonts w:ascii="Arial" w:hAnsi="Arial" w:cs="Arial"/>
                <w:bCs/>
                <w:sz w:val="20"/>
                <w:szCs w:val="20"/>
              </w:rPr>
            </w:pPr>
            <w:r>
              <w:rPr>
                <w:rFonts w:ascii="Arial" w:hAnsi="Arial"/>
                <w:sz w:val="20"/>
              </w:rPr>
              <w:t xml:space="preserve">Për faktin se mosha mesatare e matësve të ujit është rreth 15 vjet, konsiderohet se zgjidhja më e mirë është zëvendësimi i tyre me ujëmatës inteligjentë ose SMART të cilët kanë përparësi të konsiderueshme ndaj matësve mekanikë të ujit (mundësojnë leximin në distancë dhe eliminojnë qëllimisht ose pasaktësi të paqëllimshme në lexim). </w:t>
            </w:r>
          </w:p>
          <w:p w14:paraId="1695C836" w14:textId="7991DA57" w:rsidR="005B2F5E" w:rsidRPr="002C1177" w:rsidRDefault="00C73F91" w:rsidP="005B2F5E">
            <w:pPr>
              <w:spacing w:before="60" w:after="60" w:line="260" w:lineRule="atLeast"/>
              <w:jc w:val="both"/>
              <w:rPr>
                <w:rFonts w:ascii="Arial" w:hAnsi="Arial" w:cs="Arial"/>
                <w:bCs/>
                <w:sz w:val="20"/>
                <w:szCs w:val="20"/>
              </w:rPr>
            </w:pPr>
            <w:r>
              <w:rPr>
                <w:rFonts w:ascii="Arial" w:hAnsi="Arial"/>
                <w:sz w:val="20"/>
              </w:rPr>
              <w:t xml:space="preserve">Situata aktuale e matësve të ujit për amvisëri, me fokus në shtëpitë private të cilat janë të instaluara në kuti ujëmatës të jashtëm, por të pabllombuar siç duhet, nuk plotësojnë kriteret teknike për kriteret e papërshkueshme nga uji (pothuajse të gjitha dhomat ekzistuese janë prej betoni). Gjatë stinës së lagësht ato mbushen me ujë dhe në kushte të tilla nuk mund të instalohen ujëmatës SMART. Për raste të tilla parashikohen </w:t>
            </w:r>
            <w:r>
              <w:rPr>
                <w:rFonts w:ascii="Arial" w:hAnsi="Arial"/>
                <w:sz w:val="20"/>
              </w:rPr>
              <w:lastRenderedPageBreak/>
              <w:t xml:space="preserve">ujëmatës koncentrikë, përfshirë kutitë e ujëmatësve, të papërshkueshëm nga uji të prodhuar nga HDPE ose PE, me opsion teleskopik – bosht për të rregulluar lartësinë e kutisë, si dhe kanë nevojë për hapësirë të vogël për t'u instaluar qoftë në trotuar jashtë pronave, ose në hyrje të klientëve (amvisërive)  </w:t>
            </w:r>
          </w:p>
        </w:tc>
      </w:tr>
      <w:tr w:rsidR="007128F1" w:rsidRPr="002C1177" w14:paraId="346D50F3" w14:textId="77777777" w:rsidTr="007128F1">
        <w:trPr>
          <w:trHeight w:val="330"/>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0558DA5" w14:textId="77777777" w:rsidR="007128F1" w:rsidRPr="002C1177" w:rsidRDefault="007128F1" w:rsidP="007128F1">
            <w:pPr>
              <w:spacing w:before="60" w:after="60" w:line="260" w:lineRule="atLeast"/>
              <w:rPr>
                <w:rFonts w:ascii="Arial" w:hAnsi="Arial" w:cs="Arial"/>
                <w:bCs/>
                <w:sz w:val="20"/>
                <w:szCs w:val="20"/>
              </w:rPr>
            </w:pPr>
            <w:r>
              <w:rPr>
                <w:rFonts w:ascii="Arial" w:hAnsi="Arial"/>
                <w:sz w:val="20"/>
              </w:rPr>
              <w:lastRenderedPageBreak/>
              <w:t>Rezultatet e projektit infrastrukturor</w:t>
            </w:r>
          </w:p>
        </w:tc>
        <w:tc>
          <w:tcPr>
            <w:tcW w:w="2989" w:type="pct"/>
            <w:tcBorders>
              <w:top w:val="single" w:sz="4" w:space="0" w:color="auto"/>
              <w:left w:val="single" w:sz="4" w:space="0" w:color="auto"/>
              <w:bottom w:val="single" w:sz="4" w:space="0" w:color="auto"/>
              <w:right w:val="single" w:sz="4" w:space="0" w:color="auto"/>
            </w:tcBorders>
          </w:tcPr>
          <w:p w14:paraId="7AC755DC" w14:textId="09348C31" w:rsidR="00480AF4" w:rsidRPr="002C1177" w:rsidRDefault="00480AF4" w:rsidP="00480AF4">
            <w:pPr>
              <w:spacing w:before="60" w:after="60" w:line="260" w:lineRule="atLeast"/>
              <w:rPr>
                <w:rFonts w:ascii="Arial" w:hAnsi="Arial" w:cs="Arial"/>
                <w:bCs/>
                <w:sz w:val="20"/>
                <w:szCs w:val="20"/>
              </w:rPr>
            </w:pPr>
            <w:r>
              <w:rPr>
                <w:rFonts w:ascii="Arial" w:hAnsi="Arial"/>
                <w:sz w:val="20"/>
              </w:rPr>
              <w:t>Rezultatet kryesore që duhen arritur janë zëvendësimi i 498,500 ujëmatësve me matësa të rinj inteligjentë për të shtatë KRU-të që do të rezultojë me:</w:t>
            </w:r>
          </w:p>
          <w:p w14:paraId="4C35D587" w14:textId="77777777" w:rsidR="00480AF4" w:rsidRPr="002C1177" w:rsidRDefault="00480AF4" w:rsidP="00480AF4">
            <w:pPr>
              <w:spacing w:before="60" w:after="60" w:line="260" w:lineRule="atLeast"/>
              <w:rPr>
                <w:rFonts w:ascii="Arial" w:hAnsi="Arial" w:cs="Arial"/>
                <w:bCs/>
                <w:sz w:val="20"/>
                <w:szCs w:val="20"/>
              </w:rPr>
            </w:pPr>
            <w:r>
              <w:rPr>
                <w:rFonts w:ascii="Arial" w:hAnsi="Arial"/>
                <w:sz w:val="20"/>
              </w:rPr>
              <w:t>1.</w:t>
            </w:r>
            <w:r>
              <w:rPr>
                <w:rFonts w:ascii="Arial" w:hAnsi="Arial"/>
                <w:sz w:val="20"/>
              </w:rPr>
              <w:tab/>
              <w:t>Reduktimin e humbjeve të ujit nga KRU-të në nivelin e parashikuar prej 8-12%. Kjo përqindje e reduktimit të humbjeve të ujit është vlerësuar në bazë të shkallës së ndikimit që konsiderohet të ketë matja e pasaktë dhe leximi i konsumit të ujit si rezultat i vjetërsisë së ujëmatësve dhe pasaktësive të leximit.</w:t>
            </w:r>
          </w:p>
          <w:p w14:paraId="484D7894" w14:textId="77777777" w:rsidR="00480AF4" w:rsidRPr="002C1177" w:rsidRDefault="00480AF4" w:rsidP="00480AF4">
            <w:pPr>
              <w:spacing w:before="60" w:after="60" w:line="260" w:lineRule="atLeast"/>
              <w:rPr>
                <w:rFonts w:ascii="Arial" w:hAnsi="Arial" w:cs="Arial"/>
                <w:bCs/>
                <w:sz w:val="20"/>
                <w:szCs w:val="20"/>
              </w:rPr>
            </w:pPr>
            <w:r>
              <w:rPr>
                <w:rFonts w:ascii="Arial" w:hAnsi="Arial"/>
                <w:sz w:val="20"/>
              </w:rPr>
              <w:t>2.</w:t>
            </w:r>
            <w:r>
              <w:rPr>
                <w:rFonts w:ascii="Arial" w:hAnsi="Arial"/>
                <w:sz w:val="20"/>
              </w:rPr>
              <w:tab/>
              <w:t>Përmirësimin e cilësisë së furnizimit me ujë si rezultat i kontrollit më të mirë të konsumit të ujit nga konsumatorët që do të ndikonte në motivimin e këtyre të fundit për shfrytëzim racional të ujit. Përdorimi më racional i ujit nga konsumatorët do të lehtësonte menaxhimin e kërkesës për ujë nga KRU-të dhe rrjedhimisht do të mundësonte një cilësi më të lartë të furnizimit me ujë (furnizim i pandërprerë dhe presion adekuat).</w:t>
            </w:r>
          </w:p>
          <w:p w14:paraId="5F17AC1E" w14:textId="77777777" w:rsidR="00480AF4" w:rsidRPr="002C1177" w:rsidRDefault="00480AF4" w:rsidP="00480AF4">
            <w:pPr>
              <w:spacing w:before="60" w:after="60" w:line="260" w:lineRule="atLeast"/>
              <w:rPr>
                <w:rFonts w:ascii="Arial" w:hAnsi="Arial" w:cs="Arial"/>
                <w:bCs/>
                <w:sz w:val="20"/>
                <w:szCs w:val="20"/>
              </w:rPr>
            </w:pPr>
            <w:r>
              <w:rPr>
                <w:rFonts w:ascii="Arial" w:hAnsi="Arial"/>
                <w:sz w:val="20"/>
              </w:rPr>
              <w:t>3.</w:t>
            </w:r>
            <w:r>
              <w:rPr>
                <w:rFonts w:ascii="Arial" w:hAnsi="Arial"/>
                <w:sz w:val="20"/>
              </w:rPr>
              <w:tab/>
              <w:t>Kursimin e burimeve ujore përmes reduktimit të humbjeve të ujit që rezulton me menaxhim më të mirë dhe orë më të gjata të furnizimit të konsumatorëve, veçanërisht gjatë sezoneve të thatësirës, të cilat janë më të shpeshta për shkak të ndryshimeve klimatike.</w:t>
            </w:r>
          </w:p>
          <w:p w14:paraId="2A32D962" w14:textId="77777777" w:rsidR="00480AF4" w:rsidRPr="002C1177" w:rsidRDefault="00480AF4" w:rsidP="00480AF4">
            <w:pPr>
              <w:spacing w:before="60" w:after="60" w:line="260" w:lineRule="atLeast"/>
              <w:rPr>
                <w:rFonts w:ascii="Arial" w:hAnsi="Arial" w:cs="Arial"/>
                <w:bCs/>
                <w:sz w:val="20"/>
                <w:szCs w:val="20"/>
              </w:rPr>
            </w:pPr>
            <w:r>
              <w:rPr>
                <w:rFonts w:ascii="Arial" w:hAnsi="Arial"/>
                <w:sz w:val="20"/>
              </w:rPr>
              <w:t>4.</w:t>
            </w:r>
            <w:r>
              <w:rPr>
                <w:rFonts w:ascii="Arial" w:hAnsi="Arial"/>
                <w:sz w:val="20"/>
              </w:rPr>
              <w:tab/>
              <w:t>Rritjen e të hyrave të KRU-ve si rezultat i ujit të konsumuar të faturuar por i cili aktualisht nuk faturohet për shkak të gabimeve në matjet dhe leximet e pasakta. Shuma e të ardhurave shtesë vlerësohet të jetë së paku 10%. Rritja e të ardhurave do të reflektonte me më shumë investime dhe mirëmbajtje në infrastrukturën e ujësjellësit për shërbim më të mirë të popullatës.</w:t>
            </w:r>
          </w:p>
          <w:p w14:paraId="7BCA604F" w14:textId="77777777" w:rsidR="00480AF4" w:rsidRPr="002C1177" w:rsidRDefault="00480AF4" w:rsidP="00480AF4">
            <w:pPr>
              <w:spacing w:before="60" w:after="60" w:line="260" w:lineRule="atLeast"/>
              <w:rPr>
                <w:rFonts w:ascii="Arial" w:hAnsi="Arial" w:cs="Arial"/>
                <w:bCs/>
                <w:sz w:val="20"/>
                <w:szCs w:val="20"/>
              </w:rPr>
            </w:pPr>
            <w:r>
              <w:rPr>
                <w:rFonts w:ascii="Arial" w:hAnsi="Arial"/>
                <w:sz w:val="20"/>
              </w:rPr>
              <w:t>5.</w:t>
            </w:r>
            <w:r>
              <w:rPr>
                <w:rFonts w:ascii="Arial" w:hAnsi="Arial"/>
                <w:sz w:val="20"/>
              </w:rPr>
              <w:tab/>
              <w:t>Rritjen e efikasitetit të punës së KRU-ve ndaj konsumatorëve abuziv përmes mundësisë së ndërprerjes së furnizimit nga distanca (përmes valvulave të integruara) pa pasur nevojë të merren me to.</w:t>
            </w:r>
          </w:p>
          <w:p w14:paraId="3D27A18C" w14:textId="77777777" w:rsidR="007128F1" w:rsidRPr="002C1177" w:rsidRDefault="007128F1" w:rsidP="007128F1">
            <w:pPr>
              <w:spacing w:before="60" w:after="60" w:line="260" w:lineRule="atLeast"/>
              <w:rPr>
                <w:rFonts w:ascii="Arial" w:hAnsi="Arial" w:cs="Arial"/>
                <w:bCs/>
                <w:sz w:val="20"/>
                <w:szCs w:val="20"/>
              </w:rPr>
            </w:pPr>
          </w:p>
        </w:tc>
      </w:tr>
      <w:tr w:rsidR="007128F1" w:rsidRPr="002C1177" w14:paraId="5DB18A11" w14:textId="77777777" w:rsidTr="007128F1">
        <w:trPr>
          <w:trHeight w:val="2898"/>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60C752FE" w14:textId="44D98DEE" w:rsidR="007128F1" w:rsidRPr="002C1177" w:rsidRDefault="007128F1" w:rsidP="00AA5B2E">
            <w:pPr>
              <w:spacing w:before="60" w:after="60" w:line="260" w:lineRule="atLeast"/>
              <w:rPr>
                <w:rFonts w:ascii="Arial" w:hAnsi="Arial" w:cs="Arial"/>
                <w:bCs/>
                <w:sz w:val="20"/>
                <w:szCs w:val="20"/>
              </w:rPr>
            </w:pPr>
            <w:r>
              <w:rPr>
                <w:rFonts w:ascii="Arial" w:hAnsi="Arial"/>
                <w:sz w:val="20"/>
              </w:rPr>
              <w:t>Përshkrimi i përgjithshëm</w:t>
            </w:r>
          </w:p>
        </w:tc>
        <w:tc>
          <w:tcPr>
            <w:tcW w:w="2989" w:type="pct"/>
            <w:tcBorders>
              <w:top w:val="single" w:sz="4" w:space="0" w:color="auto"/>
              <w:left w:val="single" w:sz="4" w:space="0" w:color="auto"/>
              <w:bottom w:val="single" w:sz="4" w:space="0" w:color="auto"/>
              <w:right w:val="single" w:sz="4" w:space="0" w:color="auto"/>
            </w:tcBorders>
          </w:tcPr>
          <w:p w14:paraId="13E92AD8" w14:textId="103948D6" w:rsidR="005B2F5E" w:rsidRPr="002C1177" w:rsidRDefault="005B2F5E" w:rsidP="005B2F5E">
            <w:pPr>
              <w:spacing w:before="60" w:after="60" w:line="260" w:lineRule="atLeast"/>
              <w:jc w:val="both"/>
              <w:rPr>
                <w:rFonts w:ascii="Arial" w:hAnsi="Arial" w:cs="Arial"/>
                <w:bCs/>
                <w:sz w:val="20"/>
                <w:szCs w:val="20"/>
              </w:rPr>
            </w:pPr>
            <w:r>
              <w:rPr>
                <w:rFonts w:ascii="Arial" w:hAnsi="Arial"/>
                <w:sz w:val="20"/>
              </w:rPr>
              <w:t>Ujëmatësit SMART, përveç saktësisë së përfitimit që ofrojnë për konsumatorët dhe për KRU-të, mundësojnë edhe zvogëlimin e humbjeve të ujit nga rrjedhjet përmes tubacioneve, gjë që ndikon edhe në zvogëlimin e humbjeve reale (fizike) të ujit. Niveli i lartë i humbjeve të ujit jo vetëm që shkakton humbje të konsiderueshme financiare, por ndikon drejtpërdrejt në cilësinë e furnizimit me ujë (mungesa e furnizimit me ujë) duke rrezikuar më pas cilësinë e ujit dhe duke u bërë kështu një rrezik i përhershëm shëndetësor për popullsinë prej 1,275 milionë banorë.</w:t>
            </w:r>
          </w:p>
          <w:p w14:paraId="73D6D93C" w14:textId="77777777" w:rsidR="001977D0" w:rsidRPr="002C1177" w:rsidRDefault="005B2F5E" w:rsidP="005B2F5E">
            <w:pPr>
              <w:spacing w:before="60" w:after="60" w:line="260" w:lineRule="atLeast"/>
              <w:jc w:val="both"/>
              <w:rPr>
                <w:rFonts w:ascii="Arial" w:hAnsi="Arial" w:cs="Arial"/>
                <w:bCs/>
                <w:sz w:val="20"/>
                <w:szCs w:val="20"/>
              </w:rPr>
            </w:pPr>
            <w:r>
              <w:rPr>
                <w:rFonts w:ascii="Arial" w:hAnsi="Arial"/>
                <w:sz w:val="20"/>
              </w:rPr>
              <w:t xml:space="preserve">Përveç sistemeve që mbështesin matjet digjitale në distancë për klientët individë, ne kemi edhe sisteme digjitale me ujëmatës zonal, të cilët matin zonat e shërbimit dhe monitorojnë furnizimet dhe rrjedhjet përmes tubacioneve 24 orë në ditë. Falë kësaj teknologjie, sot ndërhyrjet mund të bëhen shumë më shpejt, dhe jemi të vetëdijshëm se koha e reagimit dhe riparimit të rrjedhjeve të ujit, ndikon drejtpërdrejt në uljen e humbjeve. </w:t>
            </w:r>
          </w:p>
          <w:p w14:paraId="731D6939" w14:textId="21467680" w:rsidR="005B2F5E" w:rsidRPr="002C1177" w:rsidRDefault="005B2F5E" w:rsidP="005B2F5E">
            <w:pPr>
              <w:spacing w:before="60" w:after="60" w:line="260" w:lineRule="atLeast"/>
              <w:jc w:val="both"/>
              <w:rPr>
                <w:rFonts w:ascii="Arial" w:hAnsi="Arial" w:cs="Arial"/>
                <w:bCs/>
                <w:sz w:val="20"/>
                <w:szCs w:val="20"/>
              </w:rPr>
            </w:pPr>
            <w:r>
              <w:rPr>
                <w:rFonts w:ascii="Arial" w:hAnsi="Arial"/>
                <w:sz w:val="20"/>
              </w:rPr>
              <w:lastRenderedPageBreak/>
              <w:t xml:space="preserve">Teknologjia me matës zonal mund të avancojë kompanitë edhe në ngritjen e zonave të matura ose të njohura ndryshe si “Zonat Matëse të Rrethit” (ZMRr) dhe në bazë të raporteve dhe grafikëve që gjenerohen, është shumë më e lehtë të konstatohen humbjet e vogla të cilat nuk shfaqen mbi sipërfaqen e tokës ose terrenit. </w:t>
            </w:r>
          </w:p>
          <w:p w14:paraId="4A5A97DB" w14:textId="77777777" w:rsidR="005B2F5E" w:rsidRPr="002C1177" w:rsidRDefault="005B2F5E" w:rsidP="005B2F5E">
            <w:pPr>
              <w:spacing w:before="60" w:after="60" w:line="260" w:lineRule="atLeast"/>
              <w:jc w:val="both"/>
              <w:rPr>
                <w:rFonts w:ascii="Arial" w:hAnsi="Arial" w:cs="Arial"/>
                <w:bCs/>
                <w:sz w:val="20"/>
                <w:szCs w:val="20"/>
              </w:rPr>
            </w:pPr>
            <w:r>
              <w:rPr>
                <w:rFonts w:ascii="Arial" w:hAnsi="Arial"/>
                <w:sz w:val="20"/>
              </w:rPr>
              <w:t>Së bashku me ujëmatësit SMART, do të sigurohet softueri i cili integrohet drejtpërdrejt në sistemet ekzistuese të faturimit të KRU-ve (përfshirë trajnimin e stafit për përdorimin e softuerit).</w:t>
            </w:r>
          </w:p>
          <w:p w14:paraId="0CAB2E84" w14:textId="5C7D0605" w:rsidR="007128F1" w:rsidRPr="002C1177" w:rsidRDefault="005B2F5E" w:rsidP="005B2F5E">
            <w:pPr>
              <w:spacing w:before="60" w:after="60" w:line="260" w:lineRule="atLeast"/>
              <w:jc w:val="both"/>
              <w:rPr>
                <w:rFonts w:ascii="Arial" w:hAnsi="Arial" w:cs="Arial"/>
                <w:bCs/>
                <w:sz w:val="20"/>
                <w:szCs w:val="20"/>
              </w:rPr>
            </w:pPr>
            <w:r>
              <w:rPr>
                <w:rFonts w:ascii="Arial" w:hAnsi="Arial"/>
                <w:sz w:val="20"/>
              </w:rPr>
              <w:t>Me zbatimin e projektit rreth 1,275 milionë banorë, të cilët janë konsumatorë të të gjitha KRU-ve në të gjithë territorin e vendit, do të përfitojnë shërbime të përmirësuara të cilësisë së ujit, orë më të gjata të furnizimit me ujë, veçanërisht në sezonin e thatësirës dhe faturim të saktë për shkak të matjeve të sakta, gjë që do të ndikojë drejtpërdrejt në përballueshmërinë e familjeve të tyre, më pas edhe në mirëqenien e tyre në përgjithësi.</w:t>
            </w:r>
          </w:p>
          <w:p w14:paraId="4B0E2A2C" w14:textId="77777777" w:rsidR="001977D0" w:rsidRPr="002C1177" w:rsidRDefault="001977D0" w:rsidP="001977D0">
            <w:pPr>
              <w:spacing w:before="60" w:after="60" w:line="260" w:lineRule="atLeast"/>
              <w:jc w:val="both"/>
              <w:rPr>
                <w:rFonts w:ascii="Arial" w:hAnsi="Arial" w:cs="Arial"/>
                <w:bCs/>
                <w:sz w:val="20"/>
                <w:szCs w:val="20"/>
              </w:rPr>
            </w:pPr>
            <w:r>
              <w:rPr>
                <w:rFonts w:ascii="Arial" w:hAnsi="Arial"/>
                <w:sz w:val="20"/>
              </w:rPr>
              <w:t>Përpara zbatimit të projektit, një kompani ndërkombëtare konsulente do të zgjedhë të planifikojë, prokurojë, zbatojë dhe mbikëqyrë të gjitha aktivitetet që lidhen me Projektin.</w:t>
            </w:r>
          </w:p>
          <w:p w14:paraId="09539D48" w14:textId="77777777" w:rsidR="001977D0" w:rsidRPr="002C1177" w:rsidRDefault="001977D0" w:rsidP="001977D0">
            <w:pPr>
              <w:spacing w:before="60" w:after="60" w:line="260" w:lineRule="atLeast"/>
              <w:jc w:val="both"/>
              <w:rPr>
                <w:rFonts w:ascii="Arial" w:hAnsi="Arial" w:cs="Arial"/>
                <w:bCs/>
                <w:sz w:val="20"/>
                <w:szCs w:val="20"/>
              </w:rPr>
            </w:pPr>
          </w:p>
          <w:p w14:paraId="7A174E6D" w14:textId="77777777" w:rsidR="001977D0" w:rsidRPr="002C1177" w:rsidRDefault="001977D0" w:rsidP="001977D0">
            <w:pPr>
              <w:spacing w:before="60" w:after="60" w:line="260" w:lineRule="atLeast"/>
              <w:jc w:val="both"/>
              <w:rPr>
                <w:rFonts w:ascii="Arial" w:hAnsi="Arial" w:cs="Arial"/>
                <w:bCs/>
                <w:sz w:val="20"/>
                <w:szCs w:val="20"/>
              </w:rPr>
            </w:pPr>
            <w:r>
              <w:rPr>
                <w:rFonts w:ascii="Arial" w:hAnsi="Arial"/>
                <w:sz w:val="20"/>
              </w:rPr>
              <w:t>Aktivitetet e Projektit janë:</w:t>
            </w:r>
          </w:p>
          <w:p w14:paraId="6B28A8BA" w14:textId="1D066741" w:rsidR="001977D0" w:rsidRPr="002C1177" w:rsidRDefault="001977D0" w:rsidP="001977D0">
            <w:pPr>
              <w:pStyle w:val="ListParagraph"/>
              <w:numPr>
                <w:ilvl w:val="0"/>
                <w:numId w:val="42"/>
              </w:numPr>
              <w:spacing w:before="60" w:after="60" w:line="260" w:lineRule="atLeast"/>
              <w:jc w:val="both"/>
              <w:rPr>
                <w:rFonts w:cs="Arial"/>
                <w:bCs/>
                <w:szCs w:val="20"/>
              </w:rPr>
            </w:pPr>
            <w:r>
              <w:t>Shërbimet e Konsulencës (Asistencë Teknike) për Studimin e Fizibilitetit, planifikimin, prokurimin, zbatimin dhe mbikëqyrjen e të gjitha aktiviteteve që lidhen me Projektin</w:t>
            </w:r>
          </w:p>
          <w:p w14:paraId="20D05AC2" w14:textId="5057551A" w:rsidR="001977D0" w:rsidRPr="002C1177" w:rsidRDefault="001977D0" w:rsidP="00D922F7">
            <w:pPr>
              <w:pStyle w:val="ListParagraph"/>
              <w:numPr>
                <w:ilvl w:val="0"/>
                <w:numId w:val="42"/>
              </w:numPr>
              <w:spacing w:before="60" w:after="60" w:line="260" w:lineRule="atLeast"/>
              <w:jc w:val="both"/>
              <w:rPr>
                <w:rFonts w:cs="Arial"/>
                <w:bCs/>
                <w:szCs w:val="20"/>
              </w:rPr>
            </w:pPr>
            <w:r>
              <w:t>Investimi për blerjen dhe instalimin e 498,500 matësave të ujit SMART dhe së bashku me pajisjet e nevojshme si dhe pajisjet e tjera shoqëruese (infrastruktura dhe softueri i nevojshëm dhe SCADA) për funksionimin dhe trajnimin e stafit.</w:t>
            </w:r>
          </w:p>
          <w:p w14:paraId="7974A8CE" w14:textId="77777777" w:rsidR="001977D0" w:rsidRPr="002C1177" w:rsidRDefault="001977D0" w:rsidP="001977D0">
            <w:pPr>
              <w:spacing w:before="60" w:after="60" w:line="260" w:lineRule="atLeast"/>
              <w:jc w:val="both"/>
              <w:rPr>
                <w:rFonts w:ascii="Arial" w:hAnsi="Arial" w:cs="Arial"/>
                <w:bCs/>
                <w:sz w:val="20"/>
                <w:szCs w:val="20"/>
              </w:rPr>
            </w:pPr>
          </w:p>
          <w:p w14:paraId="0B7CEA57" w14:textId="77777777" w:rsidR="001977D0" w:rsidRPr="002C1177" w:rsidRDefault="001977D0" w:rsidP="001977D0">
            <w:pPr>
              <w:spacing w:before="60" w:after="60" w:line="260" w:lineRule="atLeast"/>
              <w:jc w:val="both"/>
              <w:rPr>
                <w:rFonts w:ascii="Arial" w:hAnsi="Arial" w:cs="Arial"/>
                <w:bCs/>
                <w:sz w:val="20"/>
                <w:szCs w:val="20"/>
              </w:rPr>
            </w:pPr>
            <w:r>
              <w:rPr>
                <w:rFonts w:ascii="Arial" w:hAnsi="Arial"/>
                <w:sz w:val="20"/>
              </w:rPr>
              <w:t xml:space="preserve">Aktivitetet e para që do të ndërmerren nga KRU-të janë identifikimi dhe regjistrimi i të gjithë konsumatorëve në zonën e shërbimit. Gjatë zbatimit të projektit, aktivitetet e para që do të ndërmerren janë identifikimi i kutive të ujëmatësve në zonat e shërbimit që kanë nevojë për riparim ose ndërtimi i të rejave bazuar në standardet e kërkuara nga teknologjia e matësve të mençur. </w:t>
            </w:r>
          </w:p>
          <w:p w14:paraId="5236B6B0" w14:textId="77777777" w:rsidR="001977D0" w:rsidRPr="002C1177" w:rsidRDefault="001977D0" w:rsidP="001977D0">
            <w:pPr>
              <w:spacing w:before="60" w:after="60" w:line="260" w:lineRule="atLeast"/>
              <w:jc w:val="both"/>
              <w:rPr>
                <w:rFonts w:ascii="Arial" w:hAnsi="Arial" w:cs="Arial"/>
                <w:bCs/>
                <w:sz w:val="20"/>
                <w:szCs w:val="20"/>
              </w:rPr>
            </w:pPr>
          </w:p>
          <w:p w14:paraId="02B4C94D" w14:textId="04EA62C4" w:rsidR="001977D0" w:rsidRPr="002C1177" w:rsidRDefault="001977D0" w:rsidP="001977D0">
            <w:pPr>
              <w:spacing w:before="120"/>
              <w:jc w:val="both"/>
              <w:rPr>
                <w:rFonts w:ascii="Arial" w:hAnsi="Arial" w:cs="Arial"/>
                <w:bCs/>
                <w:sz w:val="20"/>
                <w:szCs w:val="20"/>
              </w:rPr>
            </w:pPr>
            <w:r>
              <w:rPr>
                <w:rFonts w:ascii="Arial" w:hAnsi="Arial"/>
                <w:sz w:val="20"/>
              </w:rPr>
              <w:t>Furnizimi i ujëmatësve SMART me softuer me shumë përdorues për KRU-të, si paketë së bashku me ujëmatësin, duke përfshirë blerjen dhe instalimin e 498,500 ujëmatësve së bashku me pajisjet e nevojshme si dhe pajisje të tjera përcjellëse (infrastrukturë) dhe softuer për funksionimin e ujëmatësve SMART.</w:t>
            </w:r>
          </w:p>
          <w:p w14:paraId="70C0B848" w14:textId="77777777" w:rsidR="001977D0" w:rsidRPr="002C1177" w:rsidRDefault="001977D0" w:rsidP="001977D0">
            <w:pPr>
              <w:spacing w:before="120"/>
              <w:jc w:val="both"/>
              <w:rPr>
                <w:rFonts w:ascii="Arial" w:hAnsi="Arial" w:cs="Arial"/>
                <w:bCs/>
                <w:sz w:val="20"/>
                <w:szCs w:val="20"/>
              </w:rPr>
            </w:pPr>
            <w:r>
              <w:rPr>
                <w:rFonts w:ascii="Arial" w:hAnsi="Arial"/>
                <w:sz w:val="20"/>
              </w:rPr>
              <w:t>Së bashku me ujëmatësit SMART, do të sigurohet softueri i cili integrohet drejtpërdrejt në sistemet ekzistuese të faturimit të KRU-ve (përfshirë trajnimin e stafit për përdorimin e softuerit).</w:t>
            </w:r>
          </w:p>
          <w:p w14:paraId="2C6A9A31" w14:textId="57C2B3EB" w:rsidR="001977D0" w:rsidRPr="002C1177" w:rsidRDefault="001977D0" w:rsidP="001977D0">
            <w:pPr>
              <w:widowControl w:val="0"/>
              <w:autoSpaceDE w:val="0"/>
              <w:autoSpaceDN w:val="0"/>
              <w:spacing w:before="2" w:after="0" w:line="252" w:lineRule="exact"/>
              <w:jc w:val="both"/>
              <w:rPr>
                <w:rFonts w:ascii="Arial" w:hAnsi="Arial" w:cs="Arial"/>
                <w:bCs/>
                <w:sz w:val="20"/>
                <w:szCs w:val="20"/>
              </w:rPr>
            </w:pPr>
            <w:r>
              <w:rPr>
                <w:rFonts w:ascii="Arial" w:hAnsi="Arial"/>
                <w:sz w:val="20"/>
              </w:rPr>
              <w:t>Pas implementimit, stafi i KRU-ve do të trajnohet për teknologjinë dhe softuerin që do të prokurohet dhe implementohet dhe një vit për periudhën e njoftimit të defekteve.</w:t>
            </w:r>
          </w:p>
          <w:p w14:paraId="59C7B682" w14:textId="254DA44D" w:rsidR="005B2F5E" w:rsidRPr="002C1177" w:rsidRDefault="005B2F5E" w:rsidP="001977D0">
            <w:pPr>
              <w:spacing w:before="60" w:after="60" w:line="260" w:lineRule="atLeast"/>
              <w:jc w:val="both"/>
              <w:rPr>
                <w:rFonts w:ascii="Arial" w:hAnsi="Arial" w:cs="Arial"/>
                <w:bCs/>
                <w:szCs w:val="20"/>
              </w:rPr>
            </w:pPr>
          </w:p>
        </w:tc>
      </w:tr>
    </w:tbl>
    <w:p w14:paraId="22723C98" w14:textId="77777777" w:rsidR="001977D0" w:rsidRPr="002C1177" w:rsidRDefault="001977D0" w:rsidP="007128F1">
      <w:pPr>
        <w:pStyle w:val="ListParagraph"/>
        <w:spacing w:before="200" w:after="120"/>
        <w:ind w:left="340"/>
        <w:jc w:val="both"/>
        <w:rPr>
          <w:rFonts w:cs="Arial"/>
          <w:b/>
          <w:szCs w:val="20"/>
        </w:rPr>
      </w:pPr>
    </w:p>
    <w:p w14:paraId="553B6EA7" w14:textId="77777777" w:rsidR="006F1611" w:rsidRPr="002C1177" w:rsidRDefault="0074067A" w:rsidP="0074067A">
      <w:pPr>
        <w:pStyle w:val="ListParagraph"/>
        <w:numPr>
          <w:ilvl w:val="0"/>
          <w:numId w:val="41"/>
        </w:numPr>
        <w:spacing w:line="240" w:lineRule="auto"/>
        <w:rPr>
          <w:rFonts w:cs="Arial"/>
          <w:b/>
        </w:rPr>
      </w:pPr>
      <w:r>
        <w:rPr>
          <w:b/>
        </w:rPr>
        <w:lastRenderedPageBreak/>
        <w:t>PRANUESHMËRIA</w:t>
      </w:r>
    </w:p>
    <w:p w14:paraId="6410F12E" w14:textId="77777777" w:rsidR="006F1611" w:rsidRPr="002C1177" w:rsidRDefault="006F1611">
      <w:pPr>
        <w:spacing w:after="0" w:line="240" w:lineRule="auto"/>
        <w:rPr>
          <w:rFonts w:ascii="Arial" w:hAnsi="Arial" w:cs="Arial"/>
        </w:rPr>
      </w:pPr>
    </w:p>
    <w:tbl>
      <w:tblPr>
        <w:tblW w:w="4947" w:type="pct"/>
        <w:tblInd w:w="108" w:type="dxa"/>
        <w:tblLook w:val="01E0" w:firstRow="1" w:lastRow="1" w:firstColumn="1" w:lastColumn="1" w:noHBand="0" w:noVBand="0"/>
      </w:tblPr>
      <w:tblGrid>
        <w:gridCol w:w="3938"/>
        <w:gridCol w:w="5853"/>
      </w:tblGrid>
      <w:tr w:rsidR="007128F1" w:rsidRPr="002C1177" w14:paraId="6D5C8466" w14:textId="77777777" w:rsidTr="00514A5B">
        <w:trPr>
          <w:trHeight w:val="4238"/>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79015CDB" w14:textId="0C61E9FD" w:rsidR="007128F1" w:rsidRPr="002C1177" w:rsidRDefault="00AA5B2E" w:rsidP="007128F1">
            <w:pPr>
              <w:spacing w:after="0" w:line="240" w:lineRule="auto"/>
              <w:rPr>
                <w:rFonts w:ascii="Arial" w:hAnsi="Arial" w:cs="Arial"/>
                <w:sz w:val="20"/>
                <w:szCs w:val="20"/>
              </w:rPr>
            </w:pPr>
            <w:r>
              <w:rPr>
                <w:rFonts w:ascii="Arial" w:hAnsi="Arial"/>
                <w:sz w:val="20"/>
              </w:rPr>
              <w:t>Koherenca</w:t>
            </w:r>
            <w:r w:rsidR="007128F1">
              <w:rPr>
                <w:rFonts w:ascii="Arial" w:hAnsi="Arial"/>
                <w:sz w:val="20"/>
              </w:rPr>
              <w:t xml:space="preserve"> me politikat dhe strategjitë e vlefshme të BE-së </w:t>
            </w:r>
          </w:p>
        </w:tc>
        <w:tc>
          <w:tcPr>
            <w:tcW w:w="2989" w:type="pct"/>
            <w:tcBorders>
              <w:top w:val="single" w:sz="4" w:space="0" w:color="auto"/>
              <w:left w:val="single" w:sz="4" w:space="0" w:color="auto"/>
              <w:bottom w:val="single" w:sz="4" w:space="0" w:color="auto"/>
              <w:right w:val="single" w:sz="4" w:space="0" w:color="auto"/>
            </w:tcBorders>
            <w:vAlign w:val="center"/>
          </w:tcPr>
          <w:p w14:paraId="638DF65A" w14:textId="77777777" w:rsidR="005E7C49" w:rsidRPr="002C1177" w:rsidRDefault="005E7C49" w:rsidP="005E7C49">
            <w:pPr>
              <w:spacing w:after="0" w:line="240" w:lineRule="auto"/>
              <w:rPr>
                <w:rFonts w:ascii="Arial" w:hAnsi="Arial" w:cs="Arial"/>
                <w:sz w:val="20"/>
                <w:szCs w:val="20"/>
              </w:rPr>
            </w:pPr>
            <w:r>
              <w:rPr>
                <w:rFonts w:ascii="Arial" w:hAnsi="Arial"/>
                <w:b/>
                <w:sz w:val="20"/>
              </w:rPr>
              <w:t>Dritarja 3:</w:t>
            </w:r>
            <w:r>
              <w:rPr>
                <w:rFonts w:ascii="Arial" w:hAnsi="Arial"/>
                <w:sz w:val="20"/>
              </w:rPr>
              <w:t xml:space="preserve"> Agjenda e gjelbër dhe lidhshmëria e qëndrueshme </w:t>
            </w:r>
          </w:p>
          <w:p w14:paraId="5830CE62" w14:textId="77777777" w:rsidR="005E7C49" w:rsidRPr="002C1177" w:rsidRDefault="005E7C49" w:rsidP="005E7C49">
            <w:pPr>
              <w:spacing w:after="0" w:line="240" w:lineRule="auto"/>
              <w:rPr>
                <w:rFonts w:ascii="Arial" w:hAnsi="Arial" w:cs="Arial"/>
                <w:sz w:val="20"/>
                <w:szCs w:val="20"/>
              </w:rPr>
            </w:pPr>
            <w:r>
              <w:rPr>
                <w:rFonts w:ascii="Arial" w:hAnsi="Arial"/>
                <w:b/>
                <w:sz w:val="20"/>
              </w:rPr>
              <w:t>Prioriteti tematik 1:</w:t>
            </w:r>
            <w:r>
              <w:rPr>
                <w:rFonts w:ascii="Arial" w:hAnsi="Arial"/>
                <w:sz w:val="20"/>
              </w:rPr>
              <w:t xml:space="preserve"> Mjedisi dhe ndryshimi klimatik </w:t>
            </w:r>
          </w:p>
          <w:p w14:paraId="7477D537" w14:textId="77777777" w:rsidR="00514A5B" w:rsidRPr="002C1177" w:rsidRDefault="00514A5B" w:rsidP="005E7C49">
            <w:pPr>
              <w:spacing w:after="0" w:line="240" w:lineRule="auto"/>
              <w:rPr>
                <w:rFonts w:ascii="Arial" w:hAnsi="Arial" w:cs="Arial"/>
                <w:sz w:val="20"/>
                <w:szCs w:val="20"/>
              </w:rPr>
            </w:pPr>
          </w:p>
          <w:p w14:paraId="46EEE03B" w14:textId="77777777" w:rsidR="005E7C49" w:rsidRPr="002C1177" w:rsidRDefault="005E7C49" w:rsidP="005E7C49">
            <w:pPr>
              <w:spacing w:after="0" w:line="240" w:lineRule="auto"/>
              <w:rPr>
                <w:rFonts w:ascii="Arial" w:hAnsi="Arial" w:cs="Arial"/>
                <w:b/>
                <w:bCs/>
                <w:sz w:val="20"/>
                <w:szCs w:val="20"/>
              </w:rPr>
            </w:pPr>
            <w:r>
              <w:rPr>
                <w:rFonts w:ascii="Arial" w:hAnsi="Arial"/>
                <w:b/>
                <w:sz w:val="20"/>
              </w:rPr>
              <w:t xml:space="preserve">Agjenda e Gjelbër për Ballkanin Perëndimor </w:t>
            </w:r>
          </w:p>
          <w:p w14:paraId="551D0FD9" w14:textId="77777777" w:rsidR="005E7C49" w:rsidRPr="002C1177" w:rsidRDefault="005E7C49" w:rsidP="005E7C49">
            <w:pPr>
              <w:spacing w:after="0" w:line="240" w:lineRule="auto"/>
              <w:rPr>
                <w:rFonts w:ascii="Arial" w:hAnsi="Arial" w:cs="Arial"/>
                <w:sz w:val="20"/>
                <w:szCs w:val="20"/>
              </w:rPr>
            </w:pPr>
            <w:r>
              <w:rPr>
                <w:rFonts w:ascii="Arial" w:hAnsi="Arial"/>
                <w:sz w:val="20"/>
              </w:rPr>
              <w:t xml:space="preserve">Shtylla e katërt: Pastërtia: e ajrit, ujit dhe tokës; Uji Ballkani Perëndimor është shtëpia e disa prej lumenjve të fundit të pacenuar të kontinentit, por mbrojtja e tyre mbetet një sfidë. </w:t>
            </w:r>
          </w:p>
          <w:p w14:paraId="2CD296D6" w14:textId="77777777" w:rsidR="005E7C49" w:rsidRPr="002C1177" w:rsidRDefault="005E7C49" w:rsidP="005E7C49">
            <w:pPr>
              <w:spacing w:after="0" w:line="240" w:lineRule="auto"/>
              <w:rPr>
                <w:rFonts w:ascii="Arial" w:hAnsi="Arial" w:cs="Arial"/>
                <w:b/>
                <w:bCs/>
                <w:sz w:val="20"/>
                <w:szCs w:val="20"/>
              </w:rPr>
            </w:pPr>
            <w:r>
              <w:rPr>
                <w:rFonts w:ascii="Arial" w:hAnsi="Arial"/>
                <w:b/>
                <w:sz w:val="20"/>
              </w:rPr>
              <w:t>Raporti i BE-së për Kosovën (2023)</w:t>
            </w:r>
          </w:p>
          <w:p w14:paraId="25F16397" w14:textId="77777777" w:rsidR="005E7C49" w:rsidRPr="002C1177" w:rsidRDefault="005E7C49" w:rsidP="005E7C49">
            <w:pPr>
              <w:spacing w:after="0" w:line="240" w:lineRule="auto"/>
              <w:rPr>
                <w:rFonts w:ascii="Arial" w:hAnsi="Arial" w:cs="Arial"/>
                <w:sz w:val="20"/>
                <w:szCs w:val="20"/>
              </w:rPr>
            </w:pPr>
            <w:r>
              <w:rPr>
                <w:rFonts w:ascii="Arial" w:hAnsi="Arial"/>
                <w:sz w:val="20"/>
              </w:rPr>
              <w:t xml:space="preserve">Uji: Kosova ka arritur progres të kufizuar në përafrimin e legjislacionit për ujerat me acquis të BE-së. Mekanizmi monitorues i Strategjisë së Ujërave 2017-2036 dhe zbatimi i Ligjit për Ujërat kanë nevojë për përmirësime të mëtejshme. Kosova duhet të vendosë urgjentisht sistemet e monitorimit me të dhëna në dispozicion të publikut. </w:t>
            </w:r>
          </w:p>
          <w:p w14:paraId="44543405" w14:textId="343BA15B" w:rsidR="007128F1" w:rsidRPr="002C1177" w:rsidRDefault="005E7C49" w:rsidP="005E7C49">
            <w:pPr>
              <w:spacing w:after="0" w:line="240" w:lineRule="auto"/>
              <w:rPr>
                <w:rFonts w:ascii="Arial" w:hAnsi="Arial" w:cs="Arial"/>
                <w:sz w:val="20"/>
                <w:szCs w:val="20"/>
              </w:rPr>
            </w:pPr>
            <w:r>
              <w:rPr>
                <w:rFonts w:ascii="Arial" w:hAnsi="Arial"/>
                <w:sz w:val="20"/>
              </w:rPr>
              <w:t>Reduktimi i humbjeve të ujit dhe mbledhja e qarkullimit duhet të intensifikohet.</w:t>
            </w:r>
          </w:p>
        </w:tc>
      </w:tr>
      <w:tr w:rsidR="007128F1" w:rsidRPr="002C1177" w14:paraId="55732221" w14:textId="77777777" w:rsidTr="007128F1">
        <w:trPr>
          <w:trHeight w:val="330"/>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1501C11" w14:textId="77777777" w:rsidR="007128F1" w:rsidRPr="002C1177" w:rsidRDefault="007128F1" w:rsidP="007128F1">
            <w:pPr>
              <w:spacing w:after="0" w:line="240" w:lineRule="auto"/>
              <w:rPr>
                <w:rFonts w:ascii="Arial" w:hAnsi="Arial" w:cs="Arial"/>
                <w:sz w:val="20"/>
                <w:szCs w:val="20"/>
              </w:rPr>
            </w:pPr>
            <w:r>
              <w:rPr>
                <w:rFonts w:ascii="Arial" w:hAnsi="Arial"/>
                <w:sz w:val="20"/>
              </w:rPr>
              <w:t>Kontributi në objektivat e vlefshme të zhvillimit kombëtar</w:t>
            </w:r>
          </w:p>
        </w:tc>
        <w:tc>
          <w:tcPr>
            <w:tcW w:w="2989" w:type="pct"/>
            <w:tcBorders>
              <w:top w:val="single" w:sz="4" w:space="0" w:color="auto"/>
              <w:left w:val="single" w:sz="4" w:space="0" w:color="auto"/>
              <w:bottom w:val="single" w:sz="4" w:space="0" w:color="auto"/>
              <w:right w:val="single" w:sz="4" w:space="0" w:color="auto"/>
            </w:tcBorders>
            <w:vAlign w:val="center"/>
          </w:tcPr>
          <w:p w14:paraId="4A23EF89" w14:textId="77777777" w:rsidR="00514A5B" w:rsidRPr="002C1177" w:rsidRDefault="00514A5B" w:rsidP="00514A5B">
            <w:pPr>
              <w:spacing w:after="0" w:line="240" w:lineRule="auto"/>
              <w:jc w:val="both"/>
              <w:rPr>
                <w:rFonts w:ascii="Arial" w:hAnsi="Arial" w:cs="Arial"/>
                <w:b/>
                <w:bCs/>
                <w:sz w:val="20"/>
                <w:szCs w:val="20"/>
              </w:rPr>
            </w:pPr>
            <w:r>
              <w:rPr>
                <w:rFonts w:ascii="Arial" w:hAnsi="Arial"/>
                <w:b/>
                <w:sz w:val="20"/>
              </w:rPr>
              <w:t xml:space="preserve">Strategjia Kombëtare për Zhvillim (SKZh) 2030 </w:t>
            </w:r>
          </w:p>
          <w:p w14:paraId="5FA947B7" w14:textId="77777777" w:rsidR="00514A5B" w:rsidRPr="002C1177" w:rsidRDefault="00514A5B" w:rsidP="00514A5B">
            <w:pPr>
              <w:spacing w:after="0" w:line="240" w:lineRule="auto"/>
              <w:jc w:val="both"/>
              <w:rPr>
                <w:rFonts w:ascii="Arial" w:hAnsi="Arial" w:cs="Arial"/>
                <w:sz w:val="20"/>
                <w:szCs w:val="20"/>
              </w:rPr>
            </w:pPr>
            <w:r>
              <w:rPr>
                <w:rFonts w:ascii="Arial" w:hAnsi="Arial"/>
                <w:sz w:val="20"/>
              </w:rPr>
              <w:t>Shtylla 1: Zhvillimi i Qëndrueshëm Ekonomik</w:t>
            </w:r>
          </w:p>
          <w:p w14:paraId="7C31155D" w14:textId="77777777" w:rsidR="00514A5B" w:rsidRPr="002C1177" w:rsidRDefault="00514A5B" w:rsidP="00514A5B">
            <w:pPr>
              <w:spacing w:after="0" w:line="240" w:lineRule="auto"/>
              <w:jc w:val="both"/>
              <w:rPr>
                <w:rFonts w:ascii="Arial" w:hAnsi="Arial" w:cs="Arial"/>
                <w:sz w:val="20"/>
                <w:szCs w:val="20"/>
              </w:rPr>
            </w:pPr>
            <w:r>
              <w:rPr>
                <w:rFonts w:ascii="Arial" w:hAnsi="Arial"/>
                <w:sz w:val="20"/>
              </w:rPr>
              <w:t>1.1 Ekonomi inovative, qarkore dhe konkurruese</w:t>
            </w:r>
          </w:p>
          <w:p w14:paraId="020D817B" w14:textId="77777777" w:rsidR="00514A5B" w:rsidRPr="002C1177" w:rsidRDefault="00514A5B" w:rsidP="00514A5B">
            <w:pPr>
              <w:spacing w:after="0" w:line="240" w:lineRule="auto"/>
              <w:jc w:val="both"/>
              <w:rPr>
                <w:rFonts w:ascii="Arial" w:hAnsi="Arial" w:cs="Arial"/>
                <w:sz w:val="20"/>
                <w:szCs w:val="20"/>
              </w:rPr>
            </w:pPr>
            <w:r>
              <w:rPr>
                <w:rFonts w:ascii="Arial" w:hAnsi="Arial"/>
                <w:sz w:val="20"/>
              </w:rPr>
              <w:t>1.2 Infrastrukturë me cilësi të lartë, të qëndrueshme dhe të integruar</w:t>
            </w:r>
          </w:p>
          <w:p w14:paraId="5B2D065A" w14:textId="77777777" w:rsidR="00514A5B" w:rsidRPr="002C1177" w:rsidRDefault="00514A5B" w:rsidP="00514A5B">
            <w:pPr>
              <w:spacing w:after="0" w:line="240" w:lineRule="auto"/>
              <w:jc w:val="both"/>
              <w:rPr>
                <w:rFonts w:ascii="Arial" w:hAnsi="Arial" w:cs="Arial"/>
                <w:sz w:val="20"/>
                <w:szCs w:val="20"/>
              </w:rPr>
            </w:pPr>
            <w:r>
              <w:rPr>
                <w:rFonts w:ascii="Arial" w:hAnsi="Arial"/>
                <w:sz w:val="20"/>
              </w:rPr>
              <w:t>1.3 Mjedis i pastër dhe shfrytëzim i qëndrueshëm i burimeve natyrore</w:t>
            </w:r>
          </w:p>
          <w:p w14:paraId="69598D27" w14:textId="77777777" w:rsidR="00514A5B" w:rsidRPr="002C1177" w:rsidRDefault="00514A5B" w:rsidP="00514A5B">
            <w:pPr>
              <w:spacing w:after="0" w:line="240" w:lineRule="auto"/>
              <w:jc w:val="both"/>
              <w:rPr>
                <w:rFonts w:ascii="Arial" w:hAnsi="Arial" w:cs="Arial"/>
                <w:sz w:val="20"/>
                <w:szCs w:val="20"/>
              </w:rPr>
            </w:pPr>
          </w:p>
          <w:p w14:paraId="0A353A9C" w14:textId="2B88F593" w:rsidR="00514A5B" w:rsidRPr="002C1177" w:rsidRDefault="00514A5B" w:rsidP="00514A5B">
            <w:pPr>
              <w:spacing w:after="0" w:line="240" w:lineRule="auto"/>
              <w:jc w:val="both"/>
              <w:rPr>
                <w:rFonts w:ascii="Arial" w:hAnsi="Arial" w:cs="Arial"/>
                <w:sz w:val="20"/>
                <w:szCs w:val="20"/>
              </w:rPr>
            </w:pPr>
            <w:r>
              <w:rPr>
                <w:rFonts w:ascii="Arial" w:hAnsi="Arial"/>
                <w:sz w:val="20"/>
              </w:rPr>
              <w:t>Ky synim zhvillimor do të arrihet përmes këtyre objektivave strategjikë: Menaxhimi i integruar i mbeturinave dhe rritja e qarkullimit të burimeve, qasja e përmirësuar në ujë dhe kanalizime dhe reduktimi i ndotjes së ujit, rritja e pjesës së burimeve të rinovueshme në përzierjen e energjisë, përmirësimi i efiçiencës së energjisë, disponueshmëria dhe efikasiteti i përmirësuar i ujit, promovimi i lëvizshmërisë së qëndrueshme digjitale, menaxhimi dhe përdorimi i qëndrueshëm i burimeve pyjore dhe i mbrojtjes së biodiversitetit, planifikimi përgjegjës dhe zhvillimi i integruar territorial.</w:t>
            </w:r>
          </w:p>
          <w:p w14:paraId="44586108" w14:textId="6EA9FBFE" w:rsidR="005B2F5E" w:rsidRPr="002C1177" w:rsidRDefault="005B2F5E" w:rsidP="00514A5B">
            <w:pPr>
              <w:spacing w:after="0" w:line="240" w:lineRule="auto"/>
              <w:jc w:val="both"/>
              <w:rPr>
                <w:rFonts w:ascii="Arial" w:hAnsi="Arial" w:cs="Arial"/>
                <w:sz w:val="20"/>
                <w:szCs w:val="20"/>
              </w:rPr>
            </w:pPr>
            <w:r>
              <w:rPr>
                <w:rFonts w:ascii="Arial" w:hAnsi="Arial"/>
                <w:sz w:val="20"/>
              </w:rPr>
              <w:t xml:space="preserve">Strategjia Kombëtare për Ujërat 2017-2036 </w:t>
            </w:r>
          </w:p>
          <w:p w14:paraId="495177F1" w14:textId="3D39DE69" w:rsidR="007128F1" w:rsidRPr="002C1177" w:rsidRDefault="005B2F5E" w:rsidP="00514A5B">
            <w:pPr>
              <w:spacing w:after="0" w:line="240" w:lineRule="auto"/>
              <w:jc w:val="both"/>
              <w:rPr>
                <w:rFonts w:ascii="Arial" w:hAnsi="Arial" w:cs="Arial"/>
                <w:sz w:val="20"/>
                <w:szCs w:val="20"/>
              </w:rPr>
            </w:pPr>
            <w:r>
              <w:rPr>
                <w:rFonts w:ascii="Arial" w:hAnsi="Arial"/>
                <w:sz w:val="20"/>
              </w:rPr>
              <w:t>Strategjia për reduktimin e humbjeve të ujit 2018-2022 - KRU</w:t>
            </w:r>
          </w:p>
        </w:tc>
      </w:tr>
      <w:tr w:rsidR="007128F1" w:rsidRPr="002C1177" w14:paraId="6D875B8D" w14:textId="77777777" w:rsidTr="007128F1">
        <w:trPr>
          <w:trHeight w:val="330"/>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3CF13410" w14:textId="77777777" w:rsidR="007128F1" w:rsidRPr="002C1177" w:rsidRDefault="007128F1" w:rsidP="007128F1">
            <w:pPr>
              <w:spacing w:after="0" w:line="240" w:lineRule="auto"/>
              <w:rPr>
                <w:rFonts w:ascii="Arial" w:hAnsi="Arial" w:cs="Arial"/>
                <w:sz w:val="20"/>
                <w:szCs w:val="20"/>
              </w:rPr>
            </w:pPr>
            <w:r>
              <w:rPr>
                <w:rFonts w:ascii="Arial" w:hAnsi="Arial"/>
                <w:sz w:val="20"/>
              </w:rPr>
              <w:t>A mbulohet projekti nga strategjia sektoriale përkatëse, nga një plan veprimi sektorial apo nga një masterplan sektori?</w:t>
            </w:r>
          </w:p>
        </w:tc>
        <w:tc>
          <w:tcPr>
            <w:tcW w:w="2989" w:type="pct"/>
            <w:tcBorders>
              <w:top w:val="single" w:sz="4" w:space="0" w:color="auto"/>
              <w:left w:val="single" w:sz="4" w:space="0" w:color="auto"/>
              <w:bottom w:val="single" w:sz="4" w:space="0" w:color="auto"/>
              <w:right w:val="single" w:sz="4" w:space="0" w:color="auto"/>
            </w:tcBorders>
            <w:vAlign w:val="center"/>
          </w:tcPr>
          <w:p w14:paraId="171A0373" w14:textId="77777777" w:rsidR="00514A5B" w:rsidRPr="002C1177" w:rsidRDefault="00514A5B" w:rsidP="00514A5B">
            <w:pPr>
              <w:spacing w:after="0" w:line="240" w:lineRule="auto"/>
              <w:jc w:val="both"/>
              <w:rPr>
                <w:rFonts w:ascii="Arial" w:hAnsi="Arial" w:cs="Arial"/>
                <w:b/>
                <w:bCs/>
                <w:sz w:val="20"/>
                <w:szCs w:val="20"/>
              </w:rPr>
            </w:pPr>
            <w:r>
              <w:rPr>
                <w:rFonts w:ascii="Arial" w:hAnsi="Arial"/>
                <w:b/>
                <w:sz w:val="20"/>
              </w:rPr>
              <w:t>Shqyrtimi i Strategjisë Shtetërore për Ujëra 2023 – 2027 dhe Planit të Veprimit 2023 - 2025</w:t>
            </w:r>
          </w:p>
          <w:p w14:paraId="5C030E1F" w14:textId="77777777" w:rsidR="00514A5B" w:rsidRPr="002C1177" w:rsidRDefault="00514A5B" w:rsidP="00514A5B">
            <w:pPr>
              <w:spacing w:after="0" w:line="240" w:lineRule="auto"/>
              <w:jc w:val="both"/>
              <w:rPr>
                <w:rFonts w:ascii="Arial" w:hAnsi="Arial" w:cs="Arial"/>
                <w:sz w:val="20"/>
                <w:szCs w:val="20"/>
              </w:rPr>
            </w:pPr>
          </w:p>
          <w:p w14:paraId="7C418FB4" w14:textId="77777777" w:rsidR="00514A5B" w:rsidRPr="002C1177" w:rsidRDefault="00514A5B" w:rsidP="00514A5B">
            <w:pPr>
              <w:spacing w:after="0" w:line="240" w:lineRule="auto"/>
              <w:jc w:val="both"/>
              <w:rPr>
                <w:rFonts w:ascii="Arial" w:hAnsi="Arial" w:cs="Arial"/>
                <w:sz w:val="20"/>
                <w:szCs w:val="20"/>
              </w:rPr>
            </w:pPr>
            <w:r>
              <w:rPr>
                <w:rFonts w:ascii="Arial" w:hAnsi="Arial"/>
                <w:sz w:val="20"/>
              </w:rPr>
              <w:t>Rishikimi i Strategjisë Shtetërore për Ujëra 2023-2027 synon menaxhimin sa më efektiv të burimeve ujore për të siguruar sasinë e ujit dhe cilësinë e duhur të tij, për nevojat e popullsisë dhe zhvillimin ekonomik. Ai përcakton objektivat specifike të burimeve ujore, duke filluar nga gjendja ekzistuese e sektorit të ujit, duke detajuar kërkesat, strukturat menaxhuese, kërkesat për mbrojtjen dhe përmirësimin e gjendjes së cilësisë së ujit dhe mbrojtjen nga uji.</w:t>
            </w:r>
          </w:p>
          <w:p w14:paraId="7A32E16D" w14:textId="77777777" w:rsidR="00514A5B" w:rsidRPr="002C1177" w:rsidRDefault="00514A5B" w:rsidP="00514A5B">
            <w:pPr>
              <w:spacing w:after="0" w:line="240" w:lineRule="auto"/>
              <w:jc w:val="both"/>
              <w:rPr>
                <w:rFonts w:ascii="Arial" w:hAnsi="Arial" w:cs="Arial"/>
                <w:sz w:val="20"/>
                <w:szCs w:val="20"/>
              </w:rPr>
            </w:pPr>
          </w:p>
          <w:p w14:paraId="0CFF0850" w14:textId="77777777" w:rsidR="00514A5B" w:rsidRPr="002C1177" w:rsidRDefault="00514A5B" w:rsidP="00514A5B">
            <w:pPr>
              <w:spacing w:after="0" w:line="240" w:lineRule="auto"/>
              <w:jc w:val="both"/>
              <w:rPr>
                <w:rFonts w:ascii="Arial" w:hAnsi="Arial" w:cs="Arial"/>
                <w:sz w:val="20"/>
                <w:szCs w:val="20"/>
              </w:rPr>
            </w:pPr>
            <w:r>
              <w:rPr>
                <w:rFonts w:ascii="Arial" w:hAnsi="Arial"/>
                <w:sz w:val="20"/>
              </w:rPr>
              <w:t xml:space="preserve">Objektivat strategjikë janë riformuluar në kuadër të periudhës 5-vjeçare: </w:t>
            </w:r>
          </w:p>
          <w:p w14:paraId="2EEEA654" w14:textId="77777777" w:rsidR="00514A5B" w:rsidRPr="002C1177" w:rsidRDefault="00514A5B" w:rsidP="00514A5B">
            <w:pPr>
              <w:spacing w:after="0" w:line="240" w:lineRule="auto"/>
              <w:jc w:val="both"/>
              <w:rPr>
                <w:rFonts w:ascii="Arial" w:hAnsi="Arial" w:cs="Arial"/>
                <w:sz w:val="20"/>
                <w:szCs w:val="20"/>
              </w:rPr>
            </w:pPr>
            <w:r>
              <w:rPr>
                <w:rFonts w:ascii="Arial" w:hAnsi="Arial"/>
                <w:sz w:val="20"/>
              </w:rPr>
              <w:t xml:space="preserve">Objektivi 1 - Përmirësimi i menaxhimit të ujit dhe konsolidimi i kornizës institucionale; </w:t>
            </w:r>
          </w:p>
          <w:p w14:paraId="146FA003" w14:textId="77777777" w:rsidR="00514A5B" w:rsidRPr="002C1177" w:rsidRDefault="00514A5B" w:rsidP="00514A5B">
            <w:pPr>
              <w:spacing w:after="0" w:line="240" w:lineRule="auto"/>
              <w:jc w:val="both"/>
              <w:rPr>
                <w:rFonts w:ascii="Arial" w:hAnsi="Arial" w:cs="Arial"/>
                <w:sz w:val="20"/>
                <w:szCs w:val="20"/>
              </w:rPr>
            </w:pPr>
            <w:r>
              <w:rPr>
                <w:rFonts w:ascii="Arial" w:hAnsi="Arial"/>
                <w:sz w:val="20"/>
              </w:rPr>
              <w:t xml:space="preserve">Objektivi 2 - Siguria afatgjatë e ujit për përdoruesit dhe siguria e digave ekzistuese; Objektivi 3 - Mbrojtja e burimeve ujore dhe mbrojtja nga uji, sigurimi i mbrojtjes së ekosistemit dhe popullsisë; </w:t>
            </w:r>
          </w:p>
          <w:p w14:paraId="371BDE07" w14:textId="195A4F1C" w:rsidR="00514A5B" w:rsidRPr="002C1177" w:rsidRDefault="00514A5B" w:rsidP="00514A5B">
            <w:pPr>
              <w:spacing w:after="0" w:line="240" w:lineRule="auto"/>
              <w:jc w:val="both"/>
              <w:rPr>
                <w:rFonts w:ascii="Arial" w:hAnsi="Arial" w:cs="Arial"/>
                <w:sz w:val="20"/>
                <w:szCs w:val="20"/>
              </w:rPr>
            </w:pPr>
            <w:r>
              <w:rPr>
                <w:rFonts w:ascii="Arial" w:hAnsi="Arial"/>
                <w:sz w:val="20"/>
              </w:rPr>
              <w:t>Objektivi 4 - Përmirësimi i besueshmërisë dhe cilësisë së shërbimeve të ujit.</w:t>
            </w:r>
          </w:p>
          <w:p w14:paraId="0C672F1E" w14:textId="4041CB2A" w:rsidR="007128F1" w:rsidRPr="002C1177" w:rsidRDefault="005B2F5E" w:rsidP="00514A5B">
            <w:pPr>
              <w:spacing w:after="0" w:line="240" w:lineRule="auto"/>
              <w:jc w:val="both"/>
              <w:rPr>
                <w:rFonts w:ascii="Arial" w:hAnsi="Arial" w:cs="Arial"/>
                <w:b/>
                <w:bCs/>
                <w:sz w:val="20"/>
                <w:szCs w:val="20"/>
              </w:rPr>
            </w:pPr>
            <w:r>
              <w:rPr>
                <w:rFonts w:ascii="Arial" w:hAnsi="Arial"/>
                <w:b/>
                <w:sz w:val="20"/>
              </w:rPr>
              <w:t>Planet Afatgjata të Investimeve - KRU</w:t>
            </w:r>
          </w:p>
        </w:tc>
      </w:tr>
    </w:tbl>
    <w:p w14:paraId="7CD01F43" w14:textId="77777777" w:rsidR="006F1611" w:rsidRPr="002C1177" w:rsidRDefault="006F1611">
      <w:pPr>
        <w:spacing w:after="0" w:line="240" w:lineRule="auto"/>
        <w:rPr>
          <w:rFonts w:ascii="Arial" w:hAnsi="Arial" w:cs="Arial"/>
        </w:rPr>
      </w:pPr>
    </w:p>
    <w:p w14:paraId="574C5509" w14:textId="77777777" w:rsidR="006F1611" w:rsidRPr="002C1177" w:rsidRDefault="0074067A" w:rsidP="0074067A">
      <w:pPr>
        <w:pStyle w:val="ListParagraph"/>
        <w:numPr>
          <w:ilvl w:val="0"/>
          <w:numId w:val="41"/>
        </w:numPr>
        <w:spacing w:before="200" w:after="120"/>
        <w:rPr>
          <w:rFonts w:cs="Arial"/>
          <w:b/>
        </w:rPr>
      </w:pPr>
      <w:r>
        <w:rPr>
          <w:b/>
        </w:rPr>
        <w:lastRenderedPageBreak/>
        <w:t>RELEVANCA STRATEGJIKE</w:t>
      </w:r>
    </w:p>
    <w:tbl>
      <w:tblPr>
        <w:tblW w:w="4947" w:type="pct"/>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938"/>
        <w:gridCol w:w="5853"/>
      </w:tblGrid>
      <w:tr w:rsidR="007128F1" w:rsidRPr="002C1177" w14:paraId="5B364AF2" w14:textId="77777777" w:rsidTr="007128F1">
        <w:trPr>
          <w:trHeight w:val="4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6671250" w14:textId="77777777" w:rsidR="007128F1" w:rsidRPr="002C1177" w:rsidRDefault="007128F1" w:rsidP="007128F1">
            <w:pPr>
              <w:spacing w:after="0" w:line="240" w:lineRule="auto"/>
              <w:rPr>
                <w:rFonts w:ascii="Arial" w:hAnsi="Arial" w:cs="Arial"/>
                <w:sz w:val="20"/>
                <w:szCs w:val="20"/>
              </w:rPr>
            </w:pPr>
            <w:r>
              <w:rPr>
                <w:rFonts w:ascii="Arial" w:hAnsi="Arial"/>
                <w:b/>
                <w:sz w:val="20"/>
              </w:rPr>
              <w:t>Shpjegoni veçoritë e projektit në lidhje me:</w:t>
            </w:r>
          </w:p>
        </w:tc>
      </w:tr>
      <w:tr w:rsidR="007128F1" w:rsidRPr="002C1177" w14:paraId="05FECCB5"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4CE6157B" w14:textId="235A343A" w:rsidR="007128F1" w:rsidRPr="002C1177" w:rsidRDefault="007128F1" w:rsidP="00AA5B2E">
            <w:pPr>
              <w:spacing w:after="0" w:line="240" w:lineRule="auto"/>
              <w:rPr>
                <w:rFonts w:ascii="Arial" w:hAnsi="Arial" w:cs="Arial"/>
                <w:sz w:val="20"/>
                <w:szCs w:val="20"/>
              </w:rPr>
            </w:pPr>
            <w:r>
              <w:rPr>
                <w:rFonts w:ascii="Arial" w:hAnsi="Arial"/>
                <w:sz w:val="20"/>
              </w:rPr>
              <w:t>Përfitimet e drejtpërdrejta për mjedisin</w:t>
            </w:r>
          </w:p>
        </w:tc>
        <w:tc>
          <w:tcPr>
            <w:tcW w:w="2989" w:type="pct"/>
            <w:tcBorders>
              <w:top w:val="single" w:sz="4" w:space="0" w:color="auto"/>
              <w:left w:val="single" w:sz="4" w:space="0" w:color="auto"/>
              <w:bottom w:val="single" w:sz="4" w:space="0" w:color="auto"/>
              <w:right w:val="single" w:sz="4" w:space="0" w:color="auto"/>
            </w:tcBorders>
            <w:vAlign w:val="center"/>
          </w:tcPr>
          <w:p w14:paraId="695EFFDF" w14:textId="2DA5FA36" w:rsidR="00514A5B" w:rsidRPr="002C1177" w:rsidRDefault="00514A5B" w:rsidP="00514A5B">
            <w:pPr>
              <w:spacing w:after="0" w:line="240" w:lineRule="auto"/>
              <w:jc w:val="both"/>
              <w:rPr>
                <w:rFonts w:ascii="Arial" w:hAnsi="Arial" w:cs="Arial"/>
                <w:sz w:val="20"/>
                <w:szCs w:val="20"/>
              </w:rPr>
            </w:pPr>
            <w:r>
              <w:rPr>
                <w:rFonts w:ascii="Arial" w:hAnsi="Arial"/>
                <w:sz w:val="20"/>
              </w:rPr>
              <w:t>Përmirësimi i menaxhimit të ujit për sigurinë e ujit, garantimi i mbrojtjes së ekosistemit dhe popullatës duke mos tejpërdorur rezervat ujore, duke përmirësuar besueshmërinë, cilësinë dhe sasinë e rezervave ujore në dispozicion.</w:t>
            </w:r>
          </w:p>
          <w:p w14:paraId="31D2FB48" w14:textId="7C8B03DF" w:rsidR="007128F1" w:rsidRPr="002C1177" w:rsidRDefault="007128F1" w:rsidP="007128F1">
            <w:pPr>
              <w:spacing w:after="0" w:line="240" w:lineRule="auto"/>
              <w:rPr>
                <w:rFonts w:ascii="Arial" w:hAnsi="Arial" w:cs="Arial"/>
                <w:sz w:val="20"/>
                <w:szCs w:val="20"/>
              </w:rPr>
            </w:pPr>
          </w:p>
        </w:tc>
      </w:tr>
      <w:tr w:rsidR="007128F1" w:rsidRPr="002C1177" w14:paraId="5021418C"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AFFDD2D" w14:textId="7217F90A" w:rsidR="007128F1" w:rsidRPr="002C1177" w:rsidRDefault="00AA5B2E" w:rsidP="007128F1">
            <w:pPr>
              <w:spacing w:after="0" w:line="240" w:lineRule="auto"/>
              <w:rPr>
                <w:rFonts w:ascii="Arial" w:hAnsi="Arial" w:cs="Arial"/>
                <w:sz w:val="20"/>
                <w:szCs w:val="20"/>
              </w:rPr>
            </w:pPr>
            <w:r>
              <w:rPr>
                <w:rFonts w:ascii="Arial" w:hAnsi="Arial"/>
                <w:sz w:val="20"/>
              </w:rPr>
              <w:t xml:space="preserve">Kontributin </w:t>
            </w:r>
            <w:r w:rsidR="007128F1">
              <w:rPr>
                <w:rFonts w:ascii="Arial" w:hAnsi="Arial"/>
                <w:sz w:val="20"/>
              </w:rPr>
              <w:t>në reduktimin e CO</w:t>
            </w:r>
            <w:r w:rsidR="007128F1">
              <w:rPr>
                <w:rFonts w:ascii="Arial" w:hAnsi="Arial"/>
                <w:sz w:val="20"/>
                <w:vertAlign w:val="subscript"/>
              </w:rPr>
              <w:t>2</w:t>
            </w:r>
            <w:r w:rsidR="007128F1">
              <w:rPr>
                <w:rFonts w:ascii="Arial" w:hAnsi="Arial"/>
                <w:sz w:val="20"/>
              </w:rPr>
              <w:t xml:space="preserve"> dhe/ose zhurmave dhe/ose emetimeve të tjera të dëmshme</w:t>
            </w:r>
          </w:p>
        </w:tc>
        <w:tc>
          <w:tcPr>
            <w:tcW w:w="2989" w:type="pct"/>
            <w:tcBorders>
              <w:top w:val="single" w:sz="4" w:space="0" w:color="auto"/>
              <w:left w:val="single" w:sz="4" w:space="0" w:color="auto"/>
              <w:bottom w:val="single" w:sz="4" w:space="0" w:color="auto"/>
              <w:right w:val="single" w:sz="4" w:space="0" w:color="auto"/>
            </w:tcBorders>
            <w:vAlign w:val="center"/>
          </w:tcPr>
          <w:p w14:paraId="64D4BB45" w14:textId="77777777" w:rsidR="007128F1" w:rsidRPr="002C1177" w:rsidRDefault="007128F1" w:rsidP="007128F1">
            <w:pPr>
              <w:spacing w:after="0" w:line="240" w:lineRule="auto"/>
              <w:rPr>
                <w:rFonts w:ascii="Arial" w:hAnsi="Arial" w:cs="Arial"/>
                <w:sz w:val="20"/>
                <w:szCs w:val="20"/>
              </w:rPr>
            </w:pPr>
          </w:p>
        </w:tc>
      </w:tr>
      <w:tr w:rsidR="007128F1" w:rsidRPr="002C1177" w14:paraId="3CD0C62D"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26DC7EE3" w14:textId="77777777" w:rsidR="007128F1" w:rsidRPr="002C1177" w:rsidRDefault="007128F1" w:rsidP="007128F1">
            <w:pPr>
              <w:spacing w:after="0" w:line="240" w:lineRule="auto"/>
              <w:rPr>
                <w:rFonts w:ascii="Arial" w:hAnsi="Arial" w:cs="Arial"/>
                <w:sz w:val="20"/>
                <w:szCs w:val="20"/>
              </w:rPr>
            </w:pPr>
            <w:r>
              <w:rPr>
                <w:rFonts w:ascii="Arial" w:hAnsi="Arial"/>
                <w:sz w:val="20"/>
              </w:rPr>
              <w:t>Numrin e personave që do të përfitojnë nga projekti</w:t>
            </w:r>
          </w:p>
        </w:tc>
        <w:tc>
          <w:tcPr>
            <w:tcW w:w="2989" w:type="pct"/>
            <w:tcBorders>
              <w:top w:val="single" w:sz="4" w:space="0" w:color="auto"/>
              <w:left w:val="single" w:sz="4" w:space="0" w:color="auto"/>
              <w:bottom w:val="single" w:sz="4" w:space="0" w:color="auto"/>
              <w:right w:val="single" w:sz="4" w:space="0" w:color="auto"/>
            </w:tcBorders>
            <w:vAlign w:val="center"/>
          </w:tcPr>
          <w:p w14:paraId="73FC9AEF" w14:textId="04928C00" w:rsidR="007128F1" w:rsidRPr="002C1177" w:rsidRDefault="0016789F" w:rsidP="007128F1">
            <w:pPr>
              <w:spacing w:after="0" w:line="240" w:lineRule="auto"/>
              <w:rPr>
                <w:rFonts w:ascii="Arial" w:hAnsi="Arial" w:cs="Arial"/>
                <w:sz w:val="20"/>
                <w:szCs w:val="20"/>
              </w:rPr>
            </w:pPr>
            <w:r>
              <w:rPr>
                <w:rFonts w:ascii="Arial" w:hAnsi="Arial"/>
                <w:sz w:val="20"/>
              </w:rPr>
              <w:t>Popullsia totale që do të përfitojë nga investimi siç parashikohet do të jetë 375,850 persona, nga rreth 1,275,000</w:t>
            </w:r>
          </w:p>
        </w:tc>
      </w:tr>
      <w:tr w:rsidR="007128F1" w:rsidRPr="002C1177" w14:paraId="2A2F1525"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304F6FDC" w14:textId="48812D9B" w:rsidR="007128F1" w:rsidRPr="002C1177" w:rsidRDefault="00AA5B2E" w:rsidP="007128F1">
            <w:pPr>
              <w:spacing w:after="0" w:line="240" w:lineRule="auto"/>
              <w:rPr>
                <w:rFonts w:ascii="Arial" w:hAnsi="Arial" w:cs="Arial"/>
                <w:sz w:val="20"/>
                <w:szCs w:val="20"/>
              </w:rPr>
            </w:pPr>
            <w:r>
              <w:rPr>
                <w:rFonts w:ascii="Arial" w:hAnsi="Arial"/>
                <w:sz w:val="20"/>
              </w:rPr>
              <w:t xml:space="preserve">Shkallën në të cilën </w:t>
            </w:r>
            <w:r w:rsidR="007128F1">
              <w:rPr>
                <w:rFonts w:ascii="Arial" w:hAnsi="Arial"/>
                <w:sz w:val="20"/>
              </w:rPr>
              <w:t>kontribuon në uljen e ndotjes në një rajon më të gjerë rreth vendndodhjes së tij</w:t>
            </w:r>
          </w:p>
        </w:tc>
        <w:tc>
          <w:tcPr>
            <w:tcW w:w="2989" w:type="pct"/>
            <w:tcBorders>
              <w:top w:val="single" w:sz="4" w:space="0" w:color="auto"/>
              <w:left w:val="single" w:sz="4" w:space="0" w:color="auto"/>
              <w:bottom w:val="single" w:sz="4" w:space="0" w:color="auto"/>
              <w:right w:val="single" w:sz="4" w:space="0" w:color="auto"/>
            </w:tcBorders>
            <w:vAlign w:val="center"/>
          </w:tcPr>
          <w:p w14:paraId="728317A5" w14:textId="77777777" w:rsidR="007128F1" w:rsidRPr="002C1177" w:rsidRDefault="007128F1" w:rsidP="007128F1">
            <w:pPr>
              <w:spacing w:after="0" w:line="240" w:lineRule="auto"/>
              <w:rPr>
                <w:rFonts w:ascii="Arial" w:hAnsi="Arial" w:cs="Arial"/>
                <w:sz w:val="20"/>
                <w:szCs w:val="20"/>
              </w:rPr>
            </w:pPr>
          </w:p>
        </w:tc>
      </w:tr>
      <w:tr w:rsidR="007128F1" w:rsidRPr="002C1177" w14:paraId="0962F75E"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6B4AFE30" w14:textId="77777777" w:rsidR="007128F1" w:rsidRPr="002C1177" w:rsidRDefault="007128F1" w:rsidP="007128F1">
            <w:pPr>
              <w:spacing w:after="0" w:line="240" w:lineRule="auto"/>
              <w:rPr>
                <w:rFonts w:ascii="Arial" w:hAnsi="Arial" w:cs="Arial"/>
                <w:sz w:val="20"/>
                <w:szCs w:val="20"/>
              </w:rPr>
            </w:pPr>
            <w:r>
              <w:rPr>
                <w:rFonts w:ascii="Arial" w:hAnsi="Arial"/>
                <w:sz w:val="20"/>
              </w:rPr>
              <w:t>Përballueshmërinë e shërbimeve për përdoruesit fundorë</w:t>
            </w:r>
          </w:p>
        </w:tc>
        <w:tc>
          <w:tcPr>
            <w:tcW w:w="2989" w:type="pct"/>
            <w:tcBorders>
              <w:top w:val="single" w:sz="4" w:space="0" w:color="auto"/>
              <w:left w:val="single" w:sz="4" w:space="0" w:color="auto"/>
              <w:bottom w:val="single" w:sz="4" w:space="0" w:color="auto"/>
              <w:right w:val="single" w:sz="4" w:space="0" w:color="auto"/>
            </w:tcBorders>
            <w:vAlign w:val="center"/>
          </w:tcPr>
          <w:p w14:paraId="370657CC" w14:textId="5E03E34D" w:rsidR="007128F1" w:rsidRPr="002C1177" w:rsidRDefault="0016789F" w:rsidP="007128F1">
            <w:pPr>
              <w:spacing w:after="0" w:line="240" w:lineRule="auto"/>
              <w:rPr>
                <w:rFonts w:ascii="Arial" w:hAnsi="Arial" w:cs="Arial"/>
                <w:sz w:val="20"/>
                <w:szCs w:val="20"/>
              </w:rPr>
            </w:pPr>
            <w:r>
              <w:rPr>
                <w:rFonts w:ascii="Arial" w:hAnsi="Arial"/>
                <w:sz w:val="20"/>
              </w:rPr>
              <w:t>Përmirëson saktësinë e matjes së ujit e cila do të ketë një ndikim pozitiv për faturat e konsumatorëve</w:t>
            </w:r>
          </w:p>
        </w:tc>
      </w:tr>
      <w:tr w:rsidR="007128F1" w:rsidRPr="002C1177" w14:paraId="52D20C2C"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34B884DA" w14:textId="77777777" w:rsidR="007128F1" w:rsidRPr="002C1177" w:rsidRDefault="007128F1" w:rsidP="007128F1">
            <w:pPr>
              <w:spacing w:after="0" w:line="240" w:lineRule="auto"/>
              <w:rPr>
                <w:rFonts w:ascii="Arial" w:hAnsi="Arial" w:cs="Arial"/>
                <w:sz w:val="20"/>
                <w:szCs w:val="20"/>
              </w:rPr>
            </w:pPr>
            <w:r>
              <w:rPr>
                <w:rFonts w:ascii="Arial" w:hAnsi="Arial"/>
                <w:sz w:val="20"/>
              </w:rPr>
              <w:t>Rreziqet që lidhen me projektin</w:t>
            </w:r>
          </w:p>
        </w:tc>
        <w:tc>
          <w:tcPr>
            <w:tcW w:w="2989" w:type="pct"/>
            <w:tcBorders>
              <w:top w:val="single" w:sz="4" w:space="0" w:color="auto"/>
              <w:left w:val="single" w:sz="4" w:space="0" w:color="auto"/>
              <w:bottom w:val="single" w:sz="4" w:space="0" w:color="auto"/>
              <w:right w:val="single" w:sz="4" w:space="0" w:color="auto"/>
            </w:tcBorders>
            <w:vAlign w:val="center"/>
          </w:tcPr>
          <w:p w14:paraId="25CD5F69" w14:textId="77777777" w:rsidR="007128F1" w:rsidRPr="002C1177" w:rsidRDefault="007128F1" w:rsidP="007128F1">
            <w:pPr>
              <w:spacing w:after="0" w:line="240" w:lineRule="auto"/>
              <w:rPr>
                <w:rFonts w:ascii="Arial" w:hAnsi="Arial" w:cs="Arial"/>
                <w:sz w:val="20"/>
                <w:szCs w:val="20"/>
              </w:rPr>
            </w:pPr>
          </w:p>
        </w:tc>
      </w:tr>
      <w:tr w:rsidR="007128F1" w:rsidRPr="002C1177" w14:paraId="4B8705D9"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F29C355" w14:textId="77777777" w:rsidR="007128F1" w:rsidRPr="002C1177" w:rsidRDefault="007128F1" w:rsidP="007128F1">
            <w:pPr>
              <w:spacing w:after="0" w:line="240" w:lineRule="auto"/>
              <w:rPr>
                <w:rFonts w:ascii="Arial" w:hAnsi="Arial" w:cs="Arial"/>
                <w:sz w:val="20"/>
                <w:szCs w:val="20"/>
              </w:rPr>
            </w:pPr>
            <w:r>
              <w:rPr>
                <w:rFonts w:ascii="Arial" w:hAnsi="Arial"/>
                <w:sz w:val="20"/>
              </w:rPr>
              <w:t>Partneritetin e organizatave dhe institucioneve të përfshira</w:t>
            </w:r>
          </w:p>
        </w:tc>
        <w:tc>
          <w:tcPr>
            <w:tcW w:w="2989" w:type="pct"/>
            <w:tcBorders>
              <w:top w:val="single" w:sz="4" w:space="0" w:color="auto"/>
              <w:left w:val="single" w:sz="4" w:space="0" w:color="auto"/>
              <w:bottom w:val="single" w:sz="4" w:space="0" w:color="auto"/>
              <w:right w:val="single" w:sz="4" w:space="0" w:color="auto"/>
            </w:tcBorders>
            <w:vAlign w:val="center"/>
          </w:tcPr>
          <w:p w14:paraId="0DEB4D1A" w14:textId="77777777" w:rsidR="0016789F" w:rsidRPr="002C1177" w:rsidRDefault="0016789F" w:rsidP="0016789F">
            <w:pPr>
              <w:spacing w:after="0" w:line="240" w:lineRule="auto"/>
              <w:jc w:val="both"/>
              <w:rPr>
                <w:rFonts w:ascii="Arial" w:hAnsi="Arial" w:cs="Arial"/>
                <w:sz w:val="20"/>
                <w:szCs w:val="20"/>
              </w:rPr>
            </w:pPr>
            <w:r>
              <w:rPr>
                <w:rFonts w:ascii="Arial" w:hAnsi="Arial"/>
                <w:sz w:val="20"/>
              </w:rPr>
              <w:t xml:space="preserve">Palët e interesit lokale të përfshira në projekt janë ata të cilët rolet janë përcaktuar me Ligjin për Ujërat e vitit 2004 brenda kornizës institucionale të sektorit të ujësjellësit në Kosovë. Ajo përfshin: </w:t>
            </w:r>
          </w:p>
          <w:p w14:paraId="16F99658" w14:textId="77777777" w:rsidR="0016789F" w:rsidRPr="002C1177" w:rsidRDefault="0016789F" w:rsidP="0016789F">
            <w:pPr>
              <w:spacing w:after="0" w:line="240" w:lineRule="auto"/>
              <w:jc w:val="both"/>
              <w:rPr>
                <w:rFonts w:ascii="Arial" w:hAnsi="Arial" w:cs="Arial"/>
                <w:sz w:val="20"/>
                <w:szCs w:val="20"/>
              </w:rPr>
            </w:pPr>
            <w:r>
              <w:rPr>
                <w:rFonts w:ascii="Arial" w:hAnsi="Arial"/>
                <w:sz w:val="20"/>
              </w:rPr>
              <w:t xml:space="preserve">- Kompanitë Rajonale të Ujësjellësit:  Prishtina, Hidromorava, Bifurkacioni, Radoniqi, HidroRegjioni Jugor, Hidrodrini, dhe Mitrovica. Këto kompani janë të organizuara si Shoqëri Aksionare ku aksionar është Qeveria e Kosovës, përmes Ministrisë së Ekonomisë. KRU-të ofrojnë shërbime të furnizimit me ujë dhe kanalizime për klientët e tyre.  Sa i përket projektit KRU-të do të jenë përgjegjëse për zbatimin dhe funksionimin e projektit, që do të thotë ndër të tjera miratimet, kryerja e procedurave të tenderit, mbikëqyrja e punimeve të ndërtimit, administrimi financiar i projektit, monitorimi i rreziqeve të rëndësishme për suksesin e projektit, monitorimi dhe sigurimi i objektivave të Projektit. </w:t>
            </w:r>
          </w:p>
          <w:p w14:paraId="000974C8" w14:textId="77777777" w:rsidR="0016789F" w:rsidRPr="002C1177" w:rsidRDefault="0016789F" w:rsidP="0016789F">
            <w:pPr>
              <w:spacing w:after="0" w:line="240" w:lineRule="auto"/>
              <w:jc w:val="both"/>
              <w:rPr>
                <w:rFonts w:ascii="Arial" w:hAnsi="Arial" w:cs="Arial"/>
                <w:sz w:val="20"/>
                <w:szCs w:val="20"/>
              </w:rPr>
            </w:pPr>
            <w:r>
              <w:rPr>
                <w:rFonts w:ascii="Arial" w:hAnsi="Arial"/>
                <w:sz w:val="20"/>
              </w:rPr>
              <w:t xml:space="preserve">- Këshilli Ndërministror për Ujëra (KNMU), i kryesuar nga Zëvendëskryeministri, jep opinione dhe rekomandime për politikat sektoriale dhe planet e veprimit bazuar në praktikat e mira. Ai përbëhet nga shtatë anëtarë: Kryeministri, Ministri i Mjedisit dhe Planifikimit Hapësinor, Ministri i Zhvillimit Ekonomik, Ministri i Pushtetit Lokal, Ministri i Punëve të Jashtme dhe dy përfaqësues të komunitetit të donatorëve duke përfshirë edhe Bashkëpunimin Zviceran. </w:t>
            </w:r>
          </w:p>
          <w:p w14:paraId="05D1C2B9" w14:textId="77777777" w:rsidR="0016789F" w:rsidRPr="002C1177" w:rsidRDefault="0016789F" w:rsidP="0016789F">
            <w:pPr>
              <w:spacing w:after="0" w:line="240" w:lineRule="auto"/>
              <w:jc w:val="both"/>
              <w:rPr>
                <w:rFonts w:ascii="Arial" w:hAnsi="Arial" w:cs="Arial"/>
                <w:sz w:val="20"/>
                <w:szCs w:val="20"/>
              </w:rPr>
            </w:pPr>
            <w:r>
              <w:rPr>
                <w:rFonts w:ascii="Arial" w:hAnsi="Arial"/>
                <w:sz w:val="20"/>
              </w:rPr>
              <w:t>- Ministria e Ekonomisë është përgjegjëse për administrimin e kompanive publike për menaxhimin dhe administrimin e burimeve ujore. ME pret disa administrata dhe agjenci të lidhura me ujin.</w:t>
            </w:r>
          </w:p>
          <w:p w14:paraId="5B27F12C" w14:textId="77777777" w:rsidR="0016789F" w:rsidRPr="002C1177" w:rsidRDefault="0016789F" w:rsidP="0016789F">
            <w:pPr>
              <w:spacing w:after="0" w:line="240" w:lineRule="auto"/>
              <w:jc w:val="both"/>
              <w:rPr>
                <w:rFonts w:ascii="Arial" w:hAnsi="Arial" w:cs="Arial"/>
                <w:sz w:val="20"/>
                <w:szCs w:val="20"/>
              </w:rPr>
            </w:pPr>
            <w:r>
              <w:rPr>
                <w:rFonts w:ascii="Arial" w:hAnsi="Arial"/>
                <w:sz w:val="20"/>
              </w:rPr>
              <w:t>- Ministria e Financave (MF) është përgjegjëse për ndarjet buxhetore nga burimet e brendshme dhe të jashtme, veçanërisht përmes Divizionit të saj për Bashkëpunim Financiar Ndërkombëtar kur bëhet fjalë për projektet e financuara nga IFN-të.</w:t>
            </w:r>
          </w:p>
          <w:p w14:paraId="265C14CC" w14:textId="77777777" w:rsidR="0016789F" w:rsidRPr="002C1177" w:rsidRDefault="0016789F" w:rsidP="0016789F">
            <w:pPr>
              <w:spacing w:after="0" w:line="240" w:lineRule="auto"/>
              <w:jc w:val="both"/>
              <w:rPr>
                <w:rFonts w:ascii="Arial" w:hAnsi="Arial" w:cs="Arial"/>
                <w:sz w:val="20"/>
                <w:szCs w:val="20"/>
              </w:rPr>
            </w:pPr>
            <w:r>
              <w:rPr>
                <w:rFonts w:ascii="Arial" w:hAnsi="Arial"/>
                <w:sz w:val="20"/>
              </w:rPr>
              <w:t>- Ministria e Mjedisit, Planifikimit Hapësinor dhe Infrastrukturës është përgjegjëse për një sërë çështjesh të rëndësishme të planifikimit mjedisor dhe hapësinor, duke përfshirë burimet ujore, mbeturinat, pyjet, cilësinë e ajrit, menaxhimin e tokës dhe zhvillimin e planifikimit. Ministria është institucioni kryesor në sektorin e ujit përgjegjës për hartimin e strategjive sektoriale, shpronësimit të tokës dhe politikave.</w:t>
            </w:r>
          </w:p>
          <w:p w14:paraId="3596A862" w14:textId="77777777" w:rsidR="0016789F" w:rsidRPr="002C1177" w:rsidRDefault="0016789F" w:rsidP="0016789F">
            <w:pPr>
              <w:spacing w:after="0" w:line="240" w:lineRule="auto"/>
              <w:jc w:val="both"/>
              <w:rPr>
                <w:rFonts w:ascii="Arial" w:hAnsi="Arial" w:cs="Arial"/>
                <w:sz w:val="20"/>
                <w:szCs w:val="20"/>
              </w:rPr>
            </w:pPr>
            <w:r>
              <w:rPr>
                <w:rFonts w:ascii="Arial" w:hAnsi="Arial"/>
                <w:sz w:val="20"/>
              </w:rPr>
              <w:t>- Autoriteti Rregullator për Shërbimet e Ujit (ARRU) është organi i pavarur, i financuar nga kontributet e operatorëve të ujit dhe raportues në Parlament, përgjegjës për rregullimin ekonomik të sektorit të ujit (tarifat e ujit dhe ujërave të zeza).</w:t>
            </w:r>
          </w:p>
          <w:p w14:paraId="60377B6E" w14:textId="6FC67C02" w:rsidR="007128F1" w:rsidRPr="002C1177" w:rsidRDefault="0016789F" w:rsidP="0016789F">
            <w:pPr>
              <w:spacing w:after="0" w:line="240" w:lineRule="auto"/>
              <w:jc w:val="both"/>
              <w:rPr>
                <w:rFonts w:ascii="Arial" w:hAnsi="Arial" w:cs="Arial"/>
                <w:sz w:val="20"/>
                <w:szCs w:val="20"/>
              </w:rPr>
            </w:pPr>
            <w:r>
              <w:rPr>
                <w:rFonts w:ascii="Arial" w:hAnsi="Arial"/>
                <w:sz w:val="20"/>
              </w:rPr>
              <w:t>-Komunat e përfshira nga projekti</w:t>
            </w:r>
          </w:p>
        </w:tc>
      </w:tr>
    </w:tbl>
    <w:p w14:paraId="15F83C56" w14:textId="77777777" w:rsidR="0074067A" w:rsidRPr="002C1177" w:rsidRDefault="0074067A" w:rsidP="001C2CAF">
      <w:pPr>
        <w:pStyle w:val="Heading1"/>
        <w:spacing w:before="240" w:after="120"/>
        <w:jc w:val="center"/>
        <w:rPr>
          <w:rFonts w:ascii="Arial" w:hAnsi="Arial" w:cs="Arial"/>
          <w:color w:val="auto"/>
          <w:sz w:val="24"/>
          <w:szCs w:val="24"/>
        </w:rPr>
      </w:pPr>
      <w:r>
        <w:rPr>
          <w:rFonts w:ascii="Arial" w:hAnsi="Arial"/>
          <w:color w:val="auto"/>
          <w:sz w:val="24"/>
        </w:rPr>
        <w:lastRenderedPageBreak/>
        <w:t>Pjesa e dytë</w:t>
      </w:r>
    </w:p>
    <w:p w14:paraId="6F2F754C" w14:textId="77777777" w:rsidR="0074067A" w:rsidRPr="002C1177" w:rsidRDefault="0074067A" w:rsidP="001C2CAF">
      <w:pPr>
        <w:pStyle w:val="ListParagraph"/>
        <w:numPr>
          <w:ilvl w:val="0"/>
          <w:numId w:val="41"/>
        </w:numPr>
        <w:spacing w:after="120"/>
        <w:rPr>
          <w:rFonts w:cs="Arial"/>
          <w:b/>
        </w:rPr>
      </w:pPr>
      <w:r>
        <w:rPr>
          <w:b/>
        </w:rPr>
        <w:t>MATURITETI</w:t>
      </w: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9"/>
        <w:gridCol w:w="1567"/>
        <w:gridCol w:w="1394"/>
        <w:gridCol w:w="1271"/>
      </w:tblGrid>
      <w:tr w:rsidR="007128F1" w:rsidRPr="002C1177" w14:paraId="1372EA8E" w14:textId="77777777" w:rsidTr="007128F1">
        <w:trPr>
          <w:trHeight w:val="417"/>
          <w:jc w:val="center"/>
        </w:trPr>
        <w:tc>
          <w:tcPr>
            <w:tcW w:w="2839" w:type="pct"/>
            <w:shd w:val="clear" w:color="auto" w:fill="D9D9D9" w:themeFill="background1" w:themeFillShade="D9"/>
            <w:vAlign w:val="center"/>
          </w:tcPr>
          <w:p w14:paraId="0AB3DE72" w14:textId="77777777" w:rsidR="007128F1" w:rsidRPr="002C1177" w:rsidRDefault="007128F1" w:rsidP="007128F1">
            <w:pPr>
              <w:spacing w:after="0" w:line="240" w:lineRule="auto"/>
              <w:rPr>
                <w:rFonts w:ascii="Arial" w:hAnsi="Arial" w:cs="Arial"/>
                <w:b/>
                <w:sz w:val="20"/>
                <w:szCs w:val="20"/>
              </w:rPr>
            </w:pPr>
            <w:r>
              <w:rPr>
                <w:rFonts w:ascii="Arial" w:hAnsi="Arial"/>
                <w:b/>
                <w:sz w:val="20"/>
              </w:rPr>
              <w:t>Studimet dhe dokumentet në dispozicion</w:t>
            </w:r>
          </w:p>
        </w:tc>
        <w:tc>
          <w:tcPr>
            <w:tcW w:w="800" w:type="pct"/>
            <w:shd w:val="clear" w:color="auto" w:fill="D9D9D9" w:themeFill="background1" w:themeFillShade="D9"/>
            <w:vAlign w:val="center"/>
          </w:tcPr>
          <w:p w14:paraId="31697C61" w14:textId="77777777" w:rsidR="007128F1" w:rsidRPr="002C1177" w:rsidRDefault="007128F1" w:rsidP="007128F1">
            <w:pPr>
              <w:spacing w:after="0" w:line="240" w:lineRule="auto"/>
              <w:jc w:val="center"/>
              <w:rPr>
                <w:rFonts w:ascii="Arial" w:hAnsi="Arial" w:cs="Arial"/>
                <w:b/>
                <w:sz w:val="20"/>
                <w:szCs w:val="20"/>
              </w:rPr>
            </w:pPr>
            <w:r>
              <w:rPr>
                <w:rFonts w:ascii="Arial" w:hAnsi="Arial"/>
                <w:b/>
                <w:sz w:val="20"/>
              </w:rPr>
              <w:t>Gati dhe të miratuara</w:t>
            </w:r>
          </w:p>
        </w:tc>
        <w:tc>
          <w:tcPr>
            <w:tcW w:w="712" w:type="pct"/>
            <w:shd w:val="clear" w:color="auto" w:fill="D9D9D9" w:themeFill="background1" w:themeFillShade="D9"/>
            <w:vAlign w:val="center"/>
          </w:tcPr>
          <w:p w14:paraId="36D55B39" w14:textId="77777777" w:rsidR="007128F1" w:rsidRPr="002C1177" w:rsidRDefault="007128F1" w:rsidP="007128F1">
            <w:pPr>
              <w:spacing w:after="0" w:line="240" w:lineRule="auto"/>
              <w:jc w:val="center"/>
              <w:rPr>
                <w:rFonts w:ascii="Arial" w:hAnsi="Arial" w:cs="Arial"/>
                <w:b/>
                <w:sz w:val="20"/>
                <w:szCs w:val="20"/>
              </w:rPr>
            </w:pPr>
            <w:r>
              <w:rPr>
                <w:rFonts w:ascii="Arial" w:hAnsi="Arial"/>
                <w:b/>
                <w:sz w:val="20"/>
              </w:rPr>
              <w:t>Duke u punuar</w:t>
            </w:r>
          </w:p>
        </w:tc>
        <w:tc>
          <w:tcPr>
            <w:tcW w:w="649" w:type="pct"/>
            <w:shd w:val="clear" w:color="auto" w:fill="D9D9D9" w:themeFill="background1" w:themeFillShade="D9"/>
            <w:vAlign w:val="center"/>
          </w:tcPr>
          <w:p w14:paraId="32196636" w14:textId="77777777" w:rsidR="007128F1" w:rsidRPr="002C1177" w:rsidRDefault="007128F1" w:rsidP="007128F1">
            <w:pPr>
              <w:spacing w:after="0" w:line="240" w:lineRule="auto"/>
              <w:jc w:val="center"/>
              <w:rPr>
                <w:rFonts w:ascii="Arial" w:hAnsi="Arial" w:cs="Arial"/>
                <w:b/>
                <w:sz w:val="20"/>
                <w:szCs w:val="20"/>
              </w:rPr>
            </w:pPr>
            <w:r>
              <w:rPr>
                <w:rFonts w:ascii="Arial" w:hAnsi="Arial"/>
                <w:b/>
                <w:sz w:val="20"/>
              </w:rPr>
              <w:t>Nuk ka filluar ende</w:t>
            </w:r>
          </w:p>
        </w:tc>
      </w:tr>
      <w:tr w:rsidR="007128F1" w:rsidRPr="002C1177" w14:paraId="417F756D" w14:textId="77777777" w:rsidTr="007128F1">
        <w:trPr>
          <w:trHeight w:val="417"/>
          <w:jc w:val="center"/>
        </w:trPr>
        <w:tc>
          <w:tcPr>
            <w:tcW w:w="2839" w:type="pct"/>
            <w:shd w:val="clear" w:color="auto" w:fill="D9D9D9"/>
            <w:vAlign w:val="center"/>
          </w:tcPr>
          <w:p w14:paraId="3A9D0142" w14:textId="77777777" w:rsidR="007128F1" w:rsidRPr="002C1177" w:rsidRDefault="007128F1" w:rsidP="007128F1">
            <w:pPr>
              <w:spacing w:after="0" w:line="240" w:lineRule="auto"/>
              <w:rPr>
                <w:rFonts w:ascii="Arial" w:hAnsi="Arial" w:cs="Arial"/>
                <w:sz w:val="20"/>
                <w:szCs w:val="20"/>
              </w:rPr>
            </w:pPr>
            <w:r>
              <w:rPr>
                <w:rFonts w:ascii="Arial" w:hAnsi="Arial"/>
                <w:sz w:val="20"/>
              </w:rPr>
              <w:t>Idea konceptuale</w:t>
            </w:r>
          </w:p>
        </w:tc>
        <w:tc>
          <w:tcPr>
            <w:tcW w:w="800" w:type="pct"/>
            <w:vAlign w:val="center"/>
          </w:tcPr>
          <w:p w14:paraId="3446193E" w14:textId="6DE3FE90" w:rsidR="007128F1" w:rsidRPr="00C53A72" w:rsidRDefault="0016789F" w:rsidP="00C53A72">
            <w:pPr>
              <w:spacing w:after="0" w:line="240" w:lineRule="auto"/>
              <w:rPr>
                <w:rFonts w:ascii="Arial" w:hAnsi="Arial" w:cs="Arial"/>
                <w:sz w:val="20"/>
                <w:szCs w:val="20"/>
              </w:rPr>
            </w:pPr>
            <w:r>
              <w:rPr>
                <w:rFonts w:ascii="Arial" w:hAnsi="Arial"/>
                <w:sz w:val="20"/>
              </w:rPr>
              <w:t>Dizajni konceptual është duke u përgatitur nga KRU Hidromorava</w:t>
            </w:r>
          </w:p>
        </w:tc>
        <w:tc>
          <w:tcPr>
            <w:tcW w:w="712" w:type="pct"/>
            <w:vAlign w:val="center"/>
          </w:tcPr>
          <w:p w14:paraId="00433851" w14:textId="77777777" w:rsidR="007128F1" w:rsidRPr="002C1177" w:rsidRDefault="007128F1" w:rsidP="007128F1">
            <w:pPr>
              <w:spacing w:after="0" w:line="240" w:lineRule="auto"/>
              <w:jc w:val="center"/>
              <w:rPr>
                <w:rFonts w:ascii="Arial" w:hAnsi="Arial" w:cs="Arial"/>
                <w:sz w:val="20"/>
                <w:szCs w:val="20"/>
              </w:rPr>
            </w:pPr>
          </w:p>
        </w:tc>
        <w:tc>
          <w:tcPr>
            <w:tcW w:w="649" w:type="pct"/>
            <w:vAlign w:val="center"/>
          </w:tcPr>
          <w:p w14:paraId="2DD43845" w14:textId="77777777" w:rsidR="007128F1" w:rsidRPr="002C1177" w:rsidRDefault="007128F1" w:rsidP="007128F1">
            <w:pPr>
              <w:spacing w:after="0" w:line="240" w:lineRule="auto"/>
              <w:jc w:val="center"/>
              <w:rPr>
                <w:rFonts w:ascii="Arial" w:hAnsi="Arial" w:cs="Arial"/>
                <w:sz w:val="20"/>
                <w:szCs w:val="20"/>
              </w:rPr>
            </w:pPr>
          </w:p>
        </w:tc>
      </w:tr>
      <w:tr w:rsidR="007128F1" w:rsidRPr="002C1177" w14:paraId="0F6DA6F6" w14:textId="77777777" w:rsidTr="007128F1">
        <w:trPr>
          <w:trHeight w:val="417"/>
          <w:jc w:val="center"/>
        </w:trPr>
        <w:tc>
          <w:tcPr>
            <w:tcW w:w="2839" w:type="pct"/>
            <w:shd w:val="clear" w:color="auto" w:fill="D9D9D9"/>
            <w:vAlign w:val="center"/>
          </w:tcPr>
          <w:p w14:paraId="51C8ADF7" w14:textId="77777777" w:rsidR="007128F1" w:rsidRPr="002C1177" w:rsidRDefault="007128F1" w:rsidP="007128F1">
            <w:pPr>
              <w:spacing w:after="0" w:line="240" w:lineRule="auto"/>
              <w:rPr>
                <w:rFonts w:ascii="Arial" w:hAnsi="Arial" w:cs="Arial"/>
                <w:sz w:val="20"/>
                <w:szCs w:val="20"/>
              </w:rPr>
            </w:pPr>
            <w:r>
              <w:rPr>
                <w:rFonts w:ascii="Arial" w:hAnsi="Arial"/>
                <w:sz w:val="20"/>
              </w:rPr>
              <w:t>Studimi paraprak i fizibilitetit</w:t>
            </w:r>
          </w:p>
        </w:tc>
        <w:tc>
          <w:tcPr>
            <w:tcW w:w="800" w:type="pct"/>
            <w:vAlign w:val="center"/>
          </w:tcPr>
          <w:p w14:paraId="1AC6AEA1" w14:textId="77777777" w:rsidR="007128F1" w:rsidRPr="002C1177" w:rsidRDefault="007128F1" w:rsidP="007128F1">
            <w:pPr>
              <w:spacing w:after="0" w:line="240" w:lineRule="auto"/>
              <w:jc w:val="center"/>
              <w:rPr>
                <w:rFonts w:ascii="Arial" w:hAnsi="Arial" w:cs="Arial"/>
                <w:sz w:val="20"/>
                <w:szCs w:val="20"/>
              </w:rPr>
            </w:pPr>
          </w:p>
        </w:tc>
        <w:tc>
          <w:tcPr>
            <w:tcW w:w="712" w:type="pct"/>
            <w:vAlign w:val="center"/>
          </w:tcPr>
          <w:p w14:paraId="53261E6B" w14:textId="77777777" w:rsidR="007128F1" w:rsidRPr="002C1177" w:rsidRDefault="007128F1" w:rsidP="007128F1">
            <w:pPr>
              <w:spacing w:after="0" w:line="240" w:lineRule="auto"/>
              <w:jc w:val="center"/>
              <w:rPr>
                <w:rFonts w:ascii="Arial" w:hAnsi="Arial" w:cs="Arial"/>
                <w:sz w:val="20"/>
                <w:szCs w:val="20"/>
              </w:rPr>
            </w:pPr>
          </w:p>
        </w:tc>
        <w:tc>
          <w:tcPr>
            <w:tcW w:w="649" w:type="pct"/>
            <w:vAlign w:val="center"/>
          </w:tcPr>
          <w:p w14:paraId="7869D718" w14:textId="4EE9D1EF" w:rsidR="007128F1" w:rsidRPr="002C1177" w:rsidRDefault="0016789F" w:rsidP="007128F1">
            <w:pPr>
              <w:spacing w:after="0" w:line="240" w:lineRule="auto"/>
              <w:jc w:val="center"/>
              <w:rPr>
                <w:rFonts w:ascii="Arial" w:hAnsi="Arial" w:cs="Arial"/>
                <w:sz w:val="20"/>
                <w:szCs w:val="20"/>
              </w:rPr>
            </w:pPr>
            <w:r>
              <w:rPr>
                <w:rFonts w:ascii="Arial" w:hAnsi="Arial"/>
                <w:sz w:val="20"/>
              </w:rPr>
              <w:t>X</w:t>
            </w:r>
          </w:p>
        </w:tc>
      </w:tr>
      <w:tr w:rsidR="007128F1" w:rsidRPr="002C1177" w14:paraId="69282231" w14:textId="77777777" w:rsidTr="007128F1">
        <w:trPr>
          <w:trHeight w:val="417"/>
          <w:jc w:val="center"/>
        </w:trPr>
        <w:tc>
          <w:tcPr>
            <w:tcW w:w="2839" w:type="pct"/>
            <w:shd w:val="clear" w:color="auto" w:fill="D9D9D9"/>
            <w:vAlign w:val="center"/>
          </w:tcPr>
          <w:p w14:paraId="7CAAECED" w14:textId="77777777" w:rsidR="007128F1" w:rsidRPr="002C1177" w:rsidRDefault="007128F1" w:rsidP="007128F1">
            <w:pPr>
              <w:spacing w:after="0" w:line="240" w:lineRule="auto"/>
              <w:rPr>
                <w:rFonts w:ascii="Arial" w:hAnsi="Arial" w:cs="Arial"/>
                <w:sz w:val="20"/>
                <w:szCs w:val="20"/>
              </w:rPr>
            </w:pPr>
            <w:r>
              <w:rPr>
                <w:rFonts w:ascii="Arial" w:hAnsi="Arial"/>
                <w:sz w:val="20"/>
              </w:rPr>
              <w:t>Projektimi konceptual</w:t>
            </w:r>
          </w:p>
        </w:tc>
        <w:tc>
          <w:tcPr>
            <w:tcW w:w="800" w:type="pct"/>
            <w:vAlign w:val="center"/>
          </w:tcPr>
          <w:p w14:paraId="44503DD4" w14:textId="77777777" w:rsidR="007128F1" w:rsidRPr="002C1177" w:rsidRDefault="007128F1" w:rsidP="007128F1">
            <w:pPr>
              <w:spacing w:after="0" w:line="240" w:lineRule="auto"/>
              <w:jc w:val="center"/>
              <w:rPr>
                <w:rFonts w:ascii="Arial" w:hAnsi="Arial" w:cs="Arial"/>
                <w:sz w:val="20"/>
                <w:szCs w:val="20"/>
              </w:rPr>
            </w:pPr>
          </w:p>
        </w:tc>
        <w:tc>
          <w:tcPr>
            <w:tcW w:w="712" w:type="pct"/>
            <w:vAlign w:val="center"/>
          </w:tcPr>
          <w:p w14:paraId="5560C010" w14:textId="77777777" w:rsidR="007128F1" w:rsidRPr="002C1177" w:rsidRDefault="007128F1" w:rsidP="007128F1">
            <w:pPr>
              <w:spacing w:after="0" w:line="240" w:lineRule="auto"/>
              <w:jc w:val="center"/>
              <w:rPr>
                <w:rFonts w:ascii="Arial" w:hAnsi="Arial" w:cs="Arial"/>
                <w:sz w:val="20"/>
                <w:szCs w:val="20"/>
              </w:rPr>
            </w:pPr>
          </w:p>
        </w:tc>
        <w:tc>
          <w:tcPr>
            <w:tcW w:w="649" w:type="pct"/>
            <w:vAlign w:val="center"/>
          </w:tcPr>
          <w:p w14:paraId="7BB4FBAD" w14:textId="7B27A73F" w:rsidR="007128F1" w:rsidRPr="002C1177" w:rsidRDefault="0016789F" w:rsidP="007128F1">
            <w:pPr>
              <w:spacing w:after="0" w:line="240" w:lineRule="auto"/>
              <w:jc w:val="center"/>
              <w:rPr>
                <w:rFonts w:ascii="Arial" w:hAnsi="Arial" w:cs="Arial"/>
                <w:sz w:val="20"/>
                <w:szCs w:val="20"/>
              </w:rPr>
            </w:pPr>
            <w:r>
              <w:rPr>
                <w:rFonts w:ascii="Arial" w:hAnsi="Arial"/>
                <w:sz w:val="20"/>
              </w:rPr>
              <w:t>X</w:t>
            </w:r>
          </w:p>
        </w:tc>
      </w:tr>
      <w:tr w:rsidR="007128F1" w:rsidRPr="002C1177" w14:paraId="414FBEE3" w14:textId="77777777" w:rsidTr="007128F1">
        <w:trPr>
          <w:trHeight w:val="417"/>
          <w:jc w:val="center"/>
        </w:trPr>
        <w:tc>
          <w:tcPr>
            <w:tcW w:w="2839" w:type="pct"/>
            <w:shd w:val="clear" w:color="auto" w:fill="D9D9D9"/>
            <w:vAlign w:val="center"/>
          </w:tcPr>
          <w:p w14:paraId="43B4A5DD" w14:textId="77777777" w:rsidR="007128F1" w:rsidRPr="002C1177" w:rsidRDefault="007128F1" w:rsidP="007128F1">
            <w:pPr>
              <w:spacing w:after="0" w:line="240" w:lineRule="auto"/>
              <w:rPr>
                <w:rFonts w:ascii="Arial" w:hAnsi="Arial" w:cs="Arial"/>
                <w:sz w:val="20"/>
                <w:szCs w:val="20"/>
              </w:rPr>
            </w:pPr>
            <w:r>
              <w:rPr>
                <w:rFonts w:ascii="Arial" w:hAnsi="Arial"/>
                <w:sz w:val="20"/>
              </w:rPr>
              <w:t>Studimi i fizibilitetit + AKP</w:t>
            </w:r>
          </w:p>
        </w:tc>
        <w:tc>
          <w:tcPr>
            <w:tcW w:w="800" w:type="pct"/>
            <w:vAlign w:val="center"/>
          </w:tcPr>
          <w:p w14:paraId="044BF6FD" w14:textId="77777777" w:rsidR="007128F1" w:rsidRPr="002C1177" w:rsidRDefault="007128F1" w:rsidP="007128F1">
            <w:pPr>
              <w:spacing w:after="0" w:line="240" w:lineRule="auto"/>
              <w:jc w:val="center"/>
              <w:rPr>
                <w:rFonts w:ascii="Arial" w:hAnsi="Arial" w:cs="Arial"/>
                <w:sz w:val="20"/>
                <w:szCs w:val="20"/>
              </w:rPr>
            </w:pPr>
          </w:p>
        </w:tc>
        <w:tc>
          <w:tcPr>
            <w:tcW w:w="712" w:type="pct"/>
            <w:vAlign w:val="center"/>
          </w:tcPr>
          <w:p w14:paraId="714F0A5E" w14:textId="77777777" w:rsidR="007128F1" w:rsidRPr="002C1177" w:rsidRDefault="007128F1" w:rsidP="007128F1">
            <w:pPr>
              <w:spacing w:after="0" w:line="240" w:lineRule="auto"/>
              <w:jc w:val="center"/>
              <w:rPr>
                <w:rFonts w:ascii="Arial" w:hAnsi="Arial" w:cs="Arial"/>
                <w:sz w:val="20"/>
                <w:szCs w:val="20"/>
              </w:rPr>
            </w:pPr>
          </w:p>
        </w:tc>
        <w:tc>
          <w:tcPr>
            <w:tcW w:w="649" w:type="pct"/>
            <w:vAlign w:val="center"/>
          </w:tcPr>
          <w:p w14:paraId="004DBCC7" w14:textId="3B480B88" w:rsidR="007128F1" w:rsidRPr="002C1177" w:rsidRDefault="0016789F" w:rsidP="007128F1">
            <w:pPr>
              <w:spacing w:after="0" w:line="240" w:lineRule="auto"/>
              <w:jc w:val="center"/>
              <w:rPr>
                <w:rFonts w:ascii="Arial" w:hAnsi="Arial" w:cs="Arial"/>
                <w:sz w:val="20"/>
                <w:szCs w:val="20"/>
              </w:rPr>
            </w:pPr>
            <w:r>
              <w:rPr>
                <w:rFonts w:ascii="Arial" w:hAnsi="Arial"/>
                <w:sz w:val="20"/>
              </w:rPr>
              <w:t>X</w:t>
            </w:r>
          </w:p>
        </w:tc>
      </w:tr>
      <w:tr w:rsidR="007128F1" w:rsidRPr="002C1177" w14:paraId="3FC61EE4" w14:textId="77777777" w:rsidTr="007128F1">
        <w:trPr>
          <w:trHeight w:val="417"/>
          <w:jc w:val="center"/>
        </w:trPr>
        <w:tc>
          <w:tcPr>
            <w:tcW w:w="2839" w:type="pct"/>
            <w:shd w:val="clear" w:color="auto" w:fill="D9D9D9"/>
            <w:vAlign w:val="center"/>
          </w:tcPr>
          <w:p w14:paraId="2B5AE4D5" w14:textId="77777777" w:rsidR="007128F1" w:rsidRPr="002C1177" w:rsidRDefault="007128F1" w:rsidP="007128F1">
            <w:pPr>
              <w:spacing w:after="0" w:line="240" w:lineRule="auto"/>
              <w:rPr>
                <w:rFonts w:ascii="Arial" w:hAnsi="Arial" w:cs="Arial"/>
                <w:sz w:val="20"/>
                <w:szCs w:val="20"/>
              </w:rPr>
            </w:pPr>
            <w:r>
              <w:rPr>
                <w:rFonts w:ascii="Arial" w:hAnsi="Arial"/>
                <w:sz w:val="20"/>
              </w:rPr>
              <w:t>Studimi i VNM (nëse nevojitet)</w:t>
            </w:r>
          </w:p>
        </w:tc>
        <w:tc>
          <w:tcPr>
            <w:tcW w:w="800" w:type="pct"/>
            <w:vAlign w:val="center"/>
          </w:tcPr>
          <w:p w14:paraId="5909837D" w14:textId="77777777" w:rsidR="007128F1" w:rsidRPr="002C1177" w:rsidRDefault="007128F1" w:rsidP="007128F1">
            <w:pPr>
              <w:spacing w:after="0" w:line="240" w:lineRule="auto"/>
              <w:jc w:val="center"/>
              <w:rPr>
                <w:rFonts w:ascii="Arial" w:hAnsi="Arial" w:cs="Arial"/>
                <w:sz w:val="20"/>
                <w:szCs w:val="20"/>
              </w:rPr>
            </w:pPr>
          </w:p>
        </w:tc>
        <w:tc>
          <w:tcPr>
            <w:tcW w:w="712" w:type="pct"/>
            <w:vAlign w:val="center"/>
          </w:tcPr>
          <w:p w14:paraId="5D063085" w14:textId="77777777" w:rsidR="007128F1" w:rsidRPr="002C1177" w:rsidRDefault="007128F1" w:rsidP="007128F1">
            <w:pPr>
              <w:spacing w:after="0" w:line="240" w:lineRule="auto"/>
              <w:jc w:val="center"/>
              <w:rPr>
                <w:rFonts w:ascii="Arial" w:hAnsi="Arial" w:cs="Arial"/>
                <w:sz w:val="20"/>
                <w:szCs w:val="20"/>
              </w:rPr>
            </w:pPr>
          </w:p>
        </w:tc>
        <w:tc>
          <w:tcPr>
            <w:tcW w:w="649" w:type="pct"/>
            <w:vAlign w:val="center"/>
          </w:tcPr>
          <w:p w14:paraId="51803D8D" w14:textId="13285706" w:rsidR="007128F1" w:rsidRPr="002C1177" w:rsidRDefault="0016789F" w:rsidP="007128F1">
            <w:pPr>
              <w:spacing w:after="0" w:line="240" w:lineRule="auto"/>
              <w:jc w:val="center"/>
              <w:rPr>
                <w:rFonts w:ascii="Arial" w:hAnsi="Arial" w:cs="Arial"/>
                <w:sz w:val="20"/>
                <w:szCs w:val="20"/>
              </w:rPr>
            </w:pPr>
            <w:r>
              <w:rPr>
                <w:rFonts w:ascii="Arial" w:hAnsi="Arial"/>
                <w:sz w:val="20"/>
              </w:rPr>
              <w:t>Nuk aplikohet</w:t>
            </w:r>
          </w:p>
        </w:tc>
      </w:tr>
      <w:tr w:rsidR="007128F1" w:rsidRPr="002C1177" w14:paraId="79970F6B" w14:textId="77777777" w:rsidTr="007128F1">
        <w:trPr>
          <w:trHeight w:val="417"/>
          <w:jc w:val="center"/>
        </w:trPr>
        <w:tc>
          <w:tcPr>
            <w:tcW w:w="2839" w:type="pct"/>
            <w:shd w:val="clear" w:color="auto" w:fill="D9D9D9"/>
            <w:vAlign w:val="center"/>
          </w:tcPr>
          <w:p w14:paraId="2E9BF469" w14:textId="77777777" w:rsidR="007128F1" w:rsidRPr="002C1177" w:rsidRDefault="007128F1" w:rsidP="007128F1">
            <w:pPr>
              <w:spacing w:after="0" w:line="240" w:lineRule="auto"/>
              <w:rPr>
                <w:rFonts w:ascii="Arial" w:hAnsi="Arial" w:cs="Arial"/>
                <w:sz w:val="20"/>
                <w:szCs w:val="20"/>
              </w:rPr>
            </w:pPr>
            <w:r>
              <w:rPr>
                <w:rFonts w:ascii="Arial" w:hAnsi="Arial"/>
                <w:sz w:val="20"/>
              </w:rPr>
              <w:t>Dokumentet e vlefshme të planifikimit hapësinor</w:t>
            </w:r>
          </w:p>
        </w:tc>
        <w:tc>
          <w:tcPr>
            <w:tcW w:w="800" w:type="pct"/>
            <w:vAlign w:val="center"/>
          </w:tcPr>
          <w:p w14:paraId="2FFC22FB" w14:textId="77777777" w:rsidR="007128F1" w:rsidRPr="002C1177" w:rsidRDefault="007128F1" w:rsidP="007128F1">
            <w:pPr>
              <w:spacing w:after="0" w:line="240" w:lineRule="auto"/>
              <w:jc w:val="center"/>
              <w:rPr>
                <w:rFonts w:ascii="Arial" w:hAnsi="Arial" w:cs="Arial"/>
                <w:sz w:val="20"/>
                <w:szCs w:val="20"/>
              </w:rPr>
            </w:pPr>
          </w:p>
        </w:tc>
        <w:tc>
          <w:tcPr>
            <w:tcW w:w="712" w:type="pct"/>
            <w:vAlign w:val="center"/>
          </w:tcPr>
          <w:p w14:paraId="76D6D1EB" w14:textId="77777777" w:rsidR="007128F1" w:rsidRPr="002C1177" w:rsidRDefault="007128F1" w:rsidP="007128F1">
            <w:pPr>
              <w:spacing w:after="0" w:line="240" w:lineRule="auto"/>
              <w:jc w:val="center"/>
              <w:rPr>
                <w:rFonts w:ascii="Arial" w:hAnsi="Arial" w:cs="Arial"/>
                <w:sz w:val="20"/>
                <w:szCs w:val="20"/>
              </w:rPr>
            </w:pPr>
          </w:p>
        </w:tc>
        <w:tc>
          <w:tcPr>
            <w:tcW w:w="649" w:type="pct"/>
            <w:vAlign w:val="center"/>
          </w:tcPr>
          <w:p w14:paraId="2A40234D" w14:textId="0D9F3256" w:rsidR="007128F1" w:rsidRPr="002C1177" w:rsidRDefault="0016789F" w:rsidP="007128F1">
            <w:pPr>
              <w:spacing w:after="0" w:line="240" w:lineRule="auto"/>
              <w:jc w:val="center"/>
              <w:rPr>
                <w:rFonts w:ascii="Arial" w:hAnsi="Arial" w:cs="Arial"/>
                <w:sz w:val="20"/>
                <w:szCs w:val="20"/>
              </w:rPr>
            </w:pPr>
            <w:r>
              <w:rPr>
                <w:rFonts w:ascii="Arial" w:hAnsi="Arial"/>
                <w:sz w:val="20"/>
              </w:rPr>
              <w:t>X</w:t>
            </w:r>
          </w:p>
        </w:tc>
      </w:tr>
      <w:tr w:rsidR="007128F1" w:rsidRPr="002C1177" w14:paraId="79372DEF" w14:textId="77777777" w:rsidTr="007128F1">
        <w:trPr>
          <w:trHeight w:val="417"/>
          <w:jc w:val="center"/>
        </w:trPr>
        <w:tc>
          <w:tcPr>
            <w:tcW w:w="2839" w:type="pct"/>
            <w:shd w:val="clear" w:color="auto" w:fill="D9D9D9"/>
            <w:vAlign w:val="center"/>
          </w:tcPr>
          <w:p w14:paraId="333782E5" w14:textId="77777777" w:rsidR="007128F1" w:rsidRPr="002C1177" w:rsidRDefault="007128F1" w:rsidP="007128F1">
            <w:pPr>
              <w:spacing w:after="0" w:line="240" w:lineRule="auto"/>
              <w:rPr>
                <w:rFonts w:ascii="Arial" w:hAnsi="Arial" w:cs="Arial"/>
                <w:sz w:val="20"/>
                <w:szCs w:val="20"/>
              </w:rPr>
            </w:pPr>
            <w:r>
              <w:rPr>
                <w:rFonts w:ascii="Arial" w:hAnsi="Arial"/>
                <w:sz w:val="20"/>
              </w:rPr>
              <w:t>Prona tokë e zgjidhur</w:t>
            </w:r>
          </w:p>
        </w:tc>
        <w:tc>
          <w:tcPr>
            <w:tcW w:w="800" w:type="pct"/>
            <w:vAlign w:val="center"/>
          </w:tcPr>
          <w:p w14:paraId="73A54AF4" w14:textId="77777777" w:rsidR="007128F1" w:rsidRPr="002C1177" w:rsidRDefault="007128F1" w:rsidP="007128F1">
            <w:pPr>
              <w:spacing w:after="0" w:line="240" w:lineRule="auto"/>
              <w:jc w:val="center"/>
              <w:rPr>
                <w:rFonts w:ascii="Arial" w:hAnsi="Arial" w:cs="Arial"/>
                <w:sz w:val="20"/>
                <w:szCs w:val="20"/>
              </w:rPr>
            </w:pPr>
          </w:p>
        </w:tc>
        <w:tc>
          <w:tcPr>
            <w:tcW w:w="712" w:type="pct"/>
            <w:vAlign w:val="center"/>
          </w:tcPr>
          <w:p w14:paraId="27396296" w14:textId="77777777" w:rsidR="007128F1" w:rsidRPr="002C1177" w:rsidRDefault="007128F1" w:rsidP="007128F1">
            <w:pPr>
              <w:spacing w:after="0" w:line="240" w:lineRule="auto"/>
              <w:jc w:val="center"/>
              <w:rPr>
                <w:rFonts w:ascii="Arial" w:hAnsi="Arial" w:cs="Arial"/>
                <w:sz w:val="20"/>
                <w:szCs w:val="20"/>
              </w:rPr>
            </w:pPr>
          </w:p>
        </w:tc>
        <w:tc>
          <w:tcPr>
            <w:tcW w:w="649" w:type="pct"/>
            <w:vAlign w:val="center"/>
          </w:tcPr>
          <w:p w14:paraId="5F87D65A" w14:textId="1238FA70" w:rsidR="007128F1" w:rsidRPr="002C1177" w:rsidRDefault="0016789F" w:rsidP="007128F1">
            <w:pPr>
              <w:spacing w:after="0" w:line="240" w:lineRule="auto"/>
              <w:jc w:val="center"/>
              <w:rPr>
                <w:rFonts w:ascii="Arial" w:hAnsi="Arial" w:cs="Arial"/>
                <w:sz w:val="20"/>
                <w:szCs w:val="20"/>
              </w:rPr>
            </w:pPr>
            <w:r>
              <w:rPr>
                <w:rFonts w:ascii="Arial" w:hAnsi="Arial"/>
                <w:sz w:val="20"/>
              </w:rPr>
              <w:t>Nuk aplikohet</w:t>
            </w:r>
          </w:p>
        </w:tc>
      </w:tr>
      <w:tr w:rsidR="007128F1" w:rsidRPr="002C1177" w14:paraId="29437D66" w14:textId="77777777" w:rsidTr="007128F1">
        <w:trPr>
          <w:trHeight w:val="417"/>
          <w:jc w:val="center"/>
        </w:trPr>
        <w:tc>
          <w:tcPr>
            <w:tcW w:w="2839" w:type="pct"/>
            <w:shd w:val="clear" w:color="auto" w:fill="D9D9D9"/>
            <w:vAlign w:val="center"/>
          </w:tcPr>
          <w:p w14:paraId="54EA1199" w14:textId="77777777" w:rsidR="007128F1" w:rsidRPr="002C1177" w:rsidRDefault="007128F1" w:rsidP="007128F1">
            <w:pPr>
              <w:spacing w:after="0" w:line="240" w:lineRule="auto"/>
              <w:rPr>
                <w:rFonts w:ascii="Arial" w:hAnsi="Arial" w:cs="Arial"/>
                <w:sz w:val="20"/>
                <w:szCs w:val="20"/>
              </w:rPr>
            </w:pPr>
            <w:r>
              <w:rPr>
                <w:rFonts w:ascii="Arial" w:hAnsi="Arial"/>
                <w:sz w:val="20"/>
              </w:rPr>
              <w:t>Projektimi paraprak</w:t>
            </w:r>
          </w:p>
        </w:tc>
        <w:tc>
          <w:tcPr>
            <w:tcW w:w="800" w:type="pct"/>
            <w:vAlign w:val="center"/>
          </w:tcPr>
          <w:p w14:paraId="32B20A73" w14:textId="77777777" w:rsidR="007128F1" w:rsidRPr="002C1177" w:rsidRDefault="007128F1" w:rsidP="007128F1">
            <w:pPr>
              <w:spacing w:after="0" w:line="240" w:lineRule="auto"/>
              <w:jc w:val="center"/>
              <w:rPr>
                <w:rFonts w:ascii="Arial" w:hAnsi="Arial" w:cs="Arial"/>
                <w:sz w:val="20"/>
                <w:szCs w:val="20"/>
              </w:rPr>
            </w:pPr>
          </w:p>
        </w:tc>
        <w:tc>
          <w:tcPr>
            <w:tcW w:w="712" w:type="pct"/>
            <w:vAlign w:val="center"/>
          </w:tcPr>
          <w:p w14:paraId="7347BEE2" w14:textId="77777777" w:rsidR="007128F1" w:rsidRPr="002C1177" w:rsidRDefault="007128F1" w:rsidP="007128F1">
            <w:pPr>
              <w:spacing w:after="0" w:line="240" w:lineRule="auto"/>
              <w:jc w:val="center"/>
              <w:rPr>
                <w:rFonts w:ascii="Arial" w:hAnsi="Arial" w:cs="Arial"/>
                <w:sz w:val="20"/>
                <w:szCs w:val="20"/>
              </w:rPr>
            </w:pPr>
          </w:p>
        </w:tc>
        <w:tc>
          <w:tcPr>
            <w:tcW w:w="649" w:type="pct"/>
            <w:vAlign w:val="center"/>
          </w:tcPr>
          <w:p w14:paraId="2272CD87" w14:textId="2EEC67DD" w:rsidR="007128F1" w:rsidRPr="002C1177" w:rsidRDefault="0016789F" w:rsidP="007128F1">
            <w:pPr>
              <w:spacing w:after="0" w:line="240" w:lineRule="auto"/>
              <w:jc w:val="center"/>
              <w:rPr>
                <w:rFonts w:ascii="Arial" w:hAnsi="Arial" w:cs="Arial"/>
                <w:sz w:val="20"/>
                <w:szCs w:val="20"/>
              </w:rPr>
            </w:pPr>
            <w:r>
              <w:rPr>
                <w:rFonts w:ascii="Arial" w:hAnsi="Arial"/>
                <w:sz w:val="20"/>
              </w:rPr>
              <w:t>X</w:t>
            </w:r>
          </w:p>
        </w:tc>
      </w:tr>
      <w:tr w:rsidR="007128F1" w:rsidRPr="002C1177" w14:paraId="46D2C7D0" w14:textId="77777777" w:rsidTr="007128F1">
        <w:trPr>
          <w:trHeight w:val="417"/>
          <w:jc w:val="center"/>
        </w:trPr>
        <w:tc>
          <w:tcPr>
            <w:tcW w:w="2839" w:type="pct"/>
            <w:shd w:val="clear" w:color="auto" w:fill="D9D9D9"/>
            <w:vAlign w:val="center"/>
          </w:tcPr>
          <w:p w14:paraId="1D2E853A" w14:textId="77777777" w:rsidR="007128F1" w:rsidRPr="002C1177" w:rsidRDefault="007128F1" w:rsidP="007128F1">
            <w:pPr>
              <w:spacing w:after="0" w:line="240" w:lineRule="auto"/>
              <w:rPr>
                <w:rFonts w:ascii="Arial" w:hAnsi="Arial" w:cs="Arial"/>
                <w:sz w:val="20"/>
                <w:szCs w:val="20"/>
              </w:rPr>
            </w:pPr>
            <w:r>
              <w:rPr>
                <w:rFonts w:ascii="Arial" w:hAnsi="Arial"/>
                <w:sz w:val="20"/>
              </w:rPr>
              <w:t>Projektimi kryesor/projektimi i detajuar</w:t>
            </w:r>
          </w:p>
        </w:tc>
        <w:tc>
          <w:tcPr>
            <w:tcW w:w="800" w:type="pct"/>
            <w:vAlign w:val="center"/>
          </w:tcPr>
          <w:p w14:paraId="1CB9CD60" w14:textId="77777777" w:rsidR="007128F1" w:rsidRPr="002C1177" w:rsidRDefault="007128F1" w:rsidP="007128F1">
            <w:pPr>
              <w:spacing w:after="0" w:line="240" w:lineRule="auto"/>
              <w:jc w:val="center"/>
              <w:rPr>
                <w:rFonts w:ascii="Arial" w:hAnsi="Arial" w:cs="Arial"/>
                <w:sz w:val="20"/>
                <w:szCs w:val="20"/>
              </w:rPr>
            </w:pPr>
          </w:p>
        </w:tc>
        <w:tc>
          <w:tcPr>
            <w:tcW w:w="712" w:type="pct"/>
            <w:vAlign w:val="center"/>
          </w:tcPr>
          <w:p w14:paraId="1F08A468" w14:textId="77777777" w:rsidR="007128F1" w:rsidRPr="002C1177" w:rsidRDefault="007128F1" w:rsidP="007128F1">
            <w:pPr>
              <w:spacing w:after="0" w:line="240" w:lineRule="auto"/>
              <w:jc w:val="center"/>
              <w:rPr>
                <w:rFonts w:ascii="Arial" w:hAnsi="Arial" w:cs="Arial"/>
                <w:sz w:val="20"/>
                <w:szCs w:val="20"/>
              </w:rPr>
            </w:pPr>
          </w:p>
        </w:tc>
        <w:tc>
          <w:tcPr>
            <w:tcW w:w="649" w:type="pct"/>
            <w:vAlign w:val="center"/>
          </w:tcPr>
          <w:p w14:paraId="2997FD07" w14:textId="2DB907F9" w:rsidR="007128F1" w:rsidRPr="002C1177" w:rsidRDefault="0016789F" w:rsidP="007128F1">
            <w:pPr>
              <w:spacing w:after="0" w:line="240" w:lineRule="auto"/>
              <w:jc w:val="center"/>
              <w:rPr>
                <w:rFonts w:ascii="Arial" w:hAnsi="Arial" w:cs="Arial"/>
                <w:sz w:val="20"/>
                <w:szCs w:val="20"/>
              </w:rPr>
            </w:pPr>
            <w:r>
              <w:rPr>
                <w:rFonts w:ascii="Arial" w:hAnsi="Arial"/>
                <w:sz w:val="20"/>
              </w:rPr>
              <w:t>X</w:t>
            </w:r>
          </w:p>
        </w:tc>
      </w:tr>
      <w:tr w:rsidR="007128F1" w:rsidRPr="002C1177" w14:paraId="0515852F" w14:textId="77777777" w:rsidTr="007128F1">
        <w:trPr>
          <w:trHeight w:val="417"/>
          <w:jc w:val="center"/>
        </w:trPr>
        <w:tc>
          <w:tcPr>
            <w:tcW w:w="2839" w:type="pct"/>
            <w:shd w:val="clear" w:color="auto" w:fill="D9D9D9"/>
            <w:vAlign w:val="center"/>
          </w:tcPr>
          <w:p w14:paraId="1F486156" w14:textId="77777777" w:rsidR="007128F1" w:rsidRPr="002C1177" w:rsidRDefault="007128F1" w:rsidP="007128F1">
            <w:pPr>
              <w:spacing w:after="0" w:line="240" w:lineRule="auto"/>
              <w:rPr>
                <w:rFonts w:ascii="Arial" w:hAnsi="Arial" w:cs="Arial"/>
                <w:sz w:val="20"/>
                <w:szCs w:val="20"/>
              </w:rPr>
            </w:pPr>
            <w:r>
              <w:rPr>
                <w:rFonts w:ascii="Arial" w:hAnsi="Arial"/>
                <w:sz w:val="20"/>
              </w:rPr>
              <w:t>Dokumentacioni i tenderit</w:t>
            </w:r>
          </w:p>
        </w:tc>
        <w:tc>
          <w:tcPr>
            <w:tcW w:w="800" w:type="pct"/>
            <w:vAlign w:val="center"/>
          </w:tcPr>
          <w:p w14:paraId="36CAF3DD" w14:textId="77777777" w:rsidR="007128F1" w:rsidRPr="002C1177" w:rsidRDefault="007128F1" w:rsidP="007128F1">
            <w:pPr>
              <w:spacing w:after="0" w:line="240" w:lineRule="auto"/>
              <w:jc w:val="center"/>
              <w:rPr>
                <w:rFonts w:ascii="Arial" w:hAnsi="Arial" w:cs="Arial"/>
                <w:sz w:val="20"/>
                <w:szCs w:val="20"/>
              </w:rPr>
            </w:pPr>
          </w:p>
        </w:tc>
        <w:tc>
          <w:tcPr>
            <w:tcW w:w="712" w:type="pct"/>
            <w:vAlign w:val="center"/>
          </w:tcPr>
          <w:p w14:paraId="22FA3409" w14:textId="77777777" w:rsidR="007128F1" w:rsidRPr="002C1177" w:rsidRDefault="007128F1" w:rsidP="007128F1">
            <w:pPr>
              <w:spacing w:after="0" w:line="240" w:lineRule="auto"/>
              <w:jc w:val="center"/>
              <w:rPr>
                <w:rFonts w:ascii="Arial" w:hAnsi="Arial" w:cs="Arial"/>
                <w:sz w:val="20"/>
                <w:szCs w:val="20"/>
              </w:rPr>
            </w:pPr>
          </w:p>
        </w:tc>
        <w:tc>
          <w:tcPr>
            <w:tcW w:w="649" w:type="pct"/>
            <w:vAlign w:val="center"/>
          </w:tcPr>
          <w:p w14:paraId="73AB136F" w14:textId="2E73948E" w:rsidR="007128F1" w:rsidRPr="002C1177" w:rsidRDefault="0016789F" w:rsidP="007128F1">
            <w:pPr>
              <w:spacing w:after="0" w:line="240" w:lineRule="auto"/>
              <w:jc w:val="center"/>
              <w:rPr>
                <w:rFonts w:ascii="Arial" w:hAnsi="Arial" w:cs="Arial"/>
                <w:sz w:val="20"/>
                <w:szCs w:val="20"/>
              </w:rPr>
            </w:pPr>
            <w:r>
              <w:rPr>
                <w:rFonts w:ascii="Arial" w:hAnsi="Arial"/>
                <w:sz w:val="20"/>
              </w:rPr>
              <w:t>X</w:t>
            </w:r>
          </w:p>
        </w:tc>
      </w:tr>
      <w:tr w:rsidR="007128F1" w:rsidRPr="002C1177" w14:paraId="4385F9A7" w14:textId="77777777" w:rsidTr="007128F1">
        <w:trPr>
          <w:trHeight w:val="417"/>
          <w:jc w:val="center"/>
        </w:trPr>
        <w:tc>
          <w:tcPr>
            <w:tcW w:w="2839" w:type="pct"/>
            <w:shd w:val="clear" w:color="auto" w:fill="D9D9D9"/>
            <w:vAlign w:val="center"/>
          </w:tcPr>
          <w:p w14:paraId="25A3194B" w14:textId="77777777" w:rsidR="007128F1" w:rsidRPr="002C1177" w:rsidRDefault="007128F1" w:rsidP="007128F1">
            <w:pPr>
              <w:spacing w:after="0" w:line="240" w:lineRule="auto"/>
              <w:rPr>
                <w:rFonts w:ascii="Arial" w:hAnsi="Arial" w:cs="Arial"/>
                <w:sz w:val="20"/>
                <w:szCs w:val="20"/>
              </w:rPr>
            </w:pPr>
            <w:r>
              <w:rPr>
                <w:rFonts w:ascii="Arial" w:hAnsi="Arial"/>
                <w:sz w:val="20"/>
              </w:rPr>
              <w:t>Lejet e ndërtimit dhe të tjera</w:t>
            </w:r>
          </w:p>
        </w:tc>
        <w:tc>
          <w:tcPr>
            <w:tcW w:w="800" w:type="pct"/>
            <w:vAlign w:val="center"/>
          </w:tcPr>
          <w:p w14:paraId="7D0E1514" w14:textId="77777777" w:rsidR="007128F1" w:rsidRPr="002C1177" w:rsidRDefault="007128F1" w:rsidP="007128F1">
            <w:pPr>
              <w:spacing w:after="0" w:line="240" w:lineRule="auto"/>
              <w:jc w:val="center"/>
              <w:rPr>
                <w:rFonts w:ascii="Arial" w:hAnsi="Arial" w:cs="Arial"/>
                <w:sz w:val="20"/>
                <w:szCs w:val="20"/>
              </w:rPr>
            </w:pPr>
          </w:p>
        </w:tc>
        <w:tc>
          <w:tcPr>
            <w:tcW w:w="712" w:type="pct"/>
            <w:vAlign w:val="center"/>
          </w:tcPr>
          <w:p w14:paraId="204BA15F" w14:textId="77777777" w:rsidR="007128F1" w:rsidRPr="002C1177" w:rsidRDefault="007128F1" w:rsidP="007128F1">
            <w:pPr>
              <w:spacing w:after="0" w:line="240" w:lineRule="auto"/>
              <w:jc w:val="center"/>
              <w:rPr>
                <w:rFonts w:ascii="Arial" w:hAnsi="Arial" w:cs="Arial"/>
                <w:sz w:val="20"/>
                <w:szCs w:val="20"/>
              </w:rPr>
            </w:pPr>
          </w:p>
        </w:tc>
        <w:tc>
          <w:tcPr>
            <w:tcW w:w="649" w:type="pct"/>
            <w:vAlign w:val="center"/>
          </w:tcPr>
          <w:p w14:paraId="107A6BCB" w14:textId="2316CECC" w:rsidR="007128F1" w:rsidRPr="002C1177" w:rsidRDefault="0016789F" w:rsidP="007128F1">
            <w:pPr>
              <w:spacing w:after="0" w:line="240" w:lineRule="auto"/>
              <w:jc w:val="center"/>
              <w:rPr>
                <w:rFonts w:ascii="Arial" w:hAnsi="Arial" w:cs="Arial"/>
                <w:sz w:val="20"/>
                <w:szCs w:val="20"/>
              </w:rPr>
            </w:pPr>
            <w:r>
              <w:rPr>
                <w:rFonts w:ascii="Arial" w:hAnsi="Arial"/>
                <w:sz w:val="20"/>
              </w:rPr>
              <w:t>X</w:t>
            </w:r>
          </w:p>
        </w:tc>
      </w:tr>
      <w:tr w:rsidR="007128F1" w:rsidRPr="002C1177" w14:paraId="4A7A3A7B" w14:textId="77777777" w:rsidTr="007128F1">
        <w:trPr>
          <w:trHeight w:val="417"/>
          <w:jc w:val="center"/>
        </w:trPr>
        <w:tc>
          <w:tcPr>
            <w:tcW w:w="2839" w:type="pct"/>
            <w:shd w:val="clear" w:color="auto" w:fill="D9D9D9"/>
            <w:vAlign w:val="center"/>
          </w:tcPr>
          <w:p w14:paraId="05C74A46" w14:textId="77777777" w:rsidR="007128F1" w:rsidRPr="002C1177" w:rsidRDefault="007128F1" w:rsidP="007128F1">
            <w:pPr>
              <w:spacing w:after="0" w:line="240" w:lineRule="auto"/>
              <w:rPr>
                <w:rFonts w:ascii="Arial" w:hAnsi="Arial" w:cs="Arial"/>
                <w:sz w:val="20"/>
                <w:szCs w:val="20"/>
              </w:rPr>
            </w:pPr>
            <w:r>
              <w:rPr>
                <w:rFonts w:ascii="Arial" w:hAnsi="Arial"/>
                <w:sz w:val="20"/>
              </w:rPr>
              <w:t>Kontrata e ndërtimit është nënshkruar</w:t>
            </w:r>
          </w:p>
        </w:tc>
        <w:tc>
          <w:tcPr>
            <w:tcW w:w="800" w:type="pct"/>
            <w:vAlign w:val="center"/>
          </w:tcPr>
          <w:p w14:paraId="4979014C" w14:textId="77777777" w:rsidR="007128F1" w:rsidRPr="002C1177" w:rsidRDefault="007128F1" w:rsidP="007128F1">
            <w:pPr>
              <w:spacing w:after="0" w:line="240" w:lineRule="auto"/>
              <w:jc w:val="center"/>
              <w:rPr>
                <w:rFonts w:ascii="Arial" w:hAnsi="Arial" w:cs="Arial"/>
                <w:sz w:val="20"/>
                <w:szCs w:val="20"/>
              </w:rPr>
            </w:pPr>
          </w:p>
        </w:tc>
        <w:tc>
          <w:tcPr>
            <w:tcW w:w="712" w:type="pct"/>
            <w:vAlign w:val="center"/>
          </w:tcPr>
          <w:p w14:paraId="42339E58" w14:textId="77777777" w:rsidR="007128F1" w:rsidRPr="002C1177" w:rsidRDefault="007128F1" w:rsidP="007128F1">
            <w:pPr>
              <w:spacing w:after="0" w:line="240" w:lineRule="auto"/>
              <w:jc w:val="center"/>
              <w:rPr>
                <w:rFonts w:ascii="Arial" w:hAnsi="Arial" w:cs="Arial"/>
                <w:sz w:val="20"/>
                <w:szCs w:val="20"/>
              </w:rPr>
            </w:pPr>
          </w:p>
        </w:tc>
        <w:tc>
          <w:tcPr>
            <w:tcW w:w="649" w:type="pct"/>
            <w:vAlign w:val="center"/>
          </w:tcPr>
          <w:p w14:paraId="514E78B9" w14:textId="3D083F54" w:rsidR="007128F1" w:rsidRPr="002C1177" w:rsidRDefault="0016789F" w:rsidP="007128F1">
            <w:pPr>
              <w:spacing w:after="0" w:line="240" w:lineRule="auto"/>
              <w:jc w:val="center"/>
              <w:rPr>
                <w:rFonts w:ascii="Arial" w:hAnsi="Arial" w:cs="Arial"/>
                <w:sz w:val="20"/>
                <w:szCs w:val="20"/>
              </w:rPr>
            </w:pPr>
            <w:r>
              <w:rPr>
                <w:rFonts w:ascii="Arial" w:hAnsi="Arial"/>
                <w:sz w:val="20"/>
              </w:rPr>
              <w:t>X</w:t>
            </w:r>
          </w:p>
        </w:tc>
      </w:tr>
    </w:tbl>
    <w:p w14:paraId="4E226264" w14:textId="77777777" w:rsidR="0074067A" w:rsidRPr="002C1177" w:rsidRDefault="0074067A" w:rsidP="001C2CAF">
      <w:pPr>
        <w:spacing w:after="120"/>
        <w:rPr>
          <w:rFonts w:ascii="Arial" w:hAnsi="Arial" w:cs="Arial"/>
          <w:b/>
        </w:rPr>
      </w:pPr>
    </w:p>
    <w:p w14:paraId="6E7DFC9A" w14:textId="77777777" w:rsidR="001C2CAF" w:rsidRPr="002C1177" w:rsidRDefault="001C2CAF" w:rsidP="001C2CAF">
      <w:pPr>
        <w:pStyle w:val="ListParagraph"/>
        <w:numPr>
          <w:ilvl w:val="0"/>
          <w:numId w:val="41"/>
        </w:numPr>
        <w:spacing w:after="120"/>
        <w:rPr>
          <w:rFonts w:cs="Arial"/>
          <w:b/>
        </w:rPr>
      </w:pPr>
      <w:r>
        <w:rPr>
          <w:b/>
        </w:rPr>
        <w:t>PËRCAKTIMI I BURIMIT TË FINANCIMIT</w:t>
      </w:r>
    </w:p>
    <w:tbl>
      <w:tblPr>
        <w:tblW w:w="4947"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402"/>
        <w:gridCol w:w="674"/>
        <w:gridCol w:w="4155"/>
        <w:gridCol w:w="560"/>
      </w:tblGrid>
      <w:tr w:rsidR="007128F1" w:rsidRPr="002C1177" w14:paraId="50B19B6B" w14:textId="77777777" w:rsidTr="007128F1">
        <w:trPr>
          <w:trHeight w:val="417"/>
          <w:jc w:val="center"/>
        </w:trPr>
        <w:tc>
          <w:tcPr>
            <w:tcW w:w="2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509581" w14:textId="77777777" w:rsidR="007128F1" w:rsidRPr="002C1177" w:rsidRDefault="007128F1" w:rsidP="007128F1">
            <w:pPr>
              <w:spacing w:after="0" w:line="240" w:lineRule="auto"/>
              <w:rPr>
                <w:rFonts w:ascii="Arial" w:hAnsi="Arial" w:cs="Arial"/>
                <w:b/>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8475EB" w14:textId="77777777" w:rsidR="007128F1" w:rsidRPr="002C1177" w:rsidRDefault="007128F1" w:rsidP="007128F1">
            <w:pPr>
              <w:spacing w:after="0" w:line="240" w:lineRule="auto"/>
              <w:jc w:val="center"/>
              <w:rPr>
                <w:rFonts w:ascii="Arial" w:hAnsi="Arial" w:cs="Arial"/>
                <w:b/>
                <w:sz w:val="20"/>
                <w:szCs w:val="20"/>
              </w:rPr>
            </w:pPr>
            <w:r>
              <w:rPr>
                <w:rFonts w:ascii="Arial" w:hAnsi="Arial"/>
                <w:b/>
                <w:sz w:val="20"/>
              </w:rPr>
              <w:t>Po</w:t>
            </w:r>
          </w:p>
        </w:tc>
        <w:tc>
          <w:tcPr>
            <w:tcW w:w="21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AC7C2F" w14:textId="77777777" w:rsidR="007128F1" w:rsidRPr="002C1177" w:rsidRDefault="007128F1" w:rsidP="007128F1">
            <w:pPr>
              <w:spacing w:after="0" w:line="240" w:lineRule="auto"/>
              <w:jc w:val="center"/>
              <w:rPr>
                <w:rFonts w:ascii="Arial" w:hAnsi="Arial" w:cs="Arial"/>
                <w:b/>
                <w:sz w:val="20"/>
                <w:szCs w:val="20"/>
              </w:rPr>
            </w:pPr>
            <w:r>
              <w:rPr>
                <w:rFonts w:ascii="Arial" w:hAnsi="Arial"/>
                <w:b/>
                <w:sz w:val="20"/>
              </w:rPr>
              <w:t>Arsyetimi</w:t>
            </w:r>
          </w:p>
        </w:tc>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24D94F" w14:textId="77777777" w:rsidR="007128F1" w:rsidRPr="002C1177" w:rsidRDefault="007128F1" w:rsidP="007128F1">
            <w:pPr>
              <w:spacing w:after="0" w:line="240" w:lineRule="auto"/>
              <w:jc w:val="center"/>
              <w:rPr>
                <w:rFonts w:ascii="Arial" w:hAnsi="Arial" w:cs="Arial"/>
                <w:b/>
                <w:sz w:val="20"/>
                <w:szCs w:val="20"/>
              </w:rPr>
            </w:pPr>
            <w:r>
              <w:rPr>
                <w:rFonts w:ascii="Arial" w:hAnsi="Arial"/>
                <w:b/>
                <w:sz w:val="20"/>
              </w:rPr>
              <w:t>Jo</w:t>
            </w:r>
          </w:p>
        </w:tc>
      </w:tr>
      <w:tr w:rsidR="007128F1" w:rsidRPr="002C1177" w14:paraId="58D715D0" w14:textId="77777777" w:rsidTr="007128F1">
        <w:trPr>
          <w:trHeight w:val="267"/>
          <w:jc w:val="center"/>
        </w:trPr>
        <w:tc>
          <w:tcPr>
            <w:tcW w:w="2248" w:type="pct"/>
            <w:tcBorders>
              <w:top w:val="single" w:sz="4" w:space="0" w:color="auto"/>
              <w:left w:val="single" w:sz="4" w:space="0" w:color="auto"/>
              <w:bottom w:val="single" w:sz="4" w:space="0" w:color="auto"/>
              <w:right w:val="single" w:sz="4" w:space="0" w:color="auto"/>
            </w:tcBorders>
            <w:shd w:val="clear" w:color="auto" w:fill="D9D9D9"/>
            <w:vAlign w:val="center"/>
          </w:tcPr>
          <w:p w14:paraId="48A42B1E" w14:textId="77777777" w:rsidR="007128F1" w:rsidRPr="002C1177" w:rsidRDefault="007128F1" w:rsidP="007128F1">
            <w:pPr>
              <w:spacing w:after="0" w:line="240" w:lineRule="auto"/>
              <w:rPr>
                <w:rFonts w:ascii="Arial" w:hAnsi="Arial" w:cs="Arial"/>
                <w:sz w:val="20"/>
                <w:szCs w:val="20"/>
              </w:rPr>
            </w:pPr>
            <w:r>
              <w:rPr>
                <w:rFonts w:ascii="Arial" w:hAnsi="Arial"/>
                <w:sz w:val="20"/>
              </w:rPr>
              <w:t>A e përmirëson projekti lidhjen?</w:t>
            </w:r>
          </w:p>
        </w:tc>
        <w:tc>
          <w:tcPr>
            <w:tcW w:w="344" w:type="pct"/>
            <w:tcBorders>
              <w:top w:val="single" w:sz="4" w:space="0" w:color="auto"/>
              <w:left w:val="single" w:sz="4" w:space="0" w:color="auto"/>
              <w:bottom w:val="single" w:sz="4" w:space="0" w:color="auto"/>
              <w:right w:val="single" w:sz="4" w:space="0" w:color="auto"/>
            </w:tcBorders>
            <w:vAlign w:val="center"/>
          </w:tcPr>
          <w:p w14:paraId="5D16F02B" w14:textId="00723D7B" w:rsidR="007128F1" w:rsidRPr="002C1177" w:rsidRDefault="0016789F" w:rsidP="007128F1">
            <w:pPr>
              <w:spacing w:after="0" w:line="240" w:lineRule="auto"/>
              <w:rPr>
                <w:rFonts w:ascii="Arial" w:hAnsi="Arial" w:cs="Arial"/>
                <w:sz w:val="20"/>
                <w:szCs w:val="20"/>
              </w:rPr>
            </w:pPr>
            <w:r>
              <w:rPr>
                <w:rFonts w:ascii="Arial" w:hAnsi="Arial"/>
                <w:sz w:val="20"/>
              </w:rPr>
              <w:t>X</w:t>
            </w:r>
          </w:p>
        </w:tc>
        <w:tc>
          <w:tcPr>
            <w:tcW w:w="2122" w:type="pct"/>
            <w:tcBorders>
              <w:top w:val="single" w:sz="4" w:space="0" w:color="auto"/>
              <w:left w:val="single" w:sz="4" w:space="0" w:color="auto"/>
              <w:bottom w:val="single" w:sz="4" w:space="0" w:color="auto"/>
              <w:right w:val="single" w:sz="4" w:space="0" w:color="auto"/>
            </w:tcBorders>
            <w:vAlign w:val="center"/>
          </w:tcPr>
          <w:p w14:paraId="54088C65" w14:textId="321BF948" w:rsidR="007128F1" w:rsidRPr="002C1177" w:rsidRDefault="0016789F" w:rsidP="007128F1">
            <w:pPr>
              <w:spacing w:after="0" w:line="240" w:lineRule="auto"/>
              <w:rPr>
                <w:rFonts w:ascii="Arial" w:hAnsi="Arial" w:cs="Arial"/>
                <w:sz w:val="20"/>
                <w:szCs w:val="20"/>
              </w:rPr>
            </w:pPr>
            <w:r>
              <w:rPr>
                <w:rFonts w:ascii="Arial" w:hAnsi="Arial"/>
                <w:sz w:val="20"/>
              </w:rPr>
              <w:t>Bashkëpunimi ndërmjet KRU-ve nëpër tërë Republikën e Kosovës</w:t>
            </w:r>
          </w:p>
        </w:tc>
        <w:tc>
          <w:tcPr>
            <w:tcW w:w="286" w:type="pct"/>
            <w:tcBorders>
              <w:top w:val="single" w:sz="4" w:space="0" w:color="auto"/>
              <w:left w:val="single" w:sz="4" w:space="0" w:color="auto"/>
              <w:bottom w:val="single" w:sz="4" w:space="0" w:color="auto"/>
              <w:right w:val="single" w:sz="4" w:space="0" w:color="auto"/>
            </w:tcBorders>
            <w:vAlign w:val="center"/>
          </w:tcPr>
          <w:p w14:paraId="66FED24F" w14:textId="77777777" w:rsidR="007128F1" w:rsidRPr="002C1177" w:rsidRDefault="007128F1" w:rsidP="007128F1">
            <w:pPr>
              <w:spacing w:after="0" w:line="240" w:lineRule="auto"/>
              <w:rPr>
                <w:rFonts w:ascii="Arial" w:hAnsi="Arial" w:cs="Arial"/>
                <w:sz w:val="20"/>
                <w:szCs w:val="20"/>
              </w:rPr>
            </w:pPr>
          </w:p>
        </w:tc>
      </w:tr>
      <w:tr w:rsidR="007128F1" w:rsidRPr="002C1177" w14:paraId="419260B5" w14:textId="77777777" w:rsidTr="007128F1">
        <w:trPr>
          <w:trHeight w:val="417"/>
          <w:jc w:val="center"/>
        </w:trPr>
        <w:tc>
          <w:tcPr>
            <w:tcW w:w="2248" w:type="pct"/>
            <w:tcBorders>
              <w:top w:val="single" w:sz="4" w:space="0" w:color="auto"/>
              <w:left w:val="single" w:sz="4" w:space="0" w:color="auto"/>
              <w:bottom w:val="single" w:sz="4" w:space="0" w:color="auto"/>
              <w:right w:val="single" w:sz="4" w:space="0" w:color="auto"/>
            </w:tcBorders>
            <w:shd w:val="clear" w:color="auto" w:fill="D9D9D9"/>
            <w:vAlign w:val="center"/>
          </w:tcPr>
          <w:p w14:paraId="4E6CA2BB" w14:textId="77777777" w:rsidR="007128F1" w:rsidRPr="002C1177" w:rsidRDefault="007128F1" w:rsidP="007128F1">
            <w:pPr>
              <w:spacing w:after="0" w:line="240" w:lineRule="auto"/>
              <w:rPr>
                <w:rFonts w:ascii="Arial" w:hAnsi="Arial" w:cs="Arial"/>
                <w:sz w:val="20"/>
                <w:szCs w:val="20"/>
              </w:rPr>
            </w:pPr>
            <w:r>
              <w:rPr>
                <w:rFonts w:ascii="Arial" w:hAnsi="Arial"/>
                <w:sz w:val="20"/>
              </w:rPr>
              <w:t>A ka projekti ndikim ndërkufitar apo në vendet e tjera të rajonit?</w:t>
            </w:r>
          </w:p>
        </w:tc>
        <w:tc>
          <w:tcPr>
            <w:tcW w:w="344" w:type="pct"/>
            <w:tcBorders>
              <w:top w:val="single" w:sz="4" w:space="0" w:color="auto"/>
              <w:left w:val="single" w:sz="4" w:space="0" w:color="auto"/>
              <w:bottom w:val="single" w:sz="4" w:space="0" w:color="auto"/>
              <w:right w:val="single" w:sz="4" w:space="0" w:color="auto"/>
            </w:tcBorders>
            <w:vAlign w:val="center"/>
          </w:tcPr>
          <w:p w14:paraId="38ABB56D" w14:textId="77777777" w:rsidR="007128F1" w:rsidRPr="002C1177" w:rsidRDefault="007128F1" w:rsidP="007128F1">
            <w:pPr>
              <w:spacing w:after="0" w:line="240" w:lineRule="auto"/>
              <w:rPr>
                <w:rFonts w:ascii="Arial" w:hAnsi="Arial" w:cs="Arial"/>
                <w:sz w:val="20"/>
                <w:szCs w:val="20"/>
              </w:rPr>
            </w:pPr>
          </w:p>
        </w:tc>
        <w:tc>
          <w:tcPr>
            <w:tcW w:w="2122" w:type="pct"/>
            <w:tcBorders>
              <w:top w:val="single" w:sz="4" w:space="0" w:color="auto"/>
              <w:left w:val="single" w:sz="4" w:space="0" w:color="auto"/>
              <w:bottom w:val="single" w:sz="4" w:space="0" w:color="auto"/>
              <w:right w:val="single" w:sz="4" w:space="0" w:color="auto"/>
            </w:tcBorders>
            <w:vAlign w:val="center"/>
          </w:tcPr>
          <w:p w14:paraId="2E5BFA1B" w14:textId="77777777" w:rsidR="007128F1" w:rsidRPr="002C1177" w:rsidRDefault="007128F1" w:rsidP="007128F1">
            <w:pPr>
              <w:spacing w:after="0" w:line="240" w:lineRule="auto"/>
              <w:rPr>
                <w:rFonts w:ascii="Arial" w:hAnsi="Arial" w:cs="Arial"/>
                <w:sz w:val="20"/>
                <w:szCs w:val="20"/>
              </w:rPr>
            </w:pPr>
          </w:p>
        </w:tc>
        <w:tc>
          <w:tcPr>
            <w:tcW w:w="286" w:type="pct"/>
            <w:tcBorders>
              <w:top w:val="single" w:sz="4" w:space="0" w:color="auto"/>
              <w:left w:val="single" w:sz="4" w:space="0" w:color="auto"/>
              <w:bottom w:val="single" w:sz="4" w:space="0" w:color="auto"/>
              <w:right w:val="single" w:sz="4" w:space="0" w:color="auto"/>
            </w:tcBorders>
            <w:vAlign w:val="center"/>
          </w:tcPr>
          <w:p w14:paraId="199699AE" w14:textId="7636FE78" w:rsidR="007128F1" w:rsidRPr="002C1177" w:rsidRDefault="0016789F" w:rsidP="007128F1">
            <w:pPr>
              <w:spacing w:after="0" w:line="240" w:lineRule="auto"/>
              <w:rPr>
                <w:rFonts w:ascii="Arial" w:hAnsi="Arial" w:cs="Arial"/>
                <w:sz w:val="20"/>
                <w:szCs w:val="20"/>
              </w:rPr>
            </w:pPr>
            <w:r>
              <w:rPr>
                <w:rFonts w:ascii="Arial" w:hAnsi="Arial"/>
                <w:sz w:val="20"/>
              </w:rPr>
              <w:t>X</w:t>
            </w:r>
          </w:p>
        </w:tc>
      </w:tr>
      <w:tr w:rsidR="007128F1" w:rsidRPr="002C1177" w14:paraId="019399AE" w14:textId="77777777" w:rsidTr="007128F1">
        <w:trPr>
          <w:trHeight w:val="417"/>
          <w:jc w:val="center"/>
        </w:trPr>
        <w:tc>
          <w:tcPr>
            <w:tcW w:w="2248" w:type="pct"/>
            <w:tcBorders>
              <w:top w:val="single" w:sz="4" w:space="0" w:color="auto"/>
              <w:left w:val="single" w:sz="4" w:space="0" w:color="auto"/>
              <w:bottom w:val="single" w:sz="4" w:space="0" w:color="auto"/>
              <w:right w:val="single" w:sz="4" w:space="0" w:color="auto"/>
            </w:tcBorders>
            <w:shd w:val="clear" w:color="auto" w:fill="D9D9D9"/>
            <w:vAlign w:val="center"/>
          </w:tcPr>
          <w:p w14:paraId="2794D7F2" w14:textId="77777777" w:rsidR="007128F1" w:rsidRPr="002C1177" w:rsidRDefault="007128F1" w:rsidP="007128F1">
            <w:pPr>
              <w:spacing w:after="0" w:line="240" w:lineRule="auto"/>
              <w:rPr>
                <w:rFonts w:ascii="Arial" w:hAnsi="Arial" w:cs="Arial"/>
                <w:sz w:val="20"/>
                <w:szCs w:val="20"/>
              </w:rPr>
            </w:pPr>
            <w:r>
              <w:rPr>
                <w:rFonts w:ascii="Arial" w:hAnsi="Arial"/>
                <w:sz w:val="20"/>
              </w:rPr>
              <w:t>A mundet projekti në ndonjë mënyrë tjetër të caktohet si projekt rajonal?</w:t>
            </w:r>
          </w:p>
        </w:tc>
        <w:tc>
          <w:tcPr>
            <w:tcW w:w="344" w:type="pct"/>
            <w:tcBorders>
              <w:top w:val="single" w:sz="4" w:space="0" w:color="auto"/>
              <w:left w:val="single" w:sz="4" w:space="0" w:color="auto"/>
              <w:bottom w:val="single" w:sz="4" w:space="0" w:color="auto"/>
              <w:right w:val="single" w:sz="4" w:space="0" w:color="auto"/>
            </w:tcBorders>
            <w:vAlign w:val="center"/>
          </w:tcPr>
          <w:p w14:paraId="142D30BD" w14:textId="77777777" w:rsidR="007128F1" w:rsidRPr="002C1177" w:rsidRDefault="007128F1" w:rsidP="007128F1">
            <w:pPr>
              <w:spacing w:after="0" w:line="240" w:lineRule="auto"/>
              <w:rPr>
                <w:rFonts w:ascii="Arial" w:hAnsi="Arial" w:cs="Arial"/>
                <w:sz w:val="20"/>
                <w:szCs w:val="20"/>
              </w:rPr>
            </w:pPr>
          </w:p>
        </w:tc>
        <w:tc>
          <w:tcPr>
            <w:tcW w:w="2122" w:type="pct"/>
            <w:tcBorders>
              <w:top w:val="single" w:sz="4" w:space="0" w:color="auto"/>
              <w:left w:val="single" w:sz="4" w:space="0" w:color="auto"/>
              <w:bottom w:val="single" w:sz="4" w:space="0" w:color="auto"/>
              <w:right w:val="single" w:sz="4" w:space="0" w:color="auto"/>
            </w:tcBorders>
            <w:vAlign w:val="center"/>
          </w:tcPr>
          <w:p w14:paraId="24B383A0" w14:textId="77777777" w:rsidR="007128F1" w:rsidRPr="002C1177" w:rsidRDefault="007128F1" w:rsidP="007128F1">
            <w:pPr>
              <w:spacing w:after="0" w:line="240" w:lineRule="auto"/>
              <w:rPr>
                <w:rFonts w:ascii="Arial" w:hAnsi="Arial" w:cs="Arial"/>
                <w:sz w:val="20"/>
                <w:szCs w:val="20"/>
              </w:rPr>
            </w:pPr>
          </w:p>
        </w:tc>
        <w:tc>
          <w:tcPr>
            <w:tcW w:w="286" w:type="pct"/>
            <w:tcBorders>
              <w:top w:val="single" w:sz="4" w:space="0" w:color="auto"/>
              <w:left w:val="single" w:sz="4" w:space="0" w:color="auto"/>
              <w:bottom w:val="single" w:sz="4" w:space="0" w:color="auto"/>
              <w:right w:val="single" w:sz="4" w:space="0" w:color="auto"/>
            </w:tcBorders>
            <w:vAlign w:val="center"/>
          </w:tcPr>
          <w:p w14:paraId="15CD571C" w14:textId="36CD2E17" w:rsidR="007128F1" w:rsidRPr="002C1177" w:rsidRDefault="0016789F" w:rsidP="007128F1">
            <w:pPr>
              <w:spacing w:after="0" w:line="240" w:lineRule="auto"/>
              <w:rPr>
                <w:rFonts w:ascii="Arial" w:hAnsi="Arial" w:cs="Arial"/>
                <w:sz w:val="20"/>
                <w:szCs w:val="20"/>
              </w:rPr>
            </w:pPr>
            <w:r>
              <w:rPr>
                <w:rFonts w:ascii="Arial" w:hAnsi="Arial"/>
                <w:sz w:val="20"/>
              </w:rPr>
              <w:t>X</w:t>
            </w:r>
          </w:p>
        </w:tc>
      </w:tr>
    </w:tbl>
    <w:p w14:paraId="63A897F0" w14:textId="28488541" w:rsidR="0016789F" w:rsidRPr="002C1177" w:rsidRDefault="0016789F" w:rsidP="001C2CAF">
      <w:pPr>
        <w:rPr>
          <w:rFonts w:ascii="Arial" w:hAnsi="Arial" w:cs="Arial"/>
          <w:b/>
        </w:rPr>
      </w:pPr>
    </w:p>
    <w:p w14:paraId="125744B2" w14:textId="63068B65" w:rsidR="001C2CAF" w:rsidRPr="002C1177" w:rsidRDefault="00AA5B2E" w:rsidP="007128F1">
      <w:pPr>
        <w:pStyle w:val="ListParagraph"/>
        <w:numPr>
          <w:ilvl w:val="0"/>
          <w:numId w:val="41"/>
        </w:numPr>
        <w:spacing w:after="120"/>
        <w:rPr>
          <w:rFonts w:cs="Arial"/>
          <w:b/>
        </w:rPr>
      </w:pPr>
      <w:r>
        <w:rPr>
          <w:b/>
        </w:rPr>
        <w:t>PLANIFIKIMI I SHPENZIMEVE</w:t>
      </w:r>
    </w:p>
    <w:tbl>
      <w:tblPr>
        <w:tblW w:w="348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706"/>
        <w:gridCol w:w="1117"/>
        <w:gridCol w:w="1217"/>
        <w:gridCol w:w="1368"/>
        <w:gridCol w:w="1368"/>
        <w:gridCol w:w="1368"/>
        <w:gridCol w:w="1368"/>
      </w:tblGrid>
      <w:tr w:rsidR="00EB299C" w:rsidRPr="002C1177" w14:paraId="45305891" w14:textId="77777777" w:rsidTr="00F50C49">
        <w:tc>
          <w:tcPr>
            <w:tcW w:w="1291" w:type="pct"/>
            <w:shd w:val="clear" w:color="auto" w:fill="D9D9D9" w:themeFill="background1" w:themeFillShade="D9"/>
          </w:tcPr>
          <w:p w14:paraId="4AAA0FE4" w14:textId="77777777" w:rsidR="00F50C49" w:rsidRPr="002C1177" w:rsidRDefault="00F50C49" w:rsidP="0015552F">
            <w:pPr>
              <w:spacing w:after="120"/>
              <w:rPr>
                <w:rFonts w:ascii="Arial" w:hAnsi="Arial" w:cs="Arial"/>
                <w:b/>
              </w:rPr>
            </w:pPr>
          </w:p>
        </w:tc>
        <w:tc>
          <w:tcPr>
            <w:tcW w:w="487" w:type="pct"/>
            <w:shd w:val="clear" w:color="auto" w:fill="D9D9D9" w:themeFill="background1" w:themeFillShade="D9"/>
          </w:tcPr>
          <w:p w14:paraId="3C26C217" w14:textId="77777777" w:rsidR="00F50C49" w:rsidRPr="002C1177" w:rsidRDefault="00F50C49" w:rsidP="0015552F">
            <w:pPr>
              <w:spacing w:after="120"/>
              <w:rPr>
                <w:rFonts w:ascii="Arial" w:hAnsi="Arial" w:cs="Arial"/>
                <w:b/>
              </w:rPr>
            </w:pPr>
            <w:r>
              <w:rPr>
                <w:rFonts w:ascii="Arial" w:hAnsi="Arial"/>
                <w:b/>
              </w:rPr>
              <w:t>2024</w:t>
            </w:r>
          </w:p>
        </w:tc>
        <w:tc>
          <w:tcPr>
            <w:tcW w:w="487" w:type="pct"/>
            <w:shd w:val="clear" w:color="auto" w:fill="D9D9D9" w:themeFill="background1" w:themeFillShade="D9"/>
          </w:tcPr>
          <w:p w14:paraId="35F0C0E0" w14:textId="77777777" w:rsidR="00F50C49" w:rsidRPr="002C1177" w:rsidRDefault="00F50C49" w:rsidP="0015552F">
            <w:pPr>
              <w:spacing w:after="120"/>
              <w:rPr>
                <w:rFonts w:ascii="Arial" w:hAnsi="Arial" w:cs="Arial"/>
                <w:b/>
              </w:rPr>
            </w:pPr>
            <w:r>
              <w:rPr>
                <w:rFonts w:ascii="Arial" w:hAnsi="Arial"/>
                <w:b/>
              </w:rPr>
              <w:t>2025</w:t>
            </w:r>
          </w:p>
        </w:tc>
        <w:tc>
          <w:tcPr>
            <w:tcW w:w="488" w:type="pct"/>
            <w:shd w:val="clear" w:color="auto" w:fill="D9D9D9" w:themeFill="background1" w:themeFillShade="D9"/>
          </w:tcPr>
          <w:p w14:paraId="70242704" w14:textId="77777777" w:rsidR="00F50C49" w:rsidRPr="002C1177" w:rsidRDefault="00F50C49" w:rsidP="0015552F">
            <w:pPr>
              <w:spacing w:after="120"/>
              <w:rPr>
                <w:rFonts w:ascii="Arial" w:hAnsi="Arial" w:cs="Arial"/>
                <w:b/>
              </w:rPr>
            </w:pPr>
            <w:r>
              <w:rPr>
                <w:rFonts w:ascii="Arial" w:hAnsi="Arial"/>
                <w:b/>
              </w:rPr>
              <w:t>2026</w:t>
            </w:r>
          </w:p>
        </w:tc>
        <w:tc>
          <w:tcPr>
            <w:tcW w:w="488" w:type="pct"/>
            <w:shd w:val="clear" w:color="auto" w:fill="D9D9D9" w:themeFill="background1" w:themeFillShade="D9"/>
          </w:tcPr>
          <w:p w14:paraId="35F9B5E5" w14:textId="77777777" w:rsidR="00F50C49" w:rsidRPr="002C1177" w:rsidRDefault="00F50C49" w:rsidP="0015552F">
            <w:pPr>
              <w:spacing w:after="120"/>
              <w:rPr>
                <w:rFonts w:ascii="Arial" w:hAnsi="Arial" w:cs="Arial"/>
                <w:b/>
              </w:rPr>
            </w:pPr>
            <w:r>
              <w:rPr>
                <w:rFonts w:ascii="Arial" w:hAnsi="Arial"/>
                <w:b/>
              </w:rPr>
              <w:t>2027</w:t>
            </w:r>
          </w:p>
        </w:tc>
        <w:tc>
          <w:tcPr>
            <w:tcW w:w="488" w:type="pct"/>
            <w:shd w:val="clear" w:color="auto" w:fill="D9D9D9" w:themeFill="background1" w:themeFillShade="D9"/>
          </w:tcPr>
          <w:p w14:paraId="47C3EC54" w14:textId="77777777" w:rsidR="00F50C49" w:rsidRPr="002C1177" w:rsidRDefault="00F50C49" w:rsidP="0015552F">
            <w:pPr>
              <w:spacing w:after="120"/>
              <w:rPr>
                <w:rFonts w:ascii="Arial" w:hAnsi="Arial" w:cs="Arial"/>
                <w:b/>
              </w:rPr>
            </w:pPr>
            <w:r>
              <w:rPr>
                <w:rFonts w:ascii="Arial" w:hAnsi="Arial"/>
                <w:b/>
              </w:rPr>
              <w:t>2028</w:t>
            </w:r>
          </w:p>
        </w:tc>
        <w:tc>
          <w:tcPr>
            <w:tcW w:w="488" w:type="pct"/>
            <w:shd w:val="clear" w:color="auto" w:fill="D9D9D9" w:themeFill="background1" w:themeFillShade="D9"/>
          </w:tcPr>
          <w:p w14:paraId="424E4010" w14:textId="77777777" w:rsidR="00F50C49" w:rsidRPr="002C1177" w:rsidRDefault="00F50C49" w:rsidP="0015552F">
            <w:pPr>
              <w:spacing w:after="120"/>
              <w:rPr>
                <w:rFonts w:ascii="Arial" w:hAnsi="Arial" w:cs="Arial"/>
                <w:b/>
              </w:rPr>
            </w:pPr>
            <w:r>
              <w:rPr>
                <w:rFonts w:ascii="Arial" w:hAnsi="Arial"/>
                <w:b/>
              </w:rPr>
              <w:t>2029</w:t>
            </w:r>
          </w:p>
        </w:tc>
        <w:tc>
          <w:tcPr>
            <w:tcW w:w="782" w:type="pct"/>
            <w:shd w:val="clear" w:color="auto" w:fill="D9D9D9" w:themeFill="background1" w:themeFillShade="D9"/>
          </w:tcPr>
          <w:p w14:paraId="4EFC6EB8" w14:textId="77777777" w:rsidR="00F50C49" w:rsidRPr="002C1177" w:rsidRDefault="00F50C49" w:rsidP="0015552F">
            <w:pPr>
              <w:spacing w:after="120"/>
              <w:rPr>
                <w:rFonts w:ascii="Arial" w:hAnsi="Arial" w:cs="Arial"/>
                <w:b/>
              </w:rPr>
            </w:pPr>
            <w:r>
              <w:rPr>
                <w:rFonts w:ascii="Arial" w:hAnsi="Arial"/>
                <w:b/>
              </w:rPr>
              <w:t>2030</w:t>
            </w:r>
          </w:p>
        </w:tc>
      </w:tr>
      <w:tr w:rsidR="00EB299C" w:rsidRPr="002C1177" w14:paraId="063DF3F7" w14:textId="77777777" w:rsidTr="00F50C49">
        <w:tc>
          <w:tcPr>
            <w:tcW w:w="1291" w:type="pct"/>
            <w:shd w:val="clear" w:color="auto" w:fill="D9D9D9" w:themeFill="background1" w:themeFillShade="D9"/>
          </w:tcPr>
          <w:p w14:paraId="6AC296B4" w14:textId="77777777" w:rsidR="00F50C49" w:rsidRPr="002C1177" w:rsidRDefault="00F50C49" w:rsidP="0015552F">
            <w:pPr>
              <w:spacing w:after="120"/>
              <w:rPr>
                <w:rFonts w:ascii="Arial" w:hAnsi="Arial" w:cs="Arial"/>
                <w:b/>
              </w:rPr>
            </w:pPr>
            <w:r>
              <w:rPr>
                <w:rFonts w:ascii="Arial" w:hAnsi="Arial"/>
                <w:b/>
              </w:rPr>
              <w:t>Kostot (në euro) të:</w:t>
            </w:r>
          </w:p>
        </w:tc>
        <w:tc>
          <w:tcPr>
            <w:tcW w:w="487" w:type="pct"/>
            <w:shd w:val="clear" w:color="auto" w:fill="auto"/>
          </w:tcPr>
          <w:p w14:paraId="0EB4867D" w14:textId="77777777" w:rsidR="00F50C49" w:rsidRPr="002C1177" w:rsidRDefault="00F50C49" w:rsidP="0015552F">
            <w:pPr>
              <w:spacing w:after="120"/>
              <w:rPr>
                <w:rFonts w:ascii="Arial" w:hAnsi="Arial" w:cs="Arial"/>
                <w:b/>
              </w:rPr>
            </w:pPr>
          </w:p>
        </w:tc>
        <w:tc>
          <w:tcPr>
            <w:tcW w:w="487" w:type="pct"/>
            <w:shd w:val="clear" w:color="auto" w:fill="auto"/>
          </w:tcPr>
          <w:p w14:paraId="3E981625" w14:textId="77777777" w:rsidR="00F50C49" w:rsidRPr="002C1177" w:rsidRDefault="00F50C49" w:rsidP="0015552F">
            <w:pPr>
              <w:spacing w:after="120"/>
              <w:rPr>
                <w:rFonts w:ascii="Arial" w:hAnsi="Arial" w:cs="Arial"/>
                <w:b/>
                <w:sz w:val="18"/>
                <w:szCs w:val="18"/>
              </w:rPr>
            </w:pPr>
          </w:p>
        </w:tc>
        <w:tc>
          <w:tcPr>
            <w:tcW w:w="488" w:type="pct"/>
            <w:shd w:val="clear" w:color="auto" w:fill="auto"/>
          </w:tcPr>
          <w:p w14:paraId="6B964DC6" w14:textId="77777777" w:rsidR="00F50C49" w:rsidRPr="002C1177" w:rsidRDefault="00F50C49" w:rsidP="0015552F">
            <w:pPr>
              <w:spacing w:after="120"/>
              <w:rPr>
                <w:rFonts w:ascii="Arial" w:hAnsi="Arial" w:cs="Arial"/>
                <w:b/>
                <w:sz w:val="18"/>
                <w:szCs w:val="18"/>
              </w:rPr>
            </w:pPr>
          </w:p>
        </w:tc>
        <w:tc>
          <w:tcPr>
            <w:tcW w:w="488" w:type="pct"/>
            <w:shd w:val="clear" w:color="auto" w:fill="auto"/>
          </w:tcPr>
          <w:p w14:paraId="003297F3" w14:textId="77777777" w:rsidR="00F50C49" w:rsidRPr="002C1177" w:rsidRDefault="00F50C49" w:rsidP="0015552F">
            <w:pPr>
              <w:spacing w:after="120"/>
              <w:rPr>
                <w:rFonts w:ascii="Arial" w:hAnsi="Arial" w:cs="Arial"/>
                <w:b/>
                <w:sz w:val="18"/>
                <w:szCs w:val="18"/>
              </w:rPr>
            </w:pPr>
          </w:p>
        </w:tc>
        <w:tc>
          <w:tcPr>
            <w:tcW w:w="488" w:type="pct"/>
            <w:shd w:val="clear" w:color="auto" w:fill="auto"/>
          </w:tcPr>
          <w:p w14:paraId="2FFBF1DC" w14:textId="77777777" w:rsidR="00F50C49" w:rsidRPr="002C1177" w:rsidRDefault="00F50C49" w:rsidP="0015552F">
            <w:pPr>
              <w:spacing w:after="120"/>
              <w:rPr>
                <w:rFonts w:ascii="Arial" w:hAnsi="Arial" w:cs="Arial"/>
                <w:b/>
                <w:sz w:val="18"/>
                <w:szCs w:val="18"/>
              </w:rPr>
            </w:pPr>
          </w:p>
        </w:tc>
        <w:tc>
          <w:tcPr>
            <w:tcW w:w="488" w:type="pct"/>
            <w:shd w:val="clear" w:color="auto" w:fill="auto"/>
          </w:tcPr>
          <w:p w14:paraId="6F7A61AF" w14:textId="77777777" w:rsidR="00F50C49" w:rsidRPr="002C1177" w:rsidRDefault="00F50C49" w:rsidP="0015552F">
            <w:pPr>
              <w:spacing w:after="120"/>
              <w:rPr>
                <w:rFonts w:ascii="Arial" w:hAnsi="Arial" w:cs="Arial"/>
                <w:b/>
                <w:sz w:val="18"/>
                <w:szCs w:val="18"/>
              </w:rPr>
            </w:pPr>
          </w:p>
        </w:tc>
        <w:tc>
          <w:tcPr>
            <w:tcW w:w="782" w:type="pct"/>
            <w:shd w:val="clear" w:color="auto" w:fill="auto"/>
          </w:tcPr>
          <w:p w14:paraId="450259DB" w14:textId="77777777" w:rsidR="00F50C49" w:rsidRPr="002C1177" w:rsidRDefault="00F50C49" w:rsidP="0015552F">
            <w:pPr>
              <w:spacing w:after="120"/>
              <w:rPr>
                <w:rFonts w:ascii="Arial" w:hAnsi="Arial" w:cs="Arial"/>
                <w:b/>
                <w:sz w:val="18"/>
                <w:szCs w:val="18"/>
              </w:rPr>
            </w:pPr>
          </w:p>
        </w:tc>
      </w:tr>
      <w:tr w:rsidR="00EB299C" w:rsidRPr="002C1177" w14:paraId="35535C4F" w14:textId="77777777" w:rsidTr="00F50C49">
        <w:tc>
          <w:tcPr>
            <w:tcW w:w="1291" w:type="pct"/>
            <w:shd w:val="clear" w:color="auto" w:fill="D9D9D9" w:themeFill="background1" w:themeFillShade="D9"/>
          </w:tcPr>
          <w:p w14:paraId="11C4F033" w14:textId="77777777" w:rsidR="00F50C49" w:rsidRPr="002C1177" w:rsidRDefault="00F50C49" w:rsidP="0015552F">
            <w:pPr>
              <w:spacing w:after="120"/>
              <w:rPr>
                <w:rFonts w:ascii="Arial" w:hAnsi="Arial" w:cs="Arial"/>
                <w:b/>
              </w:rPr>
            </w:pPr>
            <w:r>
              <w:rPr>
                <w:rFonts w:ascii="Arial" w:hAnsi="Arial"/>
                <w:b/>
              </w:rPr>
              <w:t>Përgatitja e projektit (TA)</w:t>
            </w:r>
          </w:p>
        </w:tc>
        <w:tc>
          <w:tcPr>
            <w:tcW w:w="487" w:type="pct"/>
            <w:shd w:val="clear" w:color="auto" w:fill="auto"/>
          </w:tcPr>
          <w:p w14:paraId="55BD5891" w14:textId="77777777" w:rsidR="00F50C49" w:rsidRPr="00C00214" w:rsidRDefault="00F50C49" w:rsidP="0015552F">
            <w:pPr>
              <w:spacing w:after="120"/>
              <w:rPr>
                <w:rFonts w:ascii="Arial" w:hAnsi="Arial" w:cs="Arial"/>
              </w:rPr>
            </w:pPr>
          </w:p>
        </w:tc>
        <w:tc>
          <w:tcPr>
            <w:tcW w:w="487" w:type="pct"/>
            <w:shd w:val="clear" w:color="auto" w:fill="auto"/>
          </w:tcPr>
          <w:p w14:paraId="5BFB8E89" w14:textId="65FFF961" w:rsidR="00F50C49" w:rsidRPr="00C00214" w:rsidRDefault="00905EB5" w:rsidP="0015552F">
            <w:pPr>
              <w:spacing w:after="120"/>
              <w:rPr>
                <w:rFonts w:ascii="Arial" w:hAnsi="Arial" w:cs="Arial"/>
                <w:sz w:val="18"/>
                <w:szCs w:val="18"/>
              </w:rPr>
            </w:pPr>
            <w:r>
              <w:rPr>
                <w:rFonts w:ascii="Arial" w:hAnsi="Arial"/>
                <w:sz w:val="18"/>
              </w:rPr>
              <w:t>900.000.00</w:t>
            </w:r>
          </w:p>
        </w:tc>
        <w:tc>
          <w:tcPr>
            <w:tcW w:w="488" w:type="pct"/>
            <w:shd w:val="clear" w:color="auto" w:fill="auto"/>
          </w:tcPr>
          <w:p w14:paraId="5C981222" w14:textId="6B26AACA" w:rsidR="00F50C49" w:rsidRPr="00C00214" w:rsidRDefault="00905EB5" w:rsidP="0015552F">
            <w:pPr>
              <w:spacing w:after="120"/>
              <w:rPr>
                <w:rFonts w:ascii="Arial" w:hAnsi="Arial" w:cs="Arial"/>
                <w:sz w:val="18"/>
                <w:szCs w:val="18"/>
              </w:rPr>
            </w:pPr>
            <w:r>
              <w:rPr>
                <w:rFonts w:ascii="Arial" w:hAnsi="Arial"/>
                <w:sz w:val="18"/>
              </w:rPr>
              <w:t>9000.000.00</w:t>
            </w:r>
          </w:p>
        </w:tc>
        <w:tc>
          <w:tcPr>
            <w:tcW w:w="488" w:type="pct"/>
            <w:shd w:val="clear" w:color="auto" w:fill="auto"/>
          </w:tcPr>
          <w:p w14:paraId="50FC7F90" w14:textId="77777777" w:rsidR="00F50C49" w:rsidRPr="00C00214" w:rsidRDefault="00F50C49" w:rsidP="0015552F">
            <w:pPr>
              <w:spacing w:after="120"/>
              <w:rPr>
                <w:rFonts w:ascii="Arial" w:hAnsi="Arial" w:cs="Arial"/>
                <w:sz w:val="18"/>
                <w:szCs w:val="18"/>
              </w:rPr>
            </w:pPr>
          </w:p>
        </w:tc>
        <w:tc>
          <w:tcPr>
            <w:tcW w:w="488" w:type="pct"/>
            <w:shd w:val="clear" w:color="auto" w:fill="auto"/>
          </w:tcPr>
          <w:p w14:paraId="01B68FA8" w14:textId="77777777" w:rsidR="00F50C49" w:rsidRPr="00C00214" w:rsidRDefault="00F50C49" w:rsidP="0015552F">
            <w:pPr>
              <w:spacing w:after="120"/>
              <w:rPr>
                <w:rFonts w:ascii="Arial" w:hAnsi="Arial" w:cs="Arial"/>
                <w:sz w:val="18"/>
                <w:szCs w:val="18"/>
              </w:rPr>
            </w:pPr>
          </w:p>
        </w:tc>
        <w:tc>
          <w:tcPr>
            <w:tcW w:w="488" w:type="pct"/>
            <w:shd w:val="clear" w:color="auto" w:fill="auto"/>
          </w:tcPr>
          <w:p w14:paraId="53B1D96D" w14:textId="77777777" w:rsidR="00F50C49" w:rsidRPr="00C00214" w:rsidRDefault="00F50C49" w:rsidP="0015552F">
            <w:pPr>
              <w:spacing w:after="120"/>
              <w:rPr>
                <w:rFonts w:ascii="Arial" w:hAnsi="Arial" w:cs="Arial"/>
                <w:sz w:val="18"/>
                <w:szCs w:val="18"/>
              </w:rPr>
            </w:pPr>
          </w:p>
        </w:tc>
        <w:tc>
          <w:tcPr>
            <w:tcW w:w="782" w:type="pct"/>
            <w:shd w:val="clear" w:color="auto" w:fill="auto"/>
          </w:tcPr>
          <w:p w14:paraId="68EF09AF" w14:textId="77777777" w:rsidR="00F50C49" w:rsidRPr="00C00214" w:rsidRDefault="00F50C49" w:rsidP="0015552F">
            <w:pPr>
              <w:spacing w:after="120"/>
              <w:rPr>
                <w:rFonts w:ascii="Arial" w:hAnsi="Arial" w:cs="Arial"/>
                <w:sz w:val="18"/>
                <w:szCs w:val="18"/>
              </w:rPr>
            </w:pPr>
          </w:p>
        </w:tc>
      </w:tr>
      <w:tr w:rsidR="00EB299C" w:rsidRPr="002C1177" w14:paraId="3A892A87" w14:textId="77777777" w:rsidTr="00F50C49">
        <w:tc>
          <w:tcPr>
            <w:tcW w:w="1291" w:type="pct"/>
            <w:shd w:val="clear" w:color="auto" w:fill="D9D9D9" w:themeFill="background1" w:themeFillShade="D9"/>
          </w:tcPr>
          <w:p w14:paraId="5A092574" w14:textId="77777777" w:rsidR="00F50C49" w:rsidRPr="002C1177" w:rsidRDefault="00F50C49" w:rsidP="0015552F">
            <w:pPr>
              <w:spacing w:after="120"/>
              <w:rPr>
                <w:rFonts w:ascii="Arial" w:hAnsi="Arial" w:cs="Arial"/>
                <w:b/>
              </w:rPr>
            </w:pPr>
            <w:r>
              <w:rPr>
                <w:rFonts w:ascii="Arial" w:hAnsi="Arial"/>
                <w:b/>
              </w:rPr>
              <w:t xml:space="preserve">Investimi </w:t>
            </w:r>
          </w:p>
        </w:tc>
        <w:tc>
          <w:tcPr>
            <w:tcW w:w="487" w:type="pct"/>
            <w:shd w:val="clear" w:color="auto" w:fill="auto"/>
          </w:tcPr>
          <w:p w14:paraId="0015DE19" w14:textId="77777777" w:rsidR="00F50C49" w:rsidRPr="00C00214" w:rsidRDefault="00F50C49" w:rsidP="0015552F">
            <w:pPr>
              <w:spacing w:after="120"/>
              <w:rPr>
                <w:rFonts w:ascii="Arial" w:hAnsi="Arial" w:cs="Arial"/>
              </w:rPr>
            </w:pPr>
          </w:p>
        </w:tc>
        <w:tc>
          <w:tcPr>
            <w:tcW w:w="487" w:type="pct"/>
            <w:shd w:val="clear" w:color="auto" w:fill="auto"/>
          </w:tcPr>
          <w:p w14:paraId="61F61050" w14:textId="77777777" w:rsidR="00F50C49" w:rsidRPr="00C00214" w:rsidRDefault="00F50C49" w:rsidP="0015552F">
            <w:pPr>
              <w:spacing w:after="120"/>
              <w:rPr>
                <w:rFonts w:ascii="Arial" w:hAnsi="Arial" w:cs="Arial"/>
                <w:sz w:val="18"/>
                <w:szCs w:val="18"/>
              </w:rPr>
            </w:pPr>
          </w:p>
        </w:tc>
        <w:tc>
          <w:tcPr>
            <w:tcW w:w="488" w:type="pct"/>
            <w:shd w:val="clear" w:color="auto" w:fill="auto"/>
          </w:tcPr>
          <w:p w14:paraId="37DCC5D9" w14:textId="6B0B9B2C" w:rsidR="00F50C49" w:rsidRPr="00C00214" w:rsidRDefault="00F50C49" w:rsidP="0015552F">
            <w:pPr>
              <w:spacing w:after="120"/>
              <w:rPr>
                <w:rFonts w:ascii="Arial" w:hAnsi="Arial" w:cs="Arial"/>
                <w:sz w:val="18"/>
                <w:szCs w:val="18"/>
              </w:rPr>
            </w:pPr>
          </w:p>
        </w:tc>
        <w:tc>
          <w:tcPr>
            <w:tcW w:w="488" w:type="pct"/>
            <w:shd w:val="clear" w:color="auto" w:fill="auto"/>
          </w:tcPr>
          <w:p w14:paraId="2B9EF5D1" w14:textId="5F8F45E3" w:rsidR="00F50C49" w:rsidRPr="00C00214" w:rsidRDefault="00C471C4" w:rsidP="0015552F">
            <w:pPr>
              <w:spacing w:after="120"/>
              <w:rPr>
                <w:rFonts w:ascii="Arial" w:hAnsi="Arial" w:cs="Arial"/>
                <w:sz w:val="18"/>
                <w:szCs w:val="18"/>
              </w:rPr>
            </w:pPr>
            <w:r>
              <w:rPr>
                <w:rFonts w:ascii="Arial" w:hAnsi="Arial"/>
                <w:sz w:val="18"/>
              </w:rPr>
              <w:t>45.900.000.00</w:t>
            </w:r>
          </w:p>
        </w:tc>
        <w:tc>
          <w:tcPr>
            <w:tcW w:w="488" w:type="pct"/>
            <w:shd w:val="clear" w:color="auto" w:fill="auto"/>
          </w:tcPr>
          <w:p w14:paraId="0C49208E" w14:textId="3D8BFAF1" w:rsidR="00F50C49" w:rsidRPr="00C00214" w:rsidRDefault="00EB299C" w:rsidP="0015552F">
            <w:pPr>
              <w:spacing w:after="120"/>
              <w:rPr>
                <w:rFonts w:ascii="Arial" w:hAnsi="Arial" w:cs="Arial"/>
                <w:sz w:val="18"/>
                <w:szCs w:val="18"/>
              </w:rPr>
            </w:pPr>
            <w:r>
              <w:rPr>
                <w:rFonts w:ascii="Arial" w:hAnsi="Arial"/>
                <w:sz w:val="18"/>
              </w:rPr>
              <w:t>25.951.666.70</w:t>
            </w:r>
          </w:p>
        </w:tc>
        <w:tc>
          <w:tcPr>
            <w:tcW w:w="488" w:type="pct"/>
            <w:shd w:val="clear" w:color="auto" w:fill="auto"/>
          </w:tcPr>
          <w:p w14:paraId="6C72A1F4" w14:textId="6FA1832A" w:rsidR="00F50C49" w:rsidRPr="00C00214" w:rsidRDefault="00EB299C" w:rsidP="0015552F">
            <w:pPr>
              <w:spacing w:after="120"/>
              <w:rPr>
                <w:rFonts w:ascii="Arial" w:hAnsi="Arial" w:cs="Arial"/>
                <w:sz w:val="18"/>
                <w:szCs w:val="18"/>
              </w:rPr>
            </w:pPr>
            <w:r>
              <w:rPr>
                <w:rFonts w:ascii="Arial" w:hAnsi="Arial"/>
                <w:sz w:val="18"/>
              </w:rPr>
              <w:t>25.951.666.70</w:t>
            </w:r>
          </w:p>
        </w:tc>
        <w:tc>
          <w:tcPr>
            <w:tcW w:w="782" w:type="pct"/>
            <w:shd w:val="clear" w:color="auto" w:fill="auto"/>
          </w:tcPr>
          <w:p w14:paraId="04BBFA97" w14:textId="3C64FAC0" w:rsidR="00F50C49" w:rsidRPr="00C00214" w:rsidRDefault="00C471C4" w:rsidP="0015552F">
            <w:pPr>
              <w:spacing w:after="120"/>
              <w:rPr>
                <w:rFonts w:ascii="Arial" w:hAnsi="Arial" w:cs="Arial"/>
                <w:sz w:val="18"/>
                <w:szCs w:val="18"/>
              </w:rPr>
            </w:pPr>
            <w:r>
              <w:rPr>
                <w:rFonts w:ascii="Arial" w:hAnsi="Arial"/>
                <w:sz w:val="18"/>
              </w:rPr>
              <w:t>15.051.666.70</w:t>
            </w:r>
          </w:p>
        </w:tc>
      </w:tr>
    </w:tbl>
    <w:p w14:paraId="2F4E79FD" w14:textId="77777777" w:rsidR="0015552F" w:rsidRPr="002C1177" w:rsidRDefault="0015552F" w:rsidP="0015552F">
      <w:pPr>
        <w:spacing w:after="120"/>
        <w:rPr>
          <w:rFonts w:ascii="Arial" w:hAnsi="Arial" w:cs="Arial"/>
          <w:b/>
        </w:rPr>
      </w:pPr>
    </w:p>
    <w:p w14:paraId="11CCB3F5" w14:textId="77777777" w:rsidR="0074067A" w:rsidRPr="002C1177" w:rsidRDefault="0074067A" w:rsidP="001C2CAF">
      <w:pPr>
        <w:spacing w:before="200" w:after="120" w:line="240" w:lineRule="auto"/>
        <w:rPr>
          <w:rFonts w:ascii="Arial" w:hAnsi="Arial" w:cs="Arial"/>
          <w:b/>
        </w:rPr>
      </w:pPr>
    </w:p>
    <w:p w14:paraId="75208BA0" w14:textId="77777777" w:rsidR="0074067A" w:rsidRPr="002C1177" w:rsidRDefault="007128F1" w:rsidP="007128F1">
      <w:pPr>
        <w:pStyle w:val="ListParagraph"/>
        <w:numPr>
          <w:ilvl w:val="0"/>
          <w:numId w:val="41"/>
        </w:numPr>
        <w:spacing w:after="120"/>
        <w:rPr>
          <w:rFonts w:cs="Arial"/>
          <w:b/>
        </w:rPr>
      </w:pPr>
      <w:r>
        <w:rPr>
          <w:b/>
        </w:rPr>
        <w:lastRenderedPageBreak/>
        <w:t>ASPEKTE TË TJERA</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044"/>
        <w:gridCol w:w="5852"/>
      </w:tblGrid>
      <w:tr w:rsidR="007128F1" w:rsidRPr="002C1177" w14:paraId="43E4C1B7" w14:textId="77777777" w:rsidTr="007128F1">
        <w:trPr>
          <w:trHeight w:val="467"/>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7C998038" w14:textId="77777777" w:rsidR="007128F1" w:rsidRPr="002C1177" w:rsidRDefault="007128F1" w:rsidP="001E3D7C">
            <w:pPr>
              <w:spacing w:after="0" w:line="240" w:lineRule="auto"/>
              <w:rPr>
                <w:rFonts w:ascii="Arial" w:hAnsi="Arial" w:cs="Arial"/>
                <w:sz w:val="20"/>
                <w:szCs w:val="20"/>
              </w:rPr>
            </w:pPr>
            <w:r>
              <w:rPr>
                <w:rFonts w:ascii="Arial" w:hAnsi="Arial"/>
                <w:sz w:val="20"/>
              </w:rPr>
              <w:t>A janë konsultuar IFN-të ose donatorë të tjerë për projektin? Kur? Cili ishte gjykimi i tyre?</w:t>
            </w:r>
          </w:p>
        </w:tc>
        <w:tc>
          <w:tcPr>
            <w:tcW w:w="2957" w:type="pct"/>
            <w:tcBorders>
              <w:top w:val="single" w:sz="4" w:space="0" w:color="auto"/>
              <w:left w:val="single" w:sz="4" w:space="0" w:color="auto"/>
              <w:bottom w:val="single" w:sz="4" w:space="0" w:color="auto"/>
              <w:right w:val="single" w:sz="4" w:space="0" w:color="auto"/>
            </w:tcBorders>
            <w:vAlign w:val="center"/>
          </w:tcPr>
          <w:p w14:paraId="27D8D15E" w14:textId="406635A8" w:rsidR="007128F1" w:rsidRPr="00E57185" w:rsidRDefault="00E57185" w:rsidP="00E331CA">
            <w:r>
              <w:rPr>
                <w:rFonts w:ascii="Arial" w:hAnsi="Arial"/>
                <w:sz w:val="20"/>
              </w:rPr>
              <w:t>Një takim konsultimi me donatorët u zhvillua më 23 janar 2024, ku IFN-të dhe donatorët e tjerë u ftuan të merrnin pjesë në një diskutim të përgjithshëm mbi p</w:t>
            </w:r>
            <w:r w:rsidR="00E331CA">
              <w:rPr>
                <w:rFonts w:ascii="Arial" w:hAnsi="Arial"/>
                <w:sz w:val="20"/>
              </w:rPr>
              <w:t xml:space="preserve">rojektet në LPP për </w:t>
            </w:r>
            <w:bookmarkStart w:id="0" w:name="_GoBack"/>
            <w:bookmarkEnd w:id="0"/>
            <w:r w:rsidR="00E331CA">
              <w:rPr>
                <w:rFonts w:ascii="Arial" w:hAnsi="Arial"/>
                <w:sz w:val="20"/>
              </w:rPr>
              <w:t xml:space="preserve">sektorin e Mjedisit </w:t>
            </w:r>
            <w:r>
              <w:rPr>
                <w:rFonts w:ascii="Arial" w:hAnsi="Arial"/>
                <w:sz w:val="20"/>
              </w:rPr>
              <w:t>përpara validimit dhe miratimit të tij.</w:t>
            </w:r>
          </w:p>
        </w:tc>
      </w:tr>
      <w:tr w:rsidR="007128F1" w:rsidRPr="002C1177" w14:paraId="46502ABC" w14:textId="77777777" w:rsidTr="007128F1">
        <w:trPr>
          <w:trHeight w:val="245"/>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39E856A8" w14:textId="42B2B46F" w:rsidR="007128F1" w:rsidRPr="002C1177" w:rsidRDefault="007128F1" w:rsidP="007128F1">
            <w:pPr>
              <w:spacing w:after="0" w:line="240" w:lineRule="auto"/>
              <w:rPr>
                <w:rFonts w:ascii="Arial" w:hAnsi="Arial" w:cs="Arial"/>
                <w:sz w:val="20"/>
                <w:szCs w:val="20"/>
              </w:rPr>
            </w:pPr>
            <w:r>
              <w:rPr>
                <w:rFonts w:ascii="Arial" w:hAnsi="Arial"/>
                <w:sz w:val="20"/>
              </w:rPr>
              <w:t>Mbësht</w:t>
            </w:r>
            <w:r w:rsidR="0028301C">
              <w:rPr>
                <w:rFonts w:ascii="Arial" w:hAnsi="Arial"/>
                <w:sz w:val="20"/>
              </w:rPr>
              <w:t>etja ekzistuese e BE-së ose WBIF</w:t>
            </w:r>
            <w:r>
              <w:rPr>
                <w:rFonts w:ascii="Arial" w:hAnsi="Arial"/>
                <w:sz w:val="20"/>
              </w:rPr>
              <w:t xml:space="preserve"> (TA): shuma, qëllimi</w:t>
            </w:r>
          </w:p>
        </w:tc>
        <w:tc>
          <w:tcPr>
            <w:tcW w:w="2957" w:type="pct"/>
            <w:tcBorders>
              <w:top w:val="single" w:sz="4" w:space="0" w:color="auto"/>
              <w:left w:val="single" w:sz="4" w:space="0" w:color="auto"/>
              <w:bottom w:val="single" w:sz="4" w:space="0" w:color="auto"/>
              <w:right w:val="single" w:sz="4" w:space="0" w:color="auto"/>
            </w:tcBorders>
            <w:vAlign w:val="center"/>
          </w:tcPr>
          <w:p w14:paraId="21514852" w14:textId="77777777" w:rsidR="007128F1" w:rsidRPr="002C1177" w:rsidRDefault="007128F1" w:rsidP="007128F1">
            <w:pPr>
              <w:spacing w:after="0" w:line="240" w:lineRule="auto"/>
              <w:rPr>
                <w:rFonts w:ascii="Arial" w:hAnsi="Arial" w:cs="Arial"/>
                <w:sz w:val="20"/>
                <w:szCs w:val="20"/>
              </w:rPr>
            </w:pPr>
          </w:p>
        </w:tc>
      </w:tr>
      <w:tr w:rsidR="007128F1" w:rsidRPr="002C1177" w14:paraId="2AA9F4BB" w14:textId="77777777" w:rsidTr="007128F1">
        <w:trPr>
          <w:trHeight w:val="245"/>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0C8449F0" w14:textId="77777777" w:rsidR="007128F1" w:rsidRPr="002C1177" w:rsidRDefault="007128F1" w:rsidP="001E3D7C">
            <w:pPr>
              <w:spacing w:after="0" w:line="240" w:lineRule="auto"/>
              <w:rPr>
                <w:rFonts w:ascii="Arial" w:hAnsi="Arial" w:cs="Arial"/>
                <w:sz w:val="20"/>
                <w:szCs w:val="20"/>
              </w:rPr>
            </w:pPr>
            <w:r>
              <w:rPr>
                <w:rFonts w:ascii="Arial" w:hAnsi="Arial"/>
                <w:sz w:val="20"/>
              </w:rPr>
              <w:t>A është konsultuar Ministria e Financave për projektin? Përshkruani reagimet.</w:t>
            </w:r>
          </w:p>
        </w:tc>
        <w:tc>
          <w:tcPr>
            <w:tcW w:w="2957" w:type="pct"/>
            <w:tcBorders>
              <w:top w:val="single" w:sz="4" w:space="0" w:color="auto"/>
              <w:left w:val="single" w:sz="4" w:space="0" w:color="auto"/>
              <w:bottom w:val="single" w:sz="4" w:space="0" w:color="auto"/>
              <w:right w:val="single" w:sz="4" w:space="0" w:color="auto"/>
            </w:tcBorders>
            <w:vAlign w:val="center"/>
          </w:tcPr>
          <w:p w14:paraId="4A153548" w14:textId="5AEA515E" w:rsidR="007128F1" w:rsidRPr="002C1177" w:rsidRDefault="005B0386" w:rsidP="007128F1">
            <w:pPr>
              <w:spacing w:after="0" w:line="240" w:lineRule="auto"/>
              <w:rPr>
                <w:rFonts w:ascii="Arial" w:hAnsi="Arial" w:cs="Arial"/>
                <w:sz w:val="20"/>
                <w:szCs w:val="20"/>
              </w:rPr>
            </w:pPr>
            <w:r>
              <w:rPr>
                <w:rFonts w:ascii="Arial" w:hAnsi="Arial"/>
                <w:sz w:val="20"/>
              </w:rPr>
              <w:t>Projektet janë konsultuar me Ministrinë e Mjedisit, Planifikimit Hapësinor dhe Infrastrukturës dhe Ministrinë e Ekonomisë.</w:t>
            </w:r>
          </w:p>
        </w:tc>
      </w:tr>
      <w:tr w:rsidR="007128F1" w:rsidRPr="002C1177" w14:paraId="4D2CB729" w14:textId="77777777" w:rsidTr="007128F1">
        <w:trPr>
          <w:trHeight w:val="348"/>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551E8126" w14:textId="77777777" w:rsidR="007128F1" w:rsidRPr="002C1177" w:rsidRDefault="007128F1" w:rsidP="007128F1">
            <w:pPr>
              <w:spacing w:after="0" w:line="240" w:lineRule="auto"/>
              <w:rPr>
                <w:rFonts w:ascii="Arial" w:hAnsi="Arial" w:cs="Arial"/>
                <w:sz w:val="20"/>
                <w:szCs w:val="20"/>
              </w:rPr>
            </w:pPr>
            <w:r>
              <w:rPr>
                <w:rFonts w:ascii="Arial" w:hAnsi="Arial"/>
                <w:sz w:val="20"/>
              </w:rPr>
              <w:t>A gjeneron projekti të ardhura nga përdoruesit fundorë?</w:t>
            </w:r>
          </w:p>
        </w:tc>
        <w:tc>
          <w:tcPr>
            <w:tcW w:w="2957" w:type="pct"/>
            <w:tcBorders>
              <w:top w:val="single" w:sz="4" w:space="0" w:color="auto"/>
              <w:left w:val="single" w:sz="4" w:space="0" w:color="auto"/>
              <w:bottom w:val="single" w:sz="4" w:space="0" w:color="auto"/>
              <w:right w:val="single" w:sz="4" w:space="0" w:color="auto"/>
            </w:tcBorders>
            <w:vAlign w:val="center"/>
          </w:tcPr>
          <w:p w14:paraId="0E4D7922" w14:textId="69DB61F2" w:rsidR="007128F1" w:rsidRPr="002C1177" w:rsidRDefault="005B0386" w:rsidP="007128F1">
            <w:pPr>
              <w:spacing w:after="0" w:line="240" w:lineRule="auto"/>
              <w:rPr>
                <w:rFonts w:ascii="Arial" w:hAnsi="Arial" w:cs="Arial"/>
                <w:sz w:val="20"/>
                <w:szCs w:val="20"/>
              </w:rPr>
            </w:pPr>
            <w:r>
              <w:rPr>
                <w:rFonts w:ascii="Arial" w:hAnsi="Arial"/>
                <w:sz w:val="20"/>
              </w:rPr>
              <w:t>Përdoruesi fundor do të marrë faturim më të saktë për shkak të efikasitetit dhe saktësisë së matjes inteligjente.</w:t>
            </w:r>
          </w:p>
        </w:tc>
      </w:tr>
      <w:tr w:rsidR="007128F1" w:rsidRPr="002C1177" w14:paraId="03FA3596" w14:textId="77777777" w:rsidTr="007128F1">
        <w:trPr>
          <w:trHeight w:val="348"/>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477B875F" w14:textId="77777777" w:rsidR="007128F1" w:rsidRPr="002C1177" w:rsidRDefault="007128F1" w:rsidP="007128F1">
            <w:pPr>
              <w:spacing w:after="0" w:line="240" w:lineRule="auto"/>
              <w:rPr>
                <w:rFonts w:ascii="Arial" w:hAnsi="Arial" w:cs="Arial"/>
                <w:sz w:val="20"/>
                <w:szCs w:val="20"/>
              </w:rPr>
            </w:pPr>
            <w:r>
              <w:rPr>
                <w:rFonts w:ascii="Arial" w:hAnsi="Arial"/>
                <w:sz w:val="20"/>
              </w:rPr>
              <w:t>Përshkrimi i ekipit të projektit për zbatim</w:t>
            </w:r>
          </w:p>
        </w:tc>
        <w:tc>
          <w:tcPr>
            <w:tcW w:w="2957" w:type="pct"/>
            <w:tcBorders>
              <w:top w:val="single" w:sz="4" w:space="0" w:color="auto"/>
              <w:left w:val="single" w:sz="4" w:space="0" w:color="auto"/>
              <w:bottom w:val="single" w:sz="4" w:space="0" w:color="auto"/>
              <w:right w:val="single" w:sz="4" w:space="0" w:color="auto"/>
            </w:tcBorders>
            <w:vAlign w:val="center"/>
          </w:tcPr>
          <w:p w14:paraId="69051B6E" w14:textId="70796603" w:rsidR="007128F1" w:rsidRPr="002C1177" w:rsidRDefault="005B0386" w:rsidP="007128F1">
            <w:pPr>
              <w:spacing w:after="0" w:line="240" w:lineRule="auto"/>
              <w:rPr>
                <w:rFonts w:ascii="Arial" w:hAnsi="Arial" w:cs="Arial"/>
                <w:sz w:val="20"/>
                <w:szCs w:val="20"/>
              </w:rPr>
            </w:pPr>
            <w:r>
              <w:rPr>
                <w:rFonts w:ascii="Arial" w:hAnsi="Arial"/>
                <w:sz w:val="20"/>
              </w:rPr>
              <w:t>NjZP dhe Komiteti Koordinues do të krijohen për të shërbyer si ndërlidhës për të gjitha çështjet në lidhje me Projektin; kur është e nevojshme, ato mund të ngrejnë një task forcë për t'u marrë me një detyrë specifike, e cila përbëhet nga të shtatë KRU-të, Ministria e Financave (MF), Ministria e Ekonomisë, Ministria e Mjedisit, Planifikimit Hapësinor dhe Infrastrukturës, Komunat e përfshira, Autoriteti Rregullativ i Shërbimeve të Ujit (ARRU) dhe donatorët e mundshëm ndërkombëtarë të përfshirë në projekt.</w:t>
            </w:r>
          </w:p>
        </w:tc>
      </w:tr>
    </w:tbl>
    <w:p w14:paraId="7C7D3E80" w14:textId="5DBBB8CB" w:rsidR="00141AD3" w:rsidRPr="002C1177" w:rsidRDefault="00141AD3" w:rsidP="000A389E">
      <w:pPr>
        <w:spacing w:after="0" w:line="240" w:lineRule="auto"/>
        <w:rPr>
          <w:rFonts w:ascii="Arial" w:hAnsi="Arial" w:cs="Arial"/>
        </w:rPr>
      </w:pPr>
    </w:p>
    <w:p w14:paraId="6BD3AC3C" w14:textId="77777777" w:rsidR="0019538C" w:rsidRPr="002C1177" w:rsidRDefault="0019538C" w:rsidP="00BE2A05">
      <w:pPr>
        <w:jc w:val="right"/>
        <w:rPr>
          <w:rFonts w:ascii="Arial" w:hAnsi="Arial" w:cs="Arial"/>
          <w:sz w:val="20"/>
          <w:szCs w:val="20"/>
        </w:rPr>
      </w:pPr>
    </w:p>
    <w:sectPr w:rsidR="0019538C" w:rsidRPr="002C1177" w:rsidSect="00FC644F">
      <w:headerReference w:type="default" r:id="rId9"/>
      <w:footerReference w:type="default" r:id="rId10"/>
      <w:headerReference w:type="first" r:id="rId11"/>
      <w:footerReference w:type="first" r:id="rId12"/>
      <w:pgSz w:w="11913" w:h="16834" w:code="9"/>
      <w:pgMar w:top="720" w:right="720" w:bottom="720" w:left="720" w:header="397" w:footer="0" w:gutter="567"/>
      <w:cols w:space="708"/>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783C618" w16cid:durableId="6807EB2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97D1E" w14:textId="77777777" w:rsidR="007C6D3B" w:rsidRDefault="007C6D3B" w:rsidP="00CE33CC">
      <w:pPr>
        <w:spacing w:after="0" w:line="240" w:lineRule="auto"/>
      </w:pPr>
      <w:r>
        <w:separator/>
      </w:r>
    </w:p>
  </w:endnote>
  <w:endnote w:type="continuationSeparator" w:id="0">
    <w:p w14:paraId="67EB9DB6" w14:textId="77777777" w:rsidR="007C6D3B" w:rsidRDefault="007C6D3B" w:rsidP="00CE3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noProof/>
        <w:color w:val="003870"/>
        <w:sz w:val="17"/>
        <w:szCs w:val="17"/>
      </w:rPr>
      <w:id w:val="-1779555181"/>
      <w:docPartObj>
        <w:docPartGallery w:val="Page Numbers (Bottom of Page)"/>
        <w:docPartUnique/>
      </w:docPartObj>
    </w:sdtPr>
    <w:sdtEndPr>
      <w:rPr>
        <w:rFonts w:ascii="Calibri" w:hAnsi="Calibri" w:cs="Times New Roman"/>
        <w:color w:val="auto"/>
        <w:sz w:val="22"/>
        <w:szCs w:val="22"/>
      </w:rPr>
    </w:sdtEndPr>
    <w:sdtContent>
      <w:p w14:paraId="66966989" w14:textId="4B8F4969" w:rsidR="0083451C" w:rsidRPr="0083451C" w:rsidRDefault="0083451C" w:rsidP="00C00214">
        <w:pPr>
          <w:pStyle w:val="Footer"/>
          <w:rPr>
            <w:rFonts w:ascii="Arial" w:hAnsi="Arial" w:cs="Arial"/>
            <w:noProof/>
            <w:color w:val="003870"/>
            <w:sz w:val="17"/>
            <w:szCs w:val="17"/>
          </w:rPr>
        </w:pPr>
      </w:p>
      <w:p w14:paraId="335BAC4C" w14:textId="77777777" w:rsidR="0083451C" w:rsidRDefault="007C6D3B">
        <w:pPr>
          <w:pStyle w:val="Footer"/>
          <w:jc w:val="right"/>
        </w:pPr>
      </w:p>
    </w:sdtContent>
  </w:sdt>
  <w:p w14:paraId="5EEDBF4B" w14:textId="77777777" w:rsidR="00DB4132" w:rsidRDefault="00DB413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noProof/>
        <w:color w:val="003870"/>
        <w:sz w:val="17"/>
        <w:szCs w:val="17"/>
      </w:rPr>
      <w:id w:val="264053619"/>
      <w:docPartObj>
        <w:docPartGallery w:val="Page Numbers (Bottom of Page)"/>
        <w:docPartUnique/>
      </w:docPartObj>
    </w:sdtPr>
    <w:sdtEndPr>
      <w:rPr>
        <w:rFonts w:ascii="Calibri" w:hAnsi="Calibri" w:cs="Times New Roman"/>
        <w:color w:val="auto"/>
        <w:sz w:val="22"/>
        <w:szCs w:val="22"/>
      </w:rPr>
    </w:sdtEndPr>
    <w:sdtContent>
      <w:p w14:paraId="2A7C32C1" w14:textId="031D4C71" w:rsidR="00C00214" w:rsidRPr="0083451C" w:rsidRDefault="00C00214" w:rsidP="00C00214">
        <w:pPr>
          <w:pStyle w:val="Footer"/>
          <w:rPr>
            <w:rFonts w:ascii="Arial" w:hAnsi="Arial" w:cs="Arial"/>
            <w:noProof/>
            <w:color w:val="003870"/>
            <w:sz w:val="17"/>
            <w:szCs w:val="17"/>
          </w:rPr>
        </w:pPr>
      </w:p>
      <w:p w14:paraId="21F37B2D" w14:textId="77777777" w:rsidR="00FC644F" w:rsidRDefault="007C6D3B" w:rsidP="00FC644F">
        <w:pPr>
          <w:pStyle w:val="Footer"/>
          <w:jc w:val="right"/>
          <w:rPr>
            <w:noProof/>
          </w:rPr>
        </w:pPr>
      </w:p>
    </w:sdtContent>
  </w:sdt>
  <w:p w14:paraId="14C92087" w14:textId="77777777" w:rsidR="00CE33CC" w:rsidRPr="00CE33CC" w:rsidRDefault="00CE33CC" w:rsidP="00931F30">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83A16" w14:textId="77777777" w:rsidR="007C6D3B" w:rsidRDefault="007C6D3B" w:rsidP="00CE33CC">
      <w:pPr>
        <w:spacing w:after="0" w:line="240" w:lineRule="auto"/>
      </w:pPr>
      <w:r>
        <w:separator/>
      </w:r>
    </w:p>
  </w:footnote>
  <w:footnote w:type="continuationSeparator" w:id="0">
    <w:p w14:paraId="18F5DF5E" w14:textId="77777777" w:rsidR="007C6D3B" w:rsidRDefault="007C6D3B" w:rsidP="00CE3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2FA08" w14:textId="77777777" w:rsidR="00743564" w:rsidRDefault="00F87596" w:rsidP="00F87596">
    <w:pPr>
      <w:pStyle w:val="Header"/>
      <w:rPr>
        <w:noProof/>
      </w:rPr>
    </w:pPr>
    <w:r>
      <w:t xml:space="preserve">                                                                                     </w:t>
    </w:r>
  </w:p>
  <w:p w14:paraId="77EEC0D9" w14:textId="77777777" w:rsidR="00667E55" w:rsidRDefault="00667E55" w:rsidP="00F87596">
    <w:pPr>
      <w:pStyle w:val="Header"/>
      <w:rPr>
        <w:noProof/>
        <w:lang w:eastAsia="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652A4" w14:textId="77777777" w:rsidR="00141AD3" w:rsidRDefault="00141AD3" w:rsidP="00FC644F">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7677"/>
    <w:multiLevelType w:val="hybridMultilevel"/>
    <w:tmpl w:val="E64C78A8"/>
    <w:lvl w:ilvl="0" w:tplc="1C508B6A">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F0324"/>
    <w:multiLevelType w:val="hybridMultilevel"/>
    <w:tmpl w:val="C3E4A358"/>
    <w:lvl w:ilvl="0" w:tplc="30C45DB8">
      <w:start w:val="1"/>
      <w:numFmt w:val="bullet"/>
      <w:lvlText w:val=""/>
      <w:lvlJc w:val="left"/>
      <w:pPr>
        <w:ind w:left="340" w:hanging="227"/>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D790F"/>
    <w:multiLevelType w:val="hybridMultilevel"/>
    <w:tmpl w:val="366E7222"/>
    <w:lvl w:ilvl="0" w:tplc="3E00E992">
      <w:start w:val="1"/>
      <w:numFmt w:val="decimal"/>
      <w:lvlText w:val="%1."/>
      <w:lvlJc w:val="center"/>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E22A6F"/>
    <w:multiLevelType w:val="hybridMultilevel"/>
    <w:tmpl w:val="250CA4BE"/>
    <w:lvl w:ilvl="0" w:tplc="70E47AB4">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D32844"/>
    <w:multiLevelType w:val="hybridMultilevel"/>
    <w:tmpl w:val="474A6D46"/>
    <w:lvl w:ilvl="0" w:tplc="9E5250C0">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D819E2"/>
    <w:multiLevelType w:val="multilevel"/>
    <w:tmpl w:val="225EBBB0"/>
    <w:lvl w:ilvl="0">
      <w:start w:val="1"/>
      <w:numFmt w:val="bullet"/>
      <w:pStyle w:val="Bullet1"/>
      <w:lvlText w:val=""/>
      <w:lvlJc w:val="left"/>
      <w:pPr>
        <w:tabs>
          <w:tab w:val="num" w:pos="284"/>
        </w:tabs>
        <w:ind w:left="284" w:hanging="284"/>
      </w:pPr>
      <w:rPr>
        <w:rFonts w:ascii="Wingdings 2" w:hAnsi="Wingdings 2" w:cs="Times New Roman" w:hint="default"/>
        <w:color w:val="auto"/>
        <w:sz w:val="20"/>
        <w:szCs w:val="24"/>
      </w:rPr>
    </w:lvl>
    <w:lvl w:ilvl="1">
      <w:start w:val="1"/>
      <w:numFmt w:val="bullet"/>
      <w:pStyle w:val="Bullet2"/>
      <w:lvlText w:val=""/>
      <w:lvlJc w:val="left"/>
      <w:pPr>
        <w:tabs>
          <w:tab w:val="num" w:pos="567"/>
        </w:tabs>
        <w:ind w:left="567" w:hanging="283"/>
      </w:pPr>
      <w:rPr>
        <w:rFonts w:ascii="Symbol" w:hAnsi="Symbol" w:cs="Times New Roman" w:hint="default"/>
        <w:color w:val="auto"/>
        <w:szCs w:val="24"/>
      </w:rPr>
    </w:lvl>
    <w:lvl w:ilvl="2">
      <w:start w:val="1"/>
      <w:numFmt w:val="bullet"/>
      <w:pStyle w:val="Bullet3"/>
      <w:lvlText w:val=""/>
      <w:lvlJc w:val="left"/>
      <w:pPr>
        <w:tabs>
          <w:tab w:val="num" w:pos="851"/>
        </w:tabs>
        <w:ind w:left="851" w:hanging="284"/>
      </w:pPr>
      <w:rPr>
        <w:rFonts w:ascii="Symbol" w:hAnsi="Symbol" w:cs="Times New Roman" w:hint="default"/>
        <w:color w:val="auto"/>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172D413C"/>
    <w:multiLevelType w:val="hybridMultilevel"/>
    <w:tmpl w:val="FD983C48"/>
    <w:lvl w:ilvl="0" w:tplc="EDB26BE0">
      <w:start w:val="1"/>
      <w:numFmt w:val="lowerLetter"/>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1E64A4"/>
    <w:multiLevelType w:val="hybridMultilevel"/>
    <w:tmpl w:val="B544A2A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8813B66"/>
    <w:multiLevelType w:val="hybridMultilevel"/>
    <w:tmpl w:val="8F4CB872"/>
    <w:lvl w:ilvl="0" w:tplc="71229312">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15B0E"/>
    <w:multiLevelType w:val="hybridMultilevel"/>
    <w:tmpl w:val="0046CE96"/>
    <w:lvl w:ilvl="0" w:tplc="BB0EA2E0">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827253"/>
    <w:multiLevelType w:val="hybridMultilevel"/>
    <w:tmpl w:val="D5B06C1C"/>
    <w:lvl w:ilvl="0" w:tplc="9B1AB608">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7C0440"/>
    <w:multiLevelType w:val="hybridMultilevel"/>
    <w:tmpl w:val="807A52AC"/>
    <w:lvl w:ilvl="0" w:tplc="0D3AB934">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A06EA1"/>
    <w:multiLevelType w:val="hybridMultilevel"/>
    <w:tmpl w:val="882803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3674D6"/>
    <w:multiLevelType w:val="hybridMultilevel"/>
    <w:tmpl w:val="139812CE"/>
    <w:lvl w:ilvl="0" w:tplc="B9C2CA80">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9A6957"/>
    <w:multiLevelType w:val="hybridMultilevel"/>
    <w:tmpl w:val="CE8A396C"/>
    <w:lvl w:ilvl="0" w:tplc="C34CD54E">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97EBC"/>
    <w:multiLevelType w:val="hybridMultilevel"/>
    <w:tmpl w:val="9D3E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33684"/>
    <w:multiLevelType w:val="hybridMultilevel"/>
    <w:tmpl w:val="2B163482"/>
    <w:lvl w:ilvl="0" w:tplc="1D3E5562">
      <w:start w:val="1"/>
      <w:numFmt w:val="bullet"/>
      <w:lvlText w:val=""/>
      <w:lvlJc w:val="left"/>
      <w:pPr>
        <w:ind w:left="360" w:hanging="247"/>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0E6639"/>
    <w:multiLevelType w:val="hybridMultilevel"/>
    <w:tmpl w:val="954892A6"/>
    <w:lvl w:ilvl="0" w:tplc="77E60E50">
      <w:numFmt w:val="bullet"/>
      <w:lvlText w:val="-"/>
      <w:lvlJc w:val="left"/>
      <w:pPr>
        <w:ind w:left="680" w:hanging="340"/>
      </w:pPr>
      <w:rPr>
        <w:rFonts w:ascii="Arial" w:eastAsia="Times New Roman" w:hAnsi="Aria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00E2DA2"/>
    <w:multiLevelType w:val="multilevel"/>
    <w:tmpl w:val="529E0678"/>
    <w:lvl w:ilvl="0">
      <w:start w:val="1"/>
      <w:numFmt w:val="decimal"/>
      <w:lvlRestart w:val="0"/>
      <w:isLgl/>
      <w:lvlText w:val="%1"/>
      <w:lvlJc w:val="left"/>
      <w:pPr>
        <w:tabs>
          <w:tab w:val="num" w:pos="0"/>
        </w:tabs>
        <w:ind w:left="0" w:hanging="1134"/>
      </w:pPr>
      <w:rPr>
        <w:rFonts w:ascii="Arial" w:hAnsi="Arial" w:cs="Arial"/>
        <w:b w:val="0"/>
        <w:color w:val="80A1B6"/>
        <w:sz w:val="48"/>
      </w:rPr>
    </w:lvl>
    <w:lvl w:ilvl="1">
      <w:start w:val="1"/>
      <w:numFmt w:val="decimal"/>
      <w:isLgl/>
      <w:lvlText w:val="%1.%2"/>
      <w:lvlJc w:val="left"/>
      <w:pPr>
        <w:tabs>
          <w:tab w:val="num" w:pos="0"/>
        </w:tabs>
        <w:ind w:left="0" w:hanging="1134"/>
      </w:pPr>
      <w:rPr>
        <w:rFonts w:ascii="Arial" w:hAnsi="Arial" w:cs="Arial"/>
        <w:b w:val="0"/>
        <w:color w:val="000000"/>
        <w:sz w:val="20"/>
      </w:rPr>
    </w:lvl>
    <w:lvl w:ilvl="2">
      <w:start w:val="1"/>
      <w:numFmt w:val="decimal"/>
      <w:isLgl/>
      <w:lvlText w:val="%1.%2.%3"/>
      <w:lvlJc w:val="left"/>
      <w:pPr>
        <w:tabs>
          <w:tab w:val="num" w:pos="0"/>
        </w:tabs>
        <w:ind w:left="0" w:hanging="1134"/>
      </w:pPr>
      <w:rPr>
        <w:rFonts w:ascii="Arial" w:hAnsi="Arial" w:cs="Arial"/>
        <w:b w:val="0"/>
        <w:color w:val="000000"/>
        <w:sz w:val="20"/>
      </w:rPr>
    </w:lvl>
    <w:lvl w:ilvl="3">
      <w:start w:val="1"/>
      <w:numFmt w:val="none"/>
      <w:suff w:val="nothing"/>
      <w:lvlText w:val=""/>
      <w:lvlJc w:val="left"/>
      <w:pPr>
        <w:ind w:left="1009" w:hanging="442"/>
      </w:pPr>
    </w:lvl>
    <w:lvl w:ilvl="4">
      <w:start w:val="1"/>
      <w:numFmt w:val="none"/>
      <w:suff w:val="nothing"/>
      <w:lvlText w:val=""/>
      <w:lvlJc w:val="left"/>
      <w:pPr>
        <w:ind w:left="1009" w:hanging="442"/>
      </w:pPr>
    </w:lvl>
    <w:lvl w:ilvl="5">
      <w:start w:val="1"/>
      <w:numFmt w:val="none"/>
      <w:suff w:val="nothing"/>
      <w:lvlText w:val=""/>
      <w:lvlJc w:val="left"/>
      <w:pPr>
        <w:ind w:left="1009" w:hanging="442"/>
      </w:pPr>
    </w:lvl>
    <w:lvl w:ilvl="6">
      <w:start w:val="1"/>
      <w:numFmt w:val="none"/>
      <w:suff w:val="nothing"/>
      <w:lvlText w:val=""/>
      <w:lvlJc w:val="left"/>
      <w:pPr>
        <w:ind w:left="1009" w:hanging="442"/>
      </w:pPr>
    </w:lvl>
    <w:lvl w:ilvl="7">
      <w:start w:val="1"/>
      <w:numFmt w:val="none"/>
      <w:suff w:val="nothing"/>
      <w:lvlText w:val=""/>
      <w:lvlJc w:val="left"/>
      <w:pPr>
        <w:ind w:left="1009" w:hanging="442"/>
      </w:pPr>
    </w:lvl>
    <w:lvl w:ilvl="8">
      <w:start w:val="1"/>
      <w:numFmt w:val="none"/>
      <w:suff w:val="nothing"/>
      <w:lvlText w:val=""/>
      <w:lvlJc w:val="left"/>
      <w:pPr>
        <w:ind w:left="1009" w:hanging="442"/>
      </w:pPr>
    </w:lvl>
  </w:abstractNum>
  <w:abstractNum w:abstractNumId="19" w15:restartNumberingAfterBreak="0">
    <w:nsid w:val="40AB1711"/>
    <w:multiLevelType w:val="hybridMultilevel"/>
    <w:tmpl w:val="87B8FE9E"/>
    <w:lvl w:ilvl="0" w:tplc="90DCF58C">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A06405"/>
    <w:multiLevelType w:val="hybridMultilevel"/>
    <w:tmpl w:val="C828212E"/>
    <w:lvl w:ilvl="0" w:tplc="70E47AB4">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DD3C30"/>
    <w:multiLevelType w:val="hybridMultilevel"/>
    <w:tmpl w:val="94B2DD12"/>
    <w:lvl w:ilvl="0" w:tplc="37C020E6">
      <w:numFmt w:val="bullet"/>
      <w:lvlText w:val="-"/>
      <w:lvlJc w:val="left"/>
      <w:pPr>
        <w:ind w:left="680" w:hanging="340"/>
      </w:pPr>
      <w:rPr>
        <w:rFonts w:ascii="Arial" w:eastAsia="Times New Roman" w:hAnsi="Aria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47F09BB"/>
    <w:multiLevelType w:val="hybridMultilevel"/>
    <w:tmpl w:val="0C021830"/>
    <w:lvl w:ilvl="0" w:tplc="D572F5D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C14C74"/>
    <w:multiLevelType w:val="hybridMultilevel"/>
    <w:tmpl w:val="67B889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ABB28BC"/>
    <w:multiLevelType w:val="hybridMultilevel"/>
    <w:tmpl w:val="7F3E0E6A"/>
    <w:lvl w:ilvl="0" w:tplc="360A93D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D33ECF"/>
    <w:multiLevelType w:val="hybridMultilevel"/>
    <w:tmpl w:val="BD226604"/>
    <w:lvl w:ilvl="0" w:tplc="53266A98">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356A95"/>
    <w:multiLevelType w:val="hybridMultilevel"/>
    <w:tmpl w:val="F70ACACE"/>
    <w:lvl w:ilvl="0" w:tplc="7A488716">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98456C"/>
    <w:multiLevelType w:val="hybridMultilevel"/>
    <w:tmpl w:val="7A9075D8"/>
    <w:lvl w:ilvl="0" w:tplc="72B05B50">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EC1C03"/>
    <w:multiLevelType w:val="hybridMultilevel"/>
    <w:tmpl w:val="C4F8EEE4"/>
    <w:lvl w:ilvl="0" w:tplc="ADDAF438">
      <w:numFmt w:val="bullet"/>
      <w:lvlText w:val="-"/>
      <w:lvlJc w:val="left"/>
      <w:pPr>
        <w:ind w:left="680" w:hanging="340"/>
      </w:pPr>
      <w:rPr>
        <w:rFonts w:ascii="Arial" w:eastAsia="Times New Roman" w:hAnsi="Aria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2927C31"/>
    <w:multiLevelType w:val="hybridMultilevel"/>
    <w:tmpl w:val="2E90B4BA"/>
    <w:lvl w:ilvl="0" w:tplc="0809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3AD5A4B"/>
    <w:multiLevelType w:val="hybridMultilevel"/>
    <w:tmpl w:val="97E0D218"/>
    <w:lvl w:ilvl="0" w:tplc="8AB829B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6E37CC"/>
    <w:multiLevelType w:val="hybridMultilevel"/>
    <w:tmpl w:val="544AF34C"/>
    <w:lvl w:ilvl="0" w:tplc="0C42880A">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8C50A3"/>
    <w:multiLevelType w:val="hybridMultilevel"/>
    <w:tmpl w:val="5F8CE230"/>
    <w:lvl w:ilvl="0" w:tplc="6972ADE6">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3D2C04"/>
    <w:multiLevelType w:val="hybridMultilevel"/>
    <w:tmpl w:val="4F3C1084"/>
    <w:lvl w:ilvl="0" w:tplc="98EC3838">
      <w:numFmt w:val="bullet"/>
      <w:lvlText w:val="-"/>
      <w:lvlJc w:val="left"/>
      <w:pPr>
        <w:ind w:left="567" w:hanging="227"/>
      </w:pPr>
      <w:rPr>
        <w:rFonts w:ascii="Arial" w:eastAsia="Times New Roman" w:hAnsi="Arial" w:hint="default"/>
        <w:color w:val="0070C0"/>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4" w15:restartNumberingAfterBreak="0">
    <w:nsid w:val="578F4F2B"/>
    <w:multiLevelType w:val="hybridMultilevel"/>
    <w:tmpl w:val="10282166"/>
    <w:lvl w:ilvl="0" w:tplc="78FAB054">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7F6E35"/>
    <w:multiLevelType w:val="hybridMultilevel"/>
    <w:tmpl w:val="BC78E0EC"/>
    <w:lvl w:ilvl="0" w:tplc="C9A0A920">
      <w:start w:val="1"/>
      <w:numFmt w:val="bullet"/>
      <w:lvlText w:val=""/>
      <w:lvlJc w:val="left"/>
      <w:pPr>
        <w:ind w:left="340" w:hanging="227"/>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BD6A81"/>
    <w:multiLevelType w:val="hybridMultilevel"/>
    <w:tmpl w:val="70F03F9A"/>
    <w:lvl w:ilvl="0" w:tplc="5A3C01B8">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E82864"/>
    <w:multiLevelType w:val="hybridMultilevel"/>
    <w:tmpl w:val="8BACCAC6"/>
    <w:lvl w:ilvl="0" w:tplc="A7D65760">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505E9B"/>
    <w:multiLevelType w:val="hybridMultilevel"/>
    <w:tmpl w:val="6918389C"/>
    <w:lvl w:ilvl="0" w:tplc="E2B851E0">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434784"/>
    <w:multiLevelType w:val="hybridMultilevel"/>
    <w:tmpl w:val="598A9676"/>
    <w:lvl w:ilvl="0" w:tplc="D3B665F2">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6EC84AA5"/>
    <w:multiLevelType w:val="hybridMultilevel"/>
    <w:tmpl w:val="BE4AD2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042711F"/>
    <w:multiLevelType w:val="hybridMultilevel"/>
    <w:tmpl w:val="1AE4FA2E"/>
    <w:lvl w:ilvl="0" w:tplc="6972ADE6">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2974BE"/>
    <w:multiLevelType w:val="hybridMultilevel"/>
    <w:tmpl w:val="F8EAABB2"/>
    <w:lvl w:ilvl="0" w:tplc="51767F66">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057253"/>
    <w:multiLevelType w:val="hybridMultilevel"/>
    <w:tmpl w:val="4B3E13EC"/>
    <w:lvl w:ilvl="0" w:tplc="8D50C9CC">
      <w:start w:val="1"/>
      <w:numFmt w:val="bullet"/>
      <w:lvlText w:val=""/>
      <w:lvlJc w:val="left"/>
      <w:pPr>
        <w:ind w:left="340" w:hanging="34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37174C"/>
    <w:multiLevelType w:val="hybridMultilevel"/>
    <w:tmpl w:val="144CF328"/>
    <w:lvl w:ilvl="0" w:tplc="F2C0550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F2032A2"/>
    <w:multiLevelType w:val="hybridMultilevel"/>
    <w:tmpl w:val="26C0D990"/>
    <w:lvl w:ilvl="0" w:tplc="8E12C91A">
      <w:start w:val="1"/>
      <w:numFmt w:val="decimal"/>
      <w:lvlText w:val="%1."/>
      <w:lvlJc w:val="center"/>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40"/>
  </w:num>
  <w:num w:numId="3">
    <w:abstractNumId w:val="36"/>
  </w:num>
  <w:num w:numId="4">
    <w:abstractNumId w:val="11"/>
  </w:num>
  <w:num w:numId="5">
    <w:abstractNumId w:val="32"/>
  </w:num>
  <w:num w:numId="6">
    <w:abstractNumId w:val="31"/>
  </w:num>
  <w:num w:numId="7">
    <w:abstractNumId w:val="24"/>
  </w:num>
  <w:num w:numId="8">
    <w:abstractNumId w:val="0"/>
  </w:num>
  <w:num w:numId="9">
    <w:abstractNumId w:val="17"/>
  </w:num>
  <w:num w:numId="10">
    <w:abstractNumId w:val="5"/>
  </w:num>
  <w:num w:numId="11">
    <w:abstractNumId w:val="41"/>
  </w:num>
  <w:num w:numId="12">
    <w:abstractNumId w:val="12"/>
  </w:num>
  <w:num w:numId="13">
    <w:abstractNumId w:val="44"/>
  </w:num>
  <w:num w:numId="14">
    <w:abstractNumId w:val="25"/>
  </w:num>
  <w:num w:numId="15">
    <w:abstractNumId w:val="21"/>
  </w:num>
  <w:num w:numId="16">
    <w:abstractNumId w:val="37"/>
  </w:num>
  <w:num w:numId="17">
    <w:abstractNumId w:val="14"/>
  </w:num>
  <w:num w:numId="18">
    <w:abstractNumId w:val="23"/>
  </w:num>
  <w:num w:numId="19">
    <w:abstractNumId w:val="8"/>
  </w:num>
  <w:num w:numId="20">
    <w:abstractNumId w:val="7"/>
  </w:num>
  <w:num w:numId="21">
    <w:abstractNumId w:val="39"/>
  </w:num>
  <w:num w:numId="22">
    <w:abstractNumId w:val="9"/>
  </w:num>
  <w:num w:numId="23">
    <w:abstractNumId w:val="16"/>
  </w:num>
  <w:num w:numId="24">
    <w:abstractNumId w:val="1"/>
  </w:num>
  <w:num w:numId="25">
    <w:abstractNumId w:val="33"/>
  </w:num>
  <w:num w:numId="26">
    <w:abstractNumId w:val="35"/>
  </w:num>
  <w:num w:numId="27">
    <w:abstractNumId w:val="19"/>
  </w:num>
  <w:num w:numId="28">
    <w:abstractNumId w:val="38"/>
  </w:num>
  <w:num w:numId="29">
    <w:abstractNumId w:val="34"/>
  </w:num>
  <w:num w:numId="30">
    <w:abstractNumId w:val="28"/>
  </w:num>
  <w:num w:numId="31">
    <w:abstractNumId w:val="13"/>
  </w:num>
  <w:num w:numId="32">
    <w:abstractNumId w:val="10"/>
  </w:num>
  <w:num w:numId="33">
    <w:abstractNumId w:val="42"/>
  </w:num>
  <w:num w:numId="34">
    <w:abstractNumId w:val="43"/>
  </w:num>
  <w:num w:numId="35">
    <w:abstractNumId w:val="6"/>
  </w:num>
  <w:num w:numId="36">
    <w:abstractNumId w:val="26"/>
  </w:num>
  <w:num w:numId="37">
    <w:abstractNumId w:val="27"/>
  </w:num>
  <w:num w:numId="38">
    <w:abstractNumId w:val="22"/>
  </w:num>
  <w:num w:numId="39">
    <w:abstractNumId w:val="4"/>
  </w:num>
  <w:num w:numId="40">
    <w:abstractNumId w:val="2"/>
  </w:num>
  <w:num w:numId="41">
    <w:abstractNumId w:val="45"/>
  </w:num>
  <w:num w:numId="42">
    <w:abstractNumId w:val="15"/>
  </w:num>
  <w:num w:numId="43">
    <w:abstractNumId w:val="3"/>
  </w:num>
  <w:num w:numId="44">
    <w:abstractNumId w:val="20"/>
  </w:num>
  <w:num w:numId="45">
    <w:abstractNumId w:val="29"/>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3CC"/>
    <w:rsid w:val="00000549"/>
    <w:rsid w:val="00002E32"/>
    <w:rsid w:val="0000347E"/>
    <w:rsid w:val="00024F00"/>
    <w:rsid w:val="00026A92"/>
    <w:rsid w:val="000525F5"/>
    <w:rsid w:val="00073C20"/>
    <w:rsid w:val="000757F4"/>
    <w:rsid w:val="00077EBE"/>
    <w:rsid w:val="000A389E"/>
    <w:rsid w:val="000A4E3E"/>
    <w:rsid w:val="000B021F"/>
    <w:rsid w:val="000E16B9"/>
    <w:rsid w:val="0012661D"/>
    <w:rsid w:val="001314A0"/>
    <w:rsid w:val="0014173C"/>
    <w:rsid w:val="00141AD3"/>
    <w:rsid w:val="0015552F"/>
    <w:rsid w:val="00164336"/>
    <w:rsid w:val="0016789F"/>
    <w:rsid w:val="00170C0C"/>
    <w:rsid w:val="0018576E"/>
    <w:rsid w:val="001913E5"/>
    <w:rsid w:val="0019538C"/>
    <w:rsid w:val="001977D0"/>
    <w:rsid w:val="00197CB7"/>
    <w:rsid w:val="001A129D"/>
    <w:rsid w:val="001A1984"/>
    <w:rsid w:val="001B0A2F"/>
    <w:rsid w:val="001C2CAF"/>
    <w:rsid w:val="001E21A8"/>
    <w:rsid w:val="001E3D7C"/>
    <w:rsid w:val="001F405F"/>
    <w:rsid w:val="001F66ED"/>
    <w:rsid w:val="002146EA"/>
    <w:rsid w:val="00216A63"/>
    <w:rsid w:val="00230229"/>
    <w:rsid w:val="00252A19"/>
    <w:rsid w:val="00254927"/>
    <w:rsid w:val="0026664D"/>
    <w:rsid w:val="00267781"/>
    <w:rsid w:val="0028301C"/>
    <w:rsid w:val="00286652"/>
    <w:rsid w:val="002B15FF"/>
    <w:rsid w:val="002C1177"/>
    <w:rsid w:val="002F395B"/>
    <w:rsid w:val="003107D3"/>
    <w:rsid w:val="003234A2"/>
    <w:rsid w:val="003332E9"/>
    <w:rsid w:val="003540DB"/>
    <w:rsid w:val="00393D13"/>
    <w:rsid w:val="00397383"/>
    <w:rsid w:val="003B2BCA"/>
    <w:rsid w:val="003F72F1"/>
    <w:rsid w:val="00401327"/>
    <w:rsid w:val="00405611"/>
    <w:rsid w:val="00415FC4"/>
    <w:rsid w:val="0043684E"/>
    <w:rsid w:val="00461529"/>
    <w:rsid w:val="00480AF4"/>
    <w:rsid w:val="00493EA3"/>
    <w:rsid w:val="00496507"/>
    <w:rsid w:val="004969CD"/>
    <w:rsid w:val="004974EC"/>
    <w:rsid w:val="004B138C"/>
    <w:rsid w:val="004B21C7"/>
    <w:rsid w:val="00501A11"/>
    <w:rsid w:val="005148BB"/>
    <w:rsid w:val="00514A5B"/>
    <w:rsid w:val="005421C3"/>
    <w:rsid w:val="00542768"/>
    <w:rsid w:val="005531AD"/>
    <w:rsid w:val="00563D9D"/>
    <w:rsid w:val="00587561"/>
    <w:rsid w:val="005A3F39"/>
    <w:rsid w:val="005B0386"/>
    <w:rsid w:val="005B145C"/>
    <w:rsid w:val="005B2F5E"/>
    <w:rsid w:val="005E135B"/>
    <w:rsid w:val="005E7C49"/>
    <w:rsid w:val="00602E39"/>
    <w:rsid w:val="006149B7"/>
    <w:rsid w:val="0062444C"/>
    <w:rsid w:val="00631B88"/>
    <w:rsid w:val="006419D2"/>
    <w:rsid w:val="006438B4"/>
    <w:rsid w:val="006470F1"/>
    <w:rsid w:val="0065147C"/>
    <w:rsid w:val="00667E55"/>
    <w:rsid w:val="00685929"/>
    <w:rsid w:val="006C06D5"/>
    <w:rsid w:val="006D2384"/>
    <w:rsid w:val="006D5800"/>
    <w:rsid w:val="006E23C6"/>
    <w:rsid w:val="006E585A"/>
    <w:rsid w:val="006F1611"/>
    <w:rsid w:val="006F39EA"/>
    <w:rsid w:val="0070491D"/>
    <w:rsid w:val="007054F7"/>
    <w:rsid w:val="007112D4"/>
    <w:rsid w:val="007128F1"/>
    <w:rsid w:val="00712D73"/>
    <w:rsid w:val="00732239"/>
    <w:rsid w:val="00735156"/>
    <w:rsid w:val="0074067A"/>
    <w:rsid w:val="00743564"/>
    <w:rsid w:val="00747676"/>
    <w:rsid w:val="007615F1"/>
    <w:rsid w:val="00775C29"/>
    <w:rsid w:val="00791919"/>
    <w:rsid w:val="007A679C"/>
    <w:rsid w:val="007B0787"/>
    <w:rsid w:val="007C6D3B"/>
    <w:rsid w:val="00832D07"/>
    <w:rsid w:val="008336C8"/>
    <w:rsid w:val="0083451C"/>
    <w:rsid w:val="0085469B"/>
    <w:rsid w:val="00886B8D"/>
    <w:rsid w:val="008C79BD"/>
    <w:rsid w:val="008C7C9A"/>
    <w:rsid w:val="008F59D1"/>
    <w:rsid w:val="00905EB5"/>
    <w:rsid w:val="00922308"/>
    <w:rsid w:val="00931F30"/>
    <w:rsid w:val="00937472"/>
    <w:rsid w:val="0095455F"/>
    <w:rsid w:val="00962824"/>
    <w:rsid w:val="00995582"/>
    <w:rsid w:val="009A0C14"/>
    <w:rsid w:val="009C541E"/>
    <w:rsid w:val="00A20E1F"/>
    <w:rsid w:val="00A50015"/>
    <w:rsid w:val="00A62A5E"/>
    <w:rsid w:val="00A8031B"/>
    <w:rsid w:val="00A8114B"/>
    <w:rsid w:val="00A86B40"/>
    <w:rsid w:val="00A871E7"/>
    <w:rsid w:val="00A95CF8"/>
    <w:rsid w:val="00AA5B2E"/>
    <w:rsid w:val="00AB6F2C"/>
    <w:rsid w:val="00AC0CFF"/>
    <w:rsid w:val="00AE0D8D"/>
    <w:rsid w:val="00AE1E85"/>
    <w:rsid w:val="00AE464F"/>
    <w:rsid w:val="00B2161A"/>
    <w:rsid w:val="00B2275B"/>
    <w:rsid w:val="00B276A2"/>
    <w:rsid w:val="00B30DD6"/>
    <w:rsid w:val="00B32D17"/>
    <w:rsid w:val="00B55BCF"/>
    <w:rsid w:val="00B70655"/>
    <w:rsid w:val="00B7092C"/>
    <w:rsid w:val="00B82EF8"/>
    <w:rsid w:val="00B9360E"/>
    <w:rsid w:val="00BA1539"/>
    <w:rsid w:val="00BA1CB5"/>
    <w:rsid w:val="00BA50FA"/>
    <w:rsid w:val="00BA5857"/>
    <w:rsid w:val="00BD2A57"/>
    <w:rsid w:val="00BD6023"/>
    <w:rsid w:val="00BE11CE"/>
    <w:rsid w:val="00BE2A05"/>
    <w:rsid w:val="00C00214"/>
    <w:rsid w:val="00C126ED"/>
    <w:rsid w:val="00C264B7"/>
    <w:rsid w:val="00C37FCD"/>
    <w:rsid w:val="00C45E6F"/>
    <w:rsid w:val="00C471C4"/>
    <w:rsid w:val="00C50CEB"/>
    <w:rsid w:val="00C51EFA"/>
    <w:rsid w:val="00C53A72"/>
    <w:rsid w:val="00C639B0"/>
    <w:rsid w:val="00C64DD6"/>
    <w:rsid w:val="00C67527"/>
    <w:rsid w:val="00C73F91"/>
    <w:rsid w:val="00C85270"/>
    <w:rsid w:val="00C902C6"/>
    <w:rsid w:val="00CA77CF"/>
    <w:rsid w:val="00CC0407"/>
    <w:rsid w:val="00CD3BA4"/>
    <w:rsid w:val="00CE33CC"/>
    <w:rsid w:val="00CE6131"/>
    <w:rsid w:val="00CE64A2"/>
    <w:rsid w:val="00CF1732"/>
    <w:rsid w:val="00D02B46"/>
    <w:rsid w:val="00D223A9"/>
    <w:rsid w:val="00D41904"/>
    <w:rsid w:val="00D61F1E"/>
    <w:rsid w:val="00D81321"/>
    <w:rsid w:val="00D922F7"/>
    <w:rsid w:val="00DA0925"/>
    <w:rsid w:val="00DA5F0A"/>
    <w:rsid w:val="00DB4132"/>
    <w:rsid w:val="00DB5E86"/>
    <w:rsid w:val="00DD3C66"/>
    <w:rsid w:val="00DD7856"/>
    <w:rsid w:val="00DE330A"/>
    <w:rsid w:val="00E03AE8"/>
    <w:rsid w:val="00E0470F"/>
    <w:rsid w:val="00E05F2D"/>
    <w:rsid w:val="00E1318A"/>
    <w:rsid w:val="00E272A8"/>
    <w:rsid w:val="00E331CA"/>
    <w:rsid w:val="00E417C4"/>
    <w:rsid w:val="00E438DF"/>
    <w:rsid w:val="00E54449"/>
    <w:rsid w:val="00E57185"/>
    <w:rsid w:val="00E747B6"/>
    <w:rsid w:val="00E755DC"/>
    <w:rsid w:val="00E96673"/>
    <w:rsid w:val="00EA0570"/>
    <w:rsid w:val="00EB299C"/>
    <w:rsid w:val="00ED4AEF"/>
    <w:rsid w:val="00EE09C9"/>
    <w:rsid w:val="00EE6582"/>
    <w:rsid w:val="00EF48D7"/>
    <w:rsid w:val="00F17A7B"/>
    <w:rsid w:val="00F50C49"/>
    <w:rsid w:val="00F6479A"/>
    <w:rsid w:val="00F666E9"/>
    <w:rsid w:val="00F87596"/>
    <w:rsid w:val="00F91111"/>
    <w:rsid w:val="00FC5BA6"/>
    <w:rsid w:val="00FC6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9B97A"/>
  <w15:docId w15:val="{FCC222B6-2350-4668-9339-DBF19B40E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q-AL"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3CC"/>
    <w:pPr>
      <w:spacing w:after="200" w:line="276" w:lineRule="auto"/>
    </w:pPr>
    <w:rPr>
      <w:sz w:val="22"/>
      <w:szCs w:val="22"/>
      <w:lang w:eastAsia="en-US"/>
    </w:rPr>
  </w:style>
  <w:style w:type="paragraph" w:styleId="Heading1">
    <w:name w:val="heading 1"/>
    <w:aliases w:val="~SectionHeading"/>
    <w:basedOn w:val="Normal"/>
    <w:next w:val="Normal"/>
    <w:link w:val="Heading1Char"/>
    <w:uiPriority w:val="9"/>
    <w:qFormat/>
    <w:rsid w:val="00CE33CC"/>
    <w:pPr>
      <w:keepNext/>
      <w:keepLines/>
      <w:spacing w:before="480" w:after="0"/>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CE33CC"/>
    <w:pPr>
      <w:keepNext/>
      <w:keepLines/>
      <w:spacing w:before="200" w:after="0"/>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CE33CC"/>
    <w:pPr>
      <w:keepNext/>
      <w:keepLines/>
      <w:spacing w:before="200" w:after="0"/>
      <w:outlineLvl w:val="2"/>
    </w:pPr>
    <w:rPr>
      <w:rFonts w:ascii="Calibri Light" w:hAnsi="Calibri Light"/>
      <w:b/>
      <w:bCs/>
      <w:color w:val="5B9BD5"/>
      <w:sz w:val="20"/>
      <w:szCs w:val="20"/>
    </w:rPr>
  </w:style>
  <w:style w:type="paragraph" w:styleId="Heading4">
    <w:name w:val="heading 4"/>
    <w:basedOn w:val="Normal"/>
    <w:next w:val="Normal"/>
    <w:link w:val="Heading4Char"/>
    <w:uiPriority w:val="9"/>
    <w:semiHidden/>
    <w:unhideWhenUsed/>
    <w:qFormat/>
    <w:rsid w:val="00CE33CC"/>
    <w:pPr>
      <w:keepNext/>
      <w:keepLines/>
      <w:spacing w:before="200" w:after="0"/>
      <w:outlineLvl w:val="3"/>
    </w:pPr>
    <w:rPr>
      <w:rFonts w:ascii="Calibri Light" w:hAnsi="Calibri Light"/>
      <w:b/>
      <w:bCs/>
      <w:i/>
      <w:iCs/>
      <w:color w:val="5B9BD5"/>
      <w:sz w:val="20"/>
      <w:szCs w:val="20"/>
    </w:rPr>
  </w:style>
  <w:style w:type="paragraph" w:styleId="Heading5">
    <w:name w:val="heading 5"/>
    <w:basedOn w:val="Normal"/>
    <w:next w:val="Normal"/>
    <w:link w:val="Heading5Char"/>
    <w:uiPriority w:val="9"/>
    <w:semiHidden/>
    <w:unhideWhenUsed/>
    <w:qFormat/>
    <w:rsid w:val="00CE33CC"/>
    <w:pPr>
      <w:keepNext/>
      <w:keepLines/>
      <w:spacing w:before="200" w:after="0"/>
      <w:outlineLvl w:val="4"/>
    </w:pPr>
    <w:rPr>
      <w:rFonts w:ascii="Calibri Light" w:hAnsi="Calibri Light"/>
      <w:color w:val="1F4D78"/>
      <w:sz w:val="20"/>
      <w:szCs w:val="20"/>
    </w:rPr>
  </w:style>
  <w:style w:type="paragraph" w:styleId="Heading6">
    <w:name w:val="heading 6"/>
    <w:basedOn w:val="Normal"/>
    <w:next w:val="Normal"/>
    <w:link w:val="Heading6Char"/>
    <w:uiPriority w:val="9"/>
    <w:semiHidden/>
    <w:unhideWhenUsed/>
    <w:qFormat/>
    <w:rsid w:val="00CE33CC"/>
    <w:pPr>
      <w:keepNext/>
      <w:keepLines/>
      <w:spacing w:before="200" w:after="0"/>
      <w:outlineLvl w:val="5"/>
    </w:pPr>
    <w:rPr>
      <w:rFonts w:ascii="Calibri Light" w:hAnsi="Calibri Light"/>
      <w:i/>
      <w:iCs/>
      <w:color w:val="1F4D78"/>
      <w:sz w:val="20"/>
      <w:szCs w:val="20"/>
    </w:rPr>
  </w:style>
  <w:style w:type="paragraph" w:styleId="Heading7">
    <w:name w:val="heading 7"/>
    <w:basedOn w:val="Normal"/>
    <w:next w:val="Normal"/>
    <w:link w:val="Heading7Char"/>
    <w:uiPriority w:val="9"/>
    <w:semiHidden/>
    <w:unhideWhenUsed/>
    <w:qFormat/>
    <w:rsid w:val="00CE33CC"/>
    <w:pPr>
      <w:keepNext/>
      <w:keepLines/>
      <w:spacing w:before="200" w:after="0"/>
      <w:outlineLvl w:val="6"/>
    </w:pPr>
    <w:rPr>
      <w:rFonts w:ascii="Calibri Light" w:hAnsi="Calibri Light"/>
      <w:i/>
      <w:iCs/>
      <w:color w:val="404040"/>
      <w:sz w:val="20"/>
      <w:szCs w:val="20"/>
    </w:rPr>
  </w:style>
  <w:style w:type="paragraph" w:styleId="Heading8">
    <w:name w:val="heading 8"/>
    <w:basedOn w:val="Normal"/>
    <w:next w:val="Normal"/>
    <w:link w:val="Heading8Char"/>
    <w:uiPriority w:val="9"/>
    <w:semiHidden/>
    <w:unhideWhenUsed/>
    <w:qFormat/>
    <w:rsid w:val="00CE33CC"/>
    <w:pPr>
      <w:keepNext/>
      <w:keepLines/>
      <w:spacing w:before="200" w:after="0"/>
      <w:outlineLvl w:val="7"/>
    </w:pPr>
    <w:rPr>
      <w:rFonts w:ascii="Calibri Light" w:hAnsi="Calibri Light"/>
      <w:color w:val="5B9BD5"/>
      <w:sz w:val="20"/>
      <w:szCs w:val="20"/>
    </w:rPr>
  </w:style>
  <w:style w:type="paragraph" w:styleId="Heading9">
    <w:name w:val="heading 9"/>
    <w:basedOn w:val="Normal"/>
    <w:next w:val="Normal"/>
    <w:link w:val="Heading9Char"/>
    <w:uiPriority w:val="9"/>
    <w:semiHidden/>
    <w:unhideWhenUsed/>
    <w:qFormat/>
    <w:rsid w:val="00CE33CC"/>
    <w:pPr>
      <w:keepNext/>
      <w:keepLines/>
      <w:spacing w:before="200" w:after="0"/>
      <w:outlineLvl w:val="8"/>
    </w:pPr>
    <w:rPr>
      <w:rFonts w:ascii="Calibri Light"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link w:val="Heading1"/>
    <w:uiPriority w:val="9"/>
    <w:rsid w:val="00CE33CC"/>
    <w:rPr>
      <w:rFonts w:ascii="Calibri Light" w:eastAsia="Times New Roman" w:hAnsi="Calibri Light" w:cs="Times New Roman"/>
      <w:b/>
      <w:bCs/>
      <w:color w:val="2E74B5"/>
      <w:sz w:val="28"/>
      <w:szCs w:val="28"/>
    </w:rPr>
  </w:style>
  <w:style w:type="character" w:customStyle="1" w:styleId="Heading2Char">
    <w:name w:val="Heading 2 Char"/>
    <w:link w:val="Heading2"/>
    <w:uiPriority w:val="9"/>
    <w:rsid w:val="00CE33CC"/>
    <w:rPr>
      <w:rFonts w:ascii="Calibri Light" w:eastAsia="Times New Roman" w:hAnsi="Calibri Light" w:cs="Times New Roman"/>
      <w:b/>
      <w:bCs/>
      <w:color w:val="5B9BD5"/>
      <w:sz w:val="26"/>
      <w:szCs w:val="26"/>
    </w:rPr>
  </w:style>
  <w:style w:type="character" w:customStyle="1" w:styleId="Heading3Char">
    <w:name w:val="Heading 3 Char"/>
    <w:link w:val="Heading3"/>
    <w:uiPriority w:val="9"/>
    <w:rsid w:val="00CE33CC"/>
    <w:rPr>
      <w:rFonts w:ascii="Calibri Light" w:eastAsia="Times New Roman" w:hAnsi="Calibri Light" w:cs="Times New Roman"/>
      <w:b/>
      <w:bCs/>
      <w:color w:val="5B9BD5"/>
    </w:rPr>
  </w:style>
  <w:style w:type="character" w:customStyle="1" w:styleId="Heading4Char">
    <w:name w:val="Heading 4 Char"/>
    <w:link w:val="Heading4"/>
    <w:uiPriority w:val="9"/>
    <w:semiHidden/>
    <w:rsid w:val="00CE33CC"/>
    <w:rPr>
      <w:rFonts w:ascii="Calibri Light" w:eastAsia="Times New Roman" w:hAnsi="Calibri Light" w:cs="Times New Roman"/>
      <w:b/>
      <w:bCs/>
      <w:i/>
      <w:iCs/>
      <w:color w:val="5B9BD5"/>
    </w:rPr>
  </w:style>
  <w:style w:type="character" w:customStyle="1" w:styleId="Heading5Char">
    <w:name w:val="Heading 5 Char"/>
    <w:link w:val="Heading5"/>
    <w:uiPriority w:val="9"/>
    <w:semiHidden/>
    <w:rsid w:val="00CE33CC"/>
    <w:rPr>
      <w:rFonts w:ascii="Calibri Light" w:eastAsia="Times New Roman" w:hAnsi="Calibri Light" w:cs="Times New Roman"/>
      <w:color w:val="1F4D78"/>
    </w:rPr>
  </w:style>
  <w:style w:type="character" w:customStyle="1" w:styleId="Heading6Char">
    <w:name w:val="Heading 6 Char"/>
    <w:link w:val="Heading6"/>
    <w:uiPriority w:val="9"/>
    <w:semiHidden/>
    <w:rsid w:val="00CE33CC"/>
    <w:rPr>
      <w:rFonts w:ascii="Calibri Light" w:eastAsia="Times New Roman" w:hAnsi="Calibri Light" w:cs="Times New Roman"/>
      <w:i/>
      <w:iCs/>
      <w:color w:val="1F4D78"/>
    </w:rPr>
  </w:style>
  <w:style w:type="character" w:customStyle="1" w:styleId="Heading7Char">
    <w:name w:val="Heading 7 Char"/>
    <w:link w:val="Heading7"/>
    <w:uiPriority w:val="9"/>
    <w:semiHidden/>
    <w:rsid w:val="00CE33CC"/>
    <w:rPr>
      <w:rFonts w:ascii="Calibri Light" w:eastAsia="Times New Roman" w:hAnsi="Calibri Light" w:cs="Times New Roman"/>
      <w:i/>
      <w:iCs/>
      <w:color w:val="404040"/>
    </w:rPr>
  </w:style>
  <w:style w:type="character" w:customStyle="1" w:styleId="Heading8Char">
    <w:name w:val="Heading 8 Char"/>
    <w:link w:val="Heading8"/>
    <w:uiPriority w:val="9"/>
    <w:semiHidden/>
    <w:rsid w:val="00CE33CC"/>
    <w:rPr>
      <w:rFonts w:ascii="Calibri Light" w:eastAsia="Times New Roman" w:hAnsi="Calibri Light" w:cs="Times New Roman"/>
      <w:color w:val="5B9BD5"/>
      <w:sz w:val="20"/>
      <w:szCs w:val="20"/>
    </w:rPr>
  </w:style>
  <w:style w:type="character" w:customStyle="1" w:styleId="Heading9Char">
    <w:name w:val="Heading 9 Char"/>
    <w:link w:val="Heading9"/>
    <w:uiPriority w:val="9"/>
    <w:semiHidden/>
    <w:rsid w:val="00CE33CC"/>
    <w:rPr>
      <w:rFonts w:ascii="Calibri Light" w:eastAsia="Times New Roman" w:hAnsi="Calibri Light" w:cs="Times New Roman"/>
      <w:i/>
      <w:iCs/>
      <w:color w:val="404040"/>
      <w:sz w:val="20"/>
      <w:szCs w:val="20"/>
    </w:rPr>
  </w:style>
  <w:style w:type="paragraph" w:styleId="Caption">
    <w:name w:val="caption"/>
    <w:aliases w:val="~Caption"/>
    <w:basedOn w:val="Normal"/>
    <w:next w:val="Normal"/>
    <w:link w:val="CaptionChar"/>
    <w:unhideWhenUsed/>
    <w:qFormat/>
    <w:rsid w:val="00CE33CC"/>
    <w:pPr>
      <w:spacing w:line="240" w:lineRule="auto"/>
    </w:pPr>
    <w:rPr>
      <w:b/>
      <w:bCs/>
      <w:color w:val="5B9BD5"/>
      <w:sz w:val="18"/>
      <w:szCs w:val="18"/>
    </w:rPr>
  </w:style>
  <w:style w:type="paragraph" w:styleId="Title">
    <w:name w:val="Title"/>
    <w:basedOn w:val="Normal"/>
    <w:next w:val="Normal"/>
    <w:link w:val="TitleChar"/>
    <w:uiPriority w:val="10"/>
    <w:qFormat/>
    <w:rsid w:val="00CE33CC"/>
    <w:pPr>
      <w:pBdr>
        <w:bottom w:val="single" w:sz="8" w:space="4" w:color="5B9BD5"/>
      </w:pBdr>
      <w:spacing w:after="300" w:line="240" w:lineRule="auto"/>
      <w:contextualSpacing/>
    </w:pPr>
    <w:rPr>
      <w:rFonts w:ascii="Calibri Light" w:hAnsi="Calibri Light"/>
      <w:color w:val="323E4F"/>
      <w:spacing w:val="5"/>
      <w:sz w:val="52"/>
      <w:szCs w:val="52"/>
    </w:rPr>
  </w:style>
  <w:style w:type="character" w:customStyle="1" w:styleId="TitleChar">
    <w:name w:val="Title Char"/>
    <w:link w:val="Title"/>
    <w:uiPriority w:val="10"/>
    <w:rsid w:val="00CE33CC"/>
    <w:rPr>
      <w:rFonts w:ascii="Calibri Light" w:eastAsia="Times New Roman" w:hAnsi="Calibri Light" w:cs="Times New Roman"/>
      <w:color w:val="323E4F"/>
      <w:spacing w:val="5"/>
      <w:sz w:val="52"/>
      <w:szCs w:val="52"/>
    </w:rPr>
  </w:style>
  <w:style w:type="paragraph" w:styleId="Subtitle">
    <w:name w:val="Subtitle"/>
    <w:basedOn w:val="Normal"/>
    <w:next w:val="Normal"/>
    <w:link w:val="SubtitleChar"/>
    <w:uiPriority w:val="11"/>
    <w:qFormat/>
    <w:rsid w:val="00CE33CC"/>
    <w:pPr>
      <w:numPr>
        <w:ilvl w:val="1"/>
      </w:numPr>
    </w:pPr>
    <w:rPr>
      <w:rFonts w:ascii="Calibri Light" w:hAnsi="Calibri Light"/>
      <w:i/>
      <w:iCs/>
      <w:color w:val="5B9BD5"/>
      <w:spacing w:val="15"/>
      <w:sz w:val="24"/>
      <w:szCs w:val="24"/>
    </w:rPr>
  </w:style>
  <w:style w:type="character" w:customStyle="1" w:styleId="SubtitleChar">
    <w:name w:val="Subtitle Char"/>
    <w:link w:val="Subtitle"/>
    <w:uiPriority w:val="11"/>
    <w:rsid w:val="00CE33CC"/>
    <w:rPr>
      <w:rFonts w:ascii="Calibri Light" w:eastAsia="Times New Roman" w:hAnsi="Calibri Light" w:cs="Times New Roman"/>
      <w:i/>
      <w:iCs/>
      <w:color w:val="5B9BD5"/>
      <w:spacing w:val="15"/>
      <w:sz w:val="24"/>
      <w:szCs w:val="24"/>
    </w:rPr>
  </w:style>
  <w:style w:type="character" w:styleId="Strong">
    <w:name w:val="Strong"/>
    <w:uiPriority w:val="22"/>
    <w:qFormat/>
    <w:rsid w:val="00CE33CC"/>
    <w:rPr>
      <w:b/>
      <w:bCs/>
    </w:rPr>
  </w:style>
  <w:style w:type="character" w:styleId="Emphasis">
    <w:name w:val="Emphasis"/>
    <w:uiPriority w:val="20"/>
    <w:qFormat/>
    <w:rsid w:val="00CE33CC"/>
    <w:rPr>
      <w:i/>
      <w:iCs/>
    </w:rPr>
  </w:style>
  <w:style w:type="paragraph" w:styleId="NoSpacing">
    <w:name w:val="No Spacing"/>
    <w:uiPriority w:val="1"/>
    <w:qFormat/>
    <w:rsid w:val="00CE33CC"/>
    <w:rPr>
      <w:sz w:val="22"/>
      <w:szCs w:val="22"/>
      <w:lang w:eastAsia="en-US"/>
    </w:rPr>
  </w:style>
  <w:style w:type="paragraph" w:styleId="Quote">
    <w:name w:val="Quote"/>
    <w:basedOn w:val="Normal"/>
    <w:next w:val="Normal"/>
    <w:link w:val="QuoteChar"/>
    <w:uiPriority w:val="29"/>
    <w:qFormat/>
    <w:rsid w:val="00CE33CC"/>
    <w:rPr>
      <w:i/>
      <w:iCs/>
      <w:color w:val="000000"/>
      <w:sz w:val="20"/>
      <w:szCs w:val="20"/>
    </w:rPr>
  </w:style>
  <w:style w:type="character" w:customStyle="1" w:styleId="QuoteChar">
    <w:name w:val="Quote Char"/>
    <w:link w:val="Quote"/>
    <w:uiPriority w:val="29"/>
    <w:rsid w:val="00CE33CC"/>
    <w:rPr>
      <w:i/>
      <w:iCs/>
      <w:color w:val="000000"/>
    </w:rPr>
  </w:style>
  <w:style w:type="paragraph" w:styleId="IntenseQuote">
    <w:name w:val="Intense Quote"/>
    <w:basedOn w:val="Normal"/>
    <w:next w:val="Normal"/>
    <w:link w:val="IntenseQuoteChar"/>
    <w:uiPriority w:val="30"/>
    <w:qFormat/>
    <w:rsid w:val="00CE33CC"/>
    <w:pPr>
      <w:pBdr>
        <w:bottom w:val="single" w:sz="4" w:space="4" w:color="5B9BD5"/>
      </w:pBdr>
      <w:spacing w:before="200" w:after="280"/>
      <w:ind w:left="936" w:right="936"/>
    </w:pPr>
    <w:rPr>
      <w:b/>
      <w:bCs/>
      <w:i/>
      <w:iCs/>
      <w:color w:val="5B9BD5"/>
      <w:sz w:val="20"/>
      <w:szCs w:val="20"/>
    </w:rPr>
  </w:style>
  <w:style w:type="character" w:customStyle="1" w:styleId="IntenseQuoteChar">
    <w:name w:val="Intense Quote Char"/>
    <w:link w:val="IntenseQuote"/>
    <w:uiPriority w:val="30"/>
    <w:rsid w:val="00CE33CC"/>
    <w:rPr>
      <w:b/>
      <w:bCs/>
      <w:i/>
      <w:iCs/>
      <w:color w:val="5B9BD5"/>
    </w:rPr>
  </w:style>
  <w:style w:type="character" w:styleId="SubtleEmphasis">
    <w:name w:val="Subtle Emphasis"/>
    <w:uiPriority w:val="19"/>
    <w:qFormat/>
    <w:rsid w:val="00CE33CC"/>
    <w:rPr>
      <w:i/>
      <w:iCs/>
      <w:color w:val="808080"/>
    </w:rPr>
  </w:style>
  <w:style w:type="character" w:styleId="IntenseEmphasis">
    <w:name w:val="Intense Emphasis"/>
    <w:uiPriority w:val="21"/>
    <w:qFormat/>
    <w:rsid w:val="00CE33CC"/>
    <w:rPr>
      <w:b/>
      <w:bCs/>
      <w:i/>
      <w:iCs/>
      <w:color w:val="5B9BD5"/>
    </w:rPr>
  </w:style>
  <w:style w:type="character" w:styleId="SubtleReference">
    <w:name w:val="Subtle Reference"/>
    <w:uiPriority w:val="31"/>
    <w:qFormat/>
    <w:rsid w:val="00CE33CC"/>
    <w:rPr>
      <w:smallCaps/>
      <w:color w:val="ED7D31"/>
      <w:u w:val="single"/>
    </w:rPr>
  </w:style>
  <w:style w:type="character" w:styleId="IntenseReference">
    <w:name w:val="Intense Reference"/>
    <w:uiPriority w:val="32"/>
    <w:qFormat/>
    <w:rsid w:val="00CE33CC"/>
    <w:rPr>
      <w:b/>
      <w:bCs/>
      <w:smallCaps/>
      <w:color w:val="ED7D31"/>
      <w:spacing w:val="5"/>
      <w:u w:val="single"/>
    </w:rPr>
  </w:style>
  <w:style w:type="character" w:styleId="BookTitle">
    <w:name w:val="Book Title"/>
    <w:uiPriority w:val="33"/>
    <w:qFormat/>
    <w:rsid w:val="00CE33CC"/>
    <w:rPr>
      <w:b/>
      <w:bCs/>
      <w:smallCaps/>
      <w:spacing w:val="5"/>
    </w:rPr>
  </w:style>
  <w:style w:type="paragraph" w:styleId="TOCHeading">
    <w:name w:val="TOC Heading"/>
    <w:basedOn w:val="Heading1"/>
    <w:next w:val="Normal"/>
    <w:uiPriority w:val="39"/>
    <w:semiHidden/>
    <w:unhideWhenUsed/>
    <w:qFormat/>
    <w:rsid w:val="00CE33CC"/>
    <w:pPr>
      <w:outlineLvl w:val="9"/>
    </w:pPr>
  </w:style>
  <w:style w:type="paragraph" w:styleId="Header">
    <w:name w:val="header"/>
    <w:basedOn w:val="Normal"/>
    <w:link w:val="HeaderChar"/>
    <w:uiPriority w:val="99"/>
    <w:unhideWhenUsed/>
    <w:rsid w:val="00CE33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3CC"/>
  </w:style>
  <w:style w:type="paragraph" w:styleId="Footer">
    <w:name w:val="footer"/>
    <w:basedOn w:val="Normal"/>
    <w:link w:val="FooterChar"/>
    <w:uiPriority w:val="99"/>
    <w:unhideWhenUsed/>
    <w:rsid w:val="00CE33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3CC"/>
  </w:style>
  <w:style w:type="paragraph" w:styleId="BalloonText">
    <w:name w:val="Balloon Text"/>
    <w:basedOn w:val="Normal"/>
    <w:link w:val="BalloonTextChar"/>
    <w:uiPriority w:val="99"/>
    <w:semiHidden/>
    <w:unhideWhenUsed/>
    <w:rsid w:val="00DB4132"/>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DB4132"/>
    <w:rPr>
      <w:rFonts w:ascii="Segoe UI" w:hAnsi="Segoe UI" w:cs="Segoe UI"/>
      <w:sz w:val="18"/>
      <w:szCs w:val="18"/>
    </w:rPr>
  </w:style>
  <w:style w:type="character" w:styleId="PlaceholderText">
    <w:name w:val="Placeholder Text"/>
    <w:uiPriority w:val="99"/>
    <w:semiHidden/>
    <w:rsid w:val="00743564"/>
    <w:rPr>
      <w:color w:val="808080"/>
    </w:rPr>
  </w:style>
  <w:style w:type="paragraph" w:customStyle="1" w:styleId="Disclaimer">
    <w:name w:val="~Disclaimer"/>
    <w:basedOn w:val="Normal"/>
    <w:rsid w:val="0019538C"/>
    <w:pPr>
      <w:spacing w:before="200" w:after="120" w:line="200" w:lineRule="exact"/>
    </w:pPr>
    <w:rPr>
      <w:rFonts w:ascii="Arial" w:hAnsi="Arial" w:cs="Arial"/>
      <w:sz w:val="16"/>
      <w:szCs w:val="16"/>
      <w:lang w:eastAsia="en-GB"/>
    </w:rPr>
  </w:style>
  <w:style w:type="table" w:customStyle="1" w:styleId="MottMacTable1">
    <w:name w:val="~MottMacTable1"/>
    <w:basedOn w:val="TableNormal"/>
    <w:uiPriority w:val="99"/>
    <w:rsid w:val="00D61F1E"/>
    <w:rPr>
      <w:rFonts w:eastAsia="Arial"/>
    </w:rPr>
    <w:tblPr>
      <w:tblBorders>
        <w:top w:val="single" w:sz="4" w:space="0" w:color="80A1B6"/>
        <w:bottom w:val="single" w:sz="4" w:space="0" w:color="80A1B6"/>
        <w:insideH w:val="single" w:sz="4" w:space="0" w:color="80A1B6"/>
      </w:tblBorders>
    </w:tblPr>
    <w:tcPr>
      <w:shd w:val="clear" w:color="auto" w:fill="FFFFFF"/>
    </w:tcPr>
    <w:tblStylePr w:type="firstRow">
      <w:tblPr/>
      <w:tcPr>
        <w:shd w:val="clear" w:color="auto" w:fill="80A1B6"/>
      </w:tcPr>
    </w:tblStylePr>
  </w:style>
  <w:style w:type="paragraph" w:customStyle="1" w:styleId="BodyTextNumbered1">
    <w:name w:val="~BodyTextNumbered1"/>
    <w:basedOn w:val="NoSpacing"/>
    <w:qFormat/>
    <w:rsid w:val="00D61F1E"/>
    <w:pPr>
      <w:tabs>
        <w:tab w:val="num" w:pos="0"/>
      </w:tabs>
      <w:spacing w:before="260" w:line="276" w:lineRule="auto"/>
      <w:ind w:hanging="1134"/>
    </w:pPr>
    <w:rPr>
      <w:rFonts w:ascii="Arial" w:eastAsia="Calibri" w:hAnsi="Arial" w:cs="Arial"/>
      <w:color w:val="000000"/>
      <w:sz w:val="20"/>
      <w:szCs w:val="20"/>
    </w:rPr>
  </w:style>
  <w:style w:type="paragraph" w:customStyle="1" w:styleId="BodyTextNumbered2">
    <w:name w:val="~BodyTextNumbered2"/>
    <w:basedOn w:val="BodyTextNumbered1"/>
    <w:qFormat/>
    <w:rsid w:val="00D61F1E"/>
  </w:style>
  <w:style w:type="paragraph" w:styleId="FootnoteText">
    <w:name w:val="footnote text"/>
    <w:basedOn w:val="Normal"/>
    <w:link w:val="FootnoteTextChar"/>
    <w:unhideWhenUsed/>
    <w:rsid w:val="00197CB7"/>
    <w:pPr>
      <w:spacing w:after="0" w:line="240" w:lineRule="auto"/>
    </w:pPr>
    <w:rPr>
      <w:rFonts w:ascii="Arial" w:eastAsia="Calibri" w:hAnsi="Arial"/>
      <w:sz w:val="20"/>
      <w:szCs w:val="20"/>
    </w:rPr>
  </w:style>
  <w:style w:type="character" w:customStyle="1" w:styleId="FootnoteTextChar">
    <w:name w:val="Footnote Text Char"/>
    <w:link w:val="FootnoteText"/>
    <w:rsid w:val="00197CB7"/>
    <w:rPr>
      <w:rFonts w:ascii="Arial" w:eastAsia="Calibri" w:hAnsi="Arial"/>
      <w:lang w:val="sq-AL" w:eastAsia="en-US"/>
    </w:rPr>
  </w:style>
  <w:style w:type="character" w:styleId="FootnoteReference">
    <w:name w:val="footnote reference"/>
    <w:unhideWhenUsed/>
    <w:rsid w:val="00197CB7"/>
    <w:rPr>
      <w:vertAlign w:val="superscript"/>
    </w:rPr>
  </w:style>
  <w:style w:type="paragraph" w:styleId="ListParagraph">
    <w:name w:val="List Paragraph"/>
    <w:basedOn w:val="Normal"/>
    <w:link w:val="ListParagraphChar"/>
    <w:uiPriority w:val="34"/>
    <w:qFormat/>
    <w:rsid w:val="00197CB7"/>
    <w:pPr>
      <w:spacing w:after="0"/>
      <w:ind w:left="720"/>
      <w:contextualSpacing/>
    </w:pPr>
    <w:rPr>
      <w:rFonts w:ascii="Arial" w:eastAsia="Calibri" w:hAnsi="Arial"/>
      <w:sz w:val="20"/>
    </w:rPr>
  </w:style>
  <w:style w:type="character" w:customStyle="1" w:styleId="ListParagraphChar">
    <w:name w:val="List Paragraph Char"/>
    <w:link w:val="ListParagraph"/>
    <w:uiPriority w:val="34"/>
    <w:rsid w:val="00197CB7"/>
    <w:rPr>
      <w:rFonts w:ascii="Arial" w:eastAsia="Calibri" w:hAnsi="Arial"/>
      <w:szCs w:val="22"/>
      <w:lang w:val="sq-AL" w:eastAsia="en-US"/>
    </w:rPr>
  </w:style>
  <w:style w:type="character" w:customStyle="1" w:styleId="CaptionChar">
    <w:name w:val="Caption Char"/>
    <w:aliases w:val="~Caption Char"/>
    <w:link w:val="Caption"/>
    <w:rsid w:val="00631B88"/>
    <w:rPr>
      <w:b/>
      <w:bCs/>
      <w:color w:val="5B9BD5"/>
      <w:sz w:val="18"/>
      <w:szCs w:val="18"/>
      <w:lang w:eastAsia="en-US"/>
    </w:rPr>
  </w:style>
  <w:style w:type="paragraph" w:customStyle="1" w:styleId="GraphicLeft">
    <w:name w:val="~GraphicLeft"/>
    <w:basedOn w:val="Normal"/>
    <w:rsid w:val="00631B88"/>
    <w:pPr>
      <w:spacing w:after="0" w:line="240" w:lineRule="auto"/>
      <w:ind w:right="11"/>
    </w:pPr>
    <w:rPr>
      <w:rFonts w:eastAsia="Calibri"/>
      <w:sz w:val="18"/>
      <w:szCs w:val="20"/>
    </w:rPr>
  </w:style>
  <w:style w:type="paragraph" w:customStyle="1" w:styleId="Bullet1">
    <w:name w:val="~Bullet1"/>
    <w:basedOn w:val="Normal"/>
    <w:rsid w:val="00631B88"/>
    <w:pPr>
      <w:numPr>
        <w:numId w:val="10"/>
      </w:numPr>
      <w:spacing w:after="0" w:line="260" w:lineRule="exact"/>
    </w:pPr>
    <w:rPr>
      <w:rFonts w:ascii="Arial" w:hAnsi="Arial" w:cs="Arial"/>
      <w:sz w:val="20"/>
      <w:szCs w:val="24"/>
      <w:lang w:eastAsia="en-GB"/>
    </w:rPr>
  </w:style>
  <w:style w:type="paragraph" w:customStyle="1" w:styleId="Bullet2">
    <w:name w:val="~Bullet2"/>
    <w:basedOn w:val="Bullet1"/>
    <w:rsid w:val="00631B88"/>
    <w:pPr>
      <w:numPr>
        <w:ilvl w:val="1"/>
      </w:numPr>
      <w:tabs>
        <w:tab w:val="num" w:pos="2727"/>
      </w:tabs>
    </w:pPr>
  </w:style>
  <w:style w:type="paragraph" w:customStyle="1" w:styleId="Bullet3">
    <w:name w:val="~Bullet3"/>
    <w:basedOn w:val="Bullet2"/>
    <w:rsid w:val="00631B88"/>
    <w:pPr>
      <w:numPr>
        <w:ilvl w:val="2"/>
      </w:numPr>
      <w:tabs>
        <w:tab w:val="clear" w:pos="2727"/>
        <w:tab w:val="num" w:pos="3011"/>
      </w:tabs>
    </w:pPr>
  </w:style>
  <w:style w:type="character" w:customStyle="1" w:styleId="TableTextLeftChar">
    <w:name w:val="~TableTextLeft Char"/>
    <w:link w:val="TableTextLeft"/>
    <w:rsid w:val="00E747B6"/>
    <w:rPr>
      <w:rFonts w:ascii="Arial" w:hAnsi="Arial" w:cs="Arial"/>
      <w:sz w:val="17"/>
      <w:szCs w:val="24"/>
    </w:rPr>
  </w:style>
  <w:style w:type="paragraph" w:customStyle="1" w:styleId="TableTextLeft">
    <w:name w:val="~TableTextLeft"/>
    <w:basedOn w:val="Normal"/>
    <w:link w:val="TableTextLeftChar"/>
    <w:qFormat/>
    <w:rsid w:val="00E747B6"/>
    <w:pPr>
      <w:spacing w:before="60" w:after="20" w:line="240" w:lineRule="auto"/>
    </w:pPr>
    <w:rPr>
      <w:rFonts w:ascii="Arial" w:hAnsi="Arial" w:cs="Arial"/>
      <w:sz w:val="17"/>
      <w:szCs w:val="24"/>
      <w:lang w:eastAsia="en-GB"/>
    </w:rPr>
  </w:style>
  <w:style w:type="paragraph" w:customStyle="1" w:styleId="TableHeadingLeft">
    <w:name w:val="~TableHeadingLeft"/>
    <w:basedOn w:val="TableTextLeft"/>
    <w:qFormat/>
    <w:rsid w:val="00E747B6"/>
    <w:pPr>
      <w:keepNext/>
      <w:spacing w:before="80" w:after="40"/>
    </w:pPr>
    <w:rPr>
      <w:rFonts w:eastAsia="Calibri"/>
      <w:b/>
      <w:color w:val="FFFFFF"/>
    </w:rPr>
  </w:style>
  <w:style w:type="paragraph" w:customStyle="1" w:styleId="TableHeadingRight">
    <w:name w:val="~TableHeadingRight"/>
    <w:basedOn w:val="TableHeadingLeft"/>
    <w:qFormat/>
    <w:rsid w:val="00E747B6"/>
    <w:pPr>
      <w:jc w:val="right"/>
    </w:pPr>
  </w:style>
  <w:style w:type="paragraph" w:customStyle="1" w:styleId="TableTextRight">
    <w:name w:val="~TableTextRight"/>
    <w:basedOn w:val="TableTextLeft"/>
    <w:qFormat/>
    <w:rsid w:val="00E747B6"/>
    <w:pPr>
      <w:jc w:val="right"/>
    </w:pPr>
    <w:rPr>
      <w:rFonts w:eastAsia="Calibri"/>
    </w:rPr>
  </w:style>
  <w:style w:type="table" w:customStyle="1" w:styleId="MottMacTable">
    <w:name w:val="~MottMacTable"/>
    <w:basedOn w:val="TableNormal"/>
    <w:uiPriority w:val="99"/>
    <w:rsid w:val="00E747B6"/>
    <w:rPr>
      <w:rFonts w:eastAsia="Calibri"/>
      <w:lang w:eastAsia="en-US"/>
    </w:rPr>
    <w:tblPr>
      <w:tblBorders>
        <w:top w:val="single" w:sz="4" w:space="0" w:color="4F81BD"/>
        <w:bottom w:val="single" w:sz="4" w:space="0" w:color="4F81BD"/>
        <w:insideH w:val="single" w:sz="4" w:space="0" w:color="4F81BD"/>
      </w:tblBorders>
    </w:tblPr>
    <w:tcPr>
      <w:shd w:val="clear" w:color="auto" w:fill="FFFFFF"/>
    </w:tcPr>
    <w:tblStylePr w:type="firstRow">
      <w:tblPr/>
      <w:tcPr>
        <w:shd w:val="clear" w:color="auto" w:fill="4F81BD"/>
      </w:tcPr>
    </w:tblStylePr>
  </w:style>
  <w:style w:type="paragraph" w:styleId="BodyText">
    <w:name w:val="Body Text"/>
    <w:basedOn w:val="Normal"/>
    <w:link w:val="BodyTextChar"/>
    <w:uiPriority w:val="1"/>
    <w:qFormat/>
    <w:rsid w:val="000757F4"/>
    <w:pPr>
      <w:widowControl w:val="0"/>
      <w:spacing w:after="0" w:line="240" w:lineRule="auto"/>
      <w:ind w:left="471" w:hanging="356"/>
    </w:pPr>
    <w:rPr>
      <w:rFonts w:ascii="Times New Roman" w:hAnsi="Times New Roman"/>
      <w:sz w:val="24"/>
      <w:szCs w:val="24"/>
    </w:rPr>
  </w:style>
  <w:style w:type="character" w:customStyle="1" w:styleId="BodyTextChar">
    <w:name w:val="Body Text Char"/>
    <w:link w:val="BodyText"/>
    <w:uiPriority w:val="1"/>
    <w:rsid w:val="000757F4"/>
    <w:rPr>
      <w:rFonts w:ascii="Times New Roman" w:hAnsi="Times New Roman"/>
      <w:sz w:val="24"/>
      <w:szCs w:val="24"/>
      <w:lang w:val="sq-AL" w:eastAsia="en-US"/>
    </w:rPr>
  </w:style>
  <w:style w:type="paragraph" w:customStyle="1" w:styleId="Text">
    <w:name w:val="Text"/>
    <w:basedOn w:val="Normal"/>
    <w:rsid w:val="0043684E"/>
    <w:pPr>
      <w:spacing w:before="120" w:after="120" w:line="240" w:lineRule="auto"/>
      <w:jc w:val="both"/>
    </w:pPr>
    <w:rPr>
      <w:rFonts w:ascii="Arial" w:hAnsi="Arial"/>
      <w:szCs w:val="20"/>
      <w:lang w:eastAsia="en-GB"/>
    </w:rPr>
  </w:style>
  <w:style w:type="paragraph" w:customStyle="1" w:styleId="BodyText0">
    <w:name w:val="~BodyText"/>
    <w:basedOn w:val="Normal"/>
    <w:rsid w:val="00A50015"/>
    <w:pPr>
      <w:spacing w:before="260" w:after="120" w:line="260" w:lineRule="exact"/>
    </w:pPr>
    <w:rPr>
      <w:rFonts w:ascii="Arial" w:hAnsi="Arial" w:cs="Arial"/>
      <w:sz w:val="20"/>
      <w:szCs w:val="24"/>
      <w:lang w:eastAsia="en-GB"/>
    </w:rPr>
  </w:style>
  <w:style w:type="table" w:customStyle="1" w:styleId="GridTable1Light-Accent51">
    <w:name w:val="Grid Table 1 Light - Accent 51"/>
    <w:basedOn w:val="TableNormal"/>
    <w:uiPriority w:val="46"/>
    <w:rsid w:val="00170C0C"/>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67E55"/>
    <w:rPr>
      <w:rFonts w:eastAsia="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uiPriority w:val="46"/>
    <w:rsid w:val="00667E55"/>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6F1611"/>
    <w:rPr>
      <w:rFonts w:eastAsia="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2">
    <w:name w:val="Grid Table 1 Light - Accent 512"/>
    <w:basedOn w:val="TableNormal"/>
    <w:uiPriority w:val="46"/>
    <w:rsid w:val="006F1611"/>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15552F"/>
    <w:rPr>
      <w:sz w:val="16"/>
      <w:szCs w:val="16"/>
    </w:rPr>
  </w:style>
  <w:style w:type="paragraph" w:styleId="CommentText">
    <w:name w:val="annotation text"/>
    <w:basedOn w:val="Normal"/>
    <w:link w:val="CommentTextChar"/>
    <w:uiPriority w:val="99"/>
    <w:unhideWhenUsed/>
    <w:rsid w:val="0015552F"/>
    <w:pPr>
      <w:spacing w:line="240" w:lineRule="auto"/>
    </w:pPr>
    <w:rPr>
      <w:sz w:val="20"/>
      <w:szCs w:val="20"/>
    </w:rPr>
  </w:style>
  <w:style w:type="character" w:customStyle="1" w:styleId="CommentTextChar">
    <w:name w:val="Comment Text Char"/>
    <w:basedOn w:val="DefaultParagraphFont"/>
    <w:link w:val="CommentText"/>
    <w:uiPriority w:val="99"/>
    <w:rsid w:val="0015552F"/>
    <w:rPr>
      <w:lang w:eastAsia="en-US"/>
    </w:rPr>
  </w:style>
  <w:style w:type="paragraph" w:styleId="CommentSubject">
    <w:name w:val="annotation subject"/>
    <w:basedOn w:val="CommentText"/>
    <w:next w:val="CommentText"/>
    <w:link w:val="CommentSubjectChar"/>
    <w:uiPriority w:val="99"/>
    <w:semiHidden/>
    <w:unhideWhenUsed/>
    <w:rsid w:val="0015552F"/>
    <w:rPr>
      <w:b/>
      <w:bCs/>
    </w:rPr>
  </w:style>
  <w:style w:type="character" w:customStyle="1" w:styleId="CommentSubjectChar">
    <w:name w:val="Comment Subject Char"/>
    <w:basedOn w:val="CommentTextChar"/>
    <w:link w:val="CommentSubject"/>
    <w:uiPriority w:val="99"/>
    <w:semiHidden/>
    <w:rsid w:val="0015552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2A168-DFC8-4CF3-BDC7-005814D66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8</Pages>
  <Words>2934</Words>
  <Characters>16730</Characters>
  <Application>Microsoft Office Word</Application>
  <DocSecurity>0</DocSecurity>
  <Lines>139</Lines>
  <Paragraphs>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Workshop Summary Report</vt:lpstr>
      <vt:lpstr>Workshop Summary Report</vt:lpstr>
    </vt:vector>
  </TitlesOfParts>
  <Company/>
  <LinksUpToDate>false</LinksUpToDate>
  <CharactersWithSpaces>19625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Summary Report</dc:title>
  <dc:creator>Postolache, Elena</dc:creator>
  <cp:lastModifiedBy>Tringe Sokoli</cp:lastModifiedBy>
  <cp:revision>33</cp:revision>
  <cp:lastPrinted>2015-01-05T12:29:00Z</cp:lastPrinted>
  <dcterms:created xsi:type="dcterms:W3CDTF">2024-08-07T11:05:00Z</dcterms:created>
  <dcterms:modified xsi:type="dcterms:W3CDTF">2024-10-28T13:07:00Z</dcterms:modified>
</cp:coreProperties>
</file>