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1719D" w14:textId="77777777" w:rsidR="009E74A0" w:rsidRPr="009E74A0" w:rsidRDefault="009E74A0" w:rsidP="00504B2F">
      <w:pPr>
        <w:pBdr>
          <w:bottom w:val="single" w:sz="8" w:space="0" w:color="5B9BD5"/>
        </w:pBdr>
        <w:spacing w:before="120" w:after="0"/>
        <w:contextualSpacing/>
        <w:jc w:val="center"/>
        <w:rPr>
          <w:rFonts w:ascii="Arial" w:eastAsia="Times New Roman" w:hAnsi="Arial" w:cs="Arial"/>
          <w:color w:val="323E4F"/>
          <w:spacing w:val="5"/>
          <w:sz w:val="36"/>
          <w:szCs w:val="36"/>
        </w:rPr>
      </w:pPr>
      <w:r>
        <w:rPr>
          <w:rFonts w:ascii="Arial" w:hAnsi="Arial"/>
          <w:color w:val="323E4F"/>
          <w:sz w:val="36"/>
        </w:rPr>
        <w:t>Formulari i identifikimit të projektit (FIP): Sektori i Mjedisit</w:t>
      </w:r>
    </w:p>
    <w:p w14:paraId="48D6BAA8" w14:textId="1B701E4C" w:rsidR="002831C6" w:rsidRPr="003520C8" w:rsidRDefault="009E74A0" w:rsidP="003520C8">
      <w:pPr>
        <w:keepNext/>
        <w:keepLines/>
        <w:spacing w:before="240" w:after="120"/>
        <w:jc w:val="center"/>
        <w:outlineLvl w:val="0"/>
        <w:rPr>
          <w:rFonts w:ascii="Arial" w:eastAsia="Times New Roman" w:hAnsi="Arial" w:cs="Arial"/>
          <w:b/>
          <w:bCs/>
          <w:sz w:val="24"/>
          <w:szCs w:val="24"/>
        </w:rPr>
      </w:pPr>
      <w:r>
        <w:rPr>
          <w:rFonts w:ascii="Arial" w:hAnsi="Arial"/>
          <w:b/>
          <w:bCs/>
          <w:sz w:val="24"/>
        </w:rPr>
        <w:t>Pjesa e parë</w:t>
      </w:r>
    </w:p>
    <w:p w14:paraId="5D8BEAAF" w14:textId="77777777" w:rsidR="00351CE9" w:rsidRPr="00831C2D" w:rsidRDefault="00351CE9" w:rsidP="001E3F71">
      <w:pPr>
        <w:pStyle w:val="ListParagraph"/>
        <w:numPr>
          <w:ilvl w:val="0"/>
          <w:numId w:val="2"/>
        </w:numPr>
        <w:spacing w:before="200" w:after="120"/>
        <w:jc w:val="both"/>
        <w:rPr>
          <w:rFonts w:ascii="Arial" w:hAnsi="Arial" w:cs="Arial"/>
          <w:b/>
          <w:sz w:val="20"/>
          <w:szCs w:val="20"/>
        </w:rPr>
      </w:pPr>
      <w:bookmarkStart w:id="0" w:name="_Hlk106873750"/>
      <w:r>
        <w:rPr>
          <w:rFonts w:ascii="Arial" w:hAnsi="Arial"/>
          <w:b/>
          <w:bCs/>
          <w:sz w:val="20"/>
        </w:rPr>
        <w:t>INFORMACIONE TË PËRGJITHSHME</w:t>
      </w:r>
    </w:p>
    <w:tbl>
      <w:tblPr>
        <w:tblW w:w="4947" w:type="pct"/>
        <w:jc w:val="center"/>
        <w:tblLook w:val="01E0" w:firstRow="1" w:lastRow="1" w:firstColumn="1" w:lastColumn="1" w:noHBand="0" w:noVBand="0"/>
      </w:tblPr>
      <w:tblGrid>
        <w:gridCol w:w="3712"/>
        <w:gridCol w:w="5539"/>
      </w:tblGrid>
      <w:tr w:rsidR="00351CE9" w:rsidRPr="00831C2D" w14:paraId="1A4D4BBE" w14:textId="77777777" w:rsidTr="00C217B2">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5BB71749" w14:textId="21C27373" w:rsidR="00351CE9" w:rsidRPr="00831C2D" w:rsidRDefault="00716571" w:rsidP="001E3F71">
            <w:pPr>
              <w:spacing w:before="60" w:after="60" w:line="260" w:lineRule="atLeast"/>
              <w:jc w:val="both"/>
              <w:rPr>
                <w:rFonts w:ascii="Arial" w:hAnsi="Arial" w:cs="Arial"/>
                <w:b/>
                <w:bCs/>
                <w:sz w:val="20"/>
                <w:szCs w:val="20"/>
              </w:rPr>
            </w:pPr>
            <w:r>
              <w:rPr>
                <w:rFonts w:ascii="Arial" w:hAnsi="Arial"/>
                <w:b/>
                <w:sz w:val="20"/>
              </w:rPr>
              <w:t>Titulli i projektit</w:t>
            </w:r>
          </w:p>
        </w:tc>
        <w:tc>
          <w:tcPr>
            <w:tcW w:w="2994" w:type="pct"/>
            <w:tcBorders>
              <w:top w:val="single" w:sz="4" w:space="0" w:color="auto"/>
              <w:left w:val="single" w:sz="4" w:space="0" w:color="auto"/>
              <w:bottom w:val="single" w:sz="4" w:space="0" w:color="auto"/>
              <w:right w:val="single" w:sz="4" w:space="0" w:color="auto"/>
            </w:tcBorders>
            <w:vAlign w:val="center"/>
          </w:tcPr>
          <w:p w14:paraId="5459F65E" w14:textId="45096C9C" w:rsidR="00351CE9" w:rsidRPr="00504B2F" w:rsidRDefault="004E701D" w:rsidP="001E3F71">
            <w:pPr>
              <w:spacing w:before="60" w:after="60" w:line="260" w:lineRule="atLeast"/>
              <w:jc w:val="both"/>
              <w:rPr>
                <w:rFonts w:ascii="Arial" w:hAnsi="Arial" w:cs="Arial"/>
                <w:bCs/>
                <w:sz w:val="20"/>
                <w:szCs w:val="20"/>
              </w:rPr>
            </w:pPr>
            <w:r>
              <w:rPr>
                <w:rFonts w:ascii="Arial" w:hAnsi="Arial"/>
                <w:sz w:val="20"/>
              </w:rPr>
              <w:t xml:space="preserve">Themelimi i qendrave për trajtimin e mbeturinave të ndërtimit dhe rrënimit të prodhuara në territorin e Kosovës </w:t>
            </w:r>
          </w:p>
        </w:tc>
      </w:tr>
      <w:tr w:rsidR="00351CE9" w:rsidRPr="00831C2D" w14:paraId="7F330374" w14:textId="77777777" w:rsidTr="00C217B2">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225F7877" w14:textId="77777777" w:rsidR="00351CE9" w:rsidRPr="00831C2D" w:rsidRDefault="00351CE9" w:rsidP="001E3F71">
            <w:pPr>
              <w:spacing w:before="60" w:after="60" w:line="260" w:lineRule="atLeast"/>
              <w:jc w:val="both"/>
              <w:rPr>
                <w:rFonts w:ascii="Arial" w:hAnsi="Arial" w:cs="Arial"/>
                <w:bCs/>
                <w:sz w:val="20"/>
                <w:szCs w:val="20"/>
              </w:rPr>
            </w:pPr>
            <w:r>
              <w:rPr>
                <w:rFonts w:ascii="Arial" w:hAnsi="Arial"/>
                <w:sz w:val="20"/>
              </w:rPr>
              <w:t>Sektori</w:t>
            </w:r>
          </w:p>
        </w:tc>
        <w:tc>
          <w:tcPr>
            <w:tcW w:w="2994" w:type="pct"/>
            <w:tcBorders>
              <w:top w:val="single" w:sz="4" w:space="0" w:color="auto"/>
              <w:left w:val="single" w:sz="4" w:space="0" w:color="auto"/>
              <w:bottom w:val="single" w:sz="4" w:space="0" w:color="auto"/>
              <w:right w:val="single" w:sz="4" w:space="0" w:color="auto"/>
            </w:tcBorders>
            <w:vAlign w:val="center"/>
          </w:tcPr>
          <w:p w14:paraId="439D28CC" w14:textId="77777777" w:rsidR="00351CE9" w:rsidRPr="00831C2D" w:rsidRDefault="00351CE9" w:rsidP="001E3F71">
            <w:pPr>
              <w:spacing w:before="60" w:after="60" w:line="260" w:lineRule="atLeast"/>
              <w:jc w:val="both"/>
              <w:rPr>
                <w:rFonts w:ascii="Arial" w:hAnsi="Arial" w:cs="Arial"/>
                <w:sz w:val="20"/>
                <w:szCs w:val="20"/>
              </w:rPr>
            </w:pPr>
            <w:r>
              <w:rPr>
                <w:rFonts w:ascii="Arial" w:hAnsi="Arial"/>
                <w:sz w:val="20"/>
              </w:rPr>
              <w:t>Mjedisi</w:t>
            </w:r>
          </w:p>
        </w:tc>
      </w:tr>
      <w:tr w:rsidR="00351CE9" w:rsidRPr="00831C2D" w14:paraId="40C29131" w14:textId="77777777" w:rsidTr="00C217B2">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6318882D" w14:textId="1B0913C6" w:rsidR="00351CE9" w:rsidRPr="00831C2D" w:rsidRDefault="00716571" w:rsidP="00716571">
            <w:pPr>
              <w:spacing w:before="60" w:after="60" w:line="260" w:lineRule="atLeast"/>
              <w:jc w:val="both"/>
              <w:rPr>
                <w:rFonts w:ascii="Arial" w:hAnsi="Arial" w:cs="Arial"/>
                <w:bCs/>
                <w:sz w:val="20"/>
                <w:szCs w:val="20"/>
              </w:rPr>
            </w:pPr>
            <w:r>
              <w:rPr>
                <w:rFonts w:ascii="Arial" w:hAnsi="Arial"/>
                <w:sz w:val="20"/>
              </w:rPr>
              <w:t>Nënsektori</w:t>
            </w:r>
          </w:p>
        </w:tc>
        <w:tc>
          <w:tcPr>
            <w:tcW w:w="2994" w:type="pct"/>
            <w:tcBorders>
              <w:top w:val="single" w:sz="4" w:space="0" w:color="auto"/>
              <w:left w:val="single" w:sz="4" w:space="0" w:color="auto"/>
              <w:bottom w:val="single" w:sz="4" w:space="0" w:color="auto"/>
              <w:right w:val="single" w:sz="4" w:space="0" w:color="auto"/>
            </w:tcBorders>
            <w:vAlign w:val="center"/>
          </w:tcPr>
          <w:p w14:paraId="3F2D1D1C" w14:textId="7D26588F" w:rsidR="00351CE9" w:rsidRPr="00831C2D" w:rsidRDefault="002C2802" w:rsidP="001E3F71">
            <w:pPr>
              <w:spacing w:after="0" w:line="240" w:lineRule="auto"/>
              <w:jc w:val="both"/>
              <w:rPr>
                <w:rFonts w:ascii="Arial" w:hAnsi="Arial" w:cs="Arial"/>
                <w:sz w:val="20"/>
                <w:szCs w:val="20"/>
              </w:rPr>
            </w:pPr>
            <w:r>
              <w:rPr>
                <w:rFonts w:ascii="Arial" w:hAnsi="Arial"/>
                <w:sz w:val="20"/>
              </w:rPr>
              <w:t>Objektet e përpunimit për klasifikimin dhe riciklimin e mbeturinave</w:t>
            </w:r>
          </w:p>
        </w:tc>
      </w:tr>
      <w:tr w:rsidR="00351CE9" w:rsidRPr="00831C2D" w14:paraId="60F95A54" w14:textId="77777777" w:rsidTr="00C217B2">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0348CC5D" w14:textId="77777777" w:rsidR="00351CE9" w:rsidRPr="00831C2D" w:rsidRDefault="00351CE9" w:rsidP="001E3F71">
            <w:pPr>
              <w:spacing w:before="60" w:after="60" w:line="260" w:lineRule="atLeast"/>
              <w:jc w:val="both"/>
              <w:rPr>
                <w:rFonts w:ascii="Arial" w:hAnsi="Arial" w:cs="Arial"/>
                <w:bCs/>
                <w:sz w:val="20"/>
                <w:szCs w:val="20"/>
              </w:rPr>
            </w:pPr>
            <w:r>
              <w:rPr>
                <w:rFonts w:ascii="Arial" w:hAnsi="Arial"/>
                <w:sz w:val="20"/>
              </w:rPr>
              <w:t>Përfituesi/propozuesi kryesor i projektit:</w:t>
            </w:r>
          </w:p>
        </w:tc>
        <w:tc>
          <w:tcPr>
            <w:tcW w:w="2994" w:type="pct"/>
            <w:tcBorders>
              <w:top w:val="single" w:sz="4" w:space="0" w:color="auto"/>
              <w:left w:val="single" w:sz="4" w:space="0" w:color="auto"/>
              <w:bottom w:val="single" w:sz="4" w:space="0" w:color="auto"/>
              <w:right w:val="single" w:sz="4" w:space="0" w:color="auto"/>
            </w:tcBorders>
            <w:vAlign w:val="center"/>
          </w:tcPr>
          <w:p w14:paraId="2CC696C9" w14:textId="606F7D61" w:rsidR="00EB4B79" w:rsidRPr="00831C2D" w:rsidRDefault="00EB4B79" w:rsidP="001E3F71">
            <w:pPr>
              <w:spacing w:before="60" w:after="60" w:line="260" w:lineRule="atLeast"/>
              <w:jc w:val="both"/>
              <w:rPr>
                <w:rFonts w:ascii="Arial" w:hAnsi="Arial" w:cs="Arial"/>
                <w:sz w:val="20"/>
                <w:szCs w:val="20"/>
              </w:rPr>
            </w:pPr>
            <w:r>
              <w:rPr>
                <w:rFonts w:ascii="Arial" w:hAnsi="Arial"/>
                <w:sz w:val="20"/>
              </w:rPr>
              <w:t>Përfituesit kryesorë: Ministria e Mjedisit, Planifikimit Hapësinor dhe Infrastrukturës (MMPHI)</w:t>
            </w:r>
          </w:p>
          <w:p w14:paraId="6BA98251" w14:textId="3B79D91D" w:rsidR="00351CE9" w:rsidRPr="00831C2D" w:rsidRDefault="00EB4B79" w:rsidP="001E3F71">
            <w:pPr>
              <w:spacing w:before="60" w:after="60" w:line="260" w:lineRule="atLeast"/>
              <w:jc w:val="both"/>
              <w:rPr>
                <w:rFonts w:ascii="Arial" w:hAnsi="Arial" w:cs="Arial"/>
                <w:sz w:val="20"/>
                <w:szCs w:val="20"/>
              </w:rPr>
            </w:pPr>
            <w:r>
              <w:rPr>
                <w:rFonts w:ascii="Arial" w:hAnsi="Arial"/>
                <w:sz w:val="20"/>
              </w:rPr>
              <w:t>Ministria e Ekonomisë (ME), komuna</w:t>
            </w:r>
          </w:p>
        </w:tc>
      </w:tr>
      <w:tr w:rsidR="00351CE9" w:rsidRPr="00831C2D" w14:paraId="51BA3914" w14:textId="77777777" w:rsidTr="00C217B2">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1CDCD21C" w14:textId="77777777" w:rsidR="00351CE9" w:rsidRPr="00831C2D" w:rsidRDefault="00351CE9" w:rsidP="001E3F71">
            <w:pPr>
              <w:spacing w:before="60" w:after="60" w:line="260" w:lineRule="atLeast"/>
              <w:jc w:val="both"/>
              <w:rPr>
                <w:rFonts w:ascii="Arial" w:hAnsi="Arial" w:cs="Arial"/>
                <w:bCs/>
                <w:sz w:val="20"/>
                <w:szCs w:val="20"/>
              </w:rPr>
            </w:pPr>
            <w:r>
              <w:rPr>
                <w:rFonts w:ascii="Arial" w:hAnsi="Arial"/>
                <w:sz w:val="20"/>
              </w:rPr>
              <w:t>Institucioni që është autor i propozimit të projektit</w:t>
            </w:r>
          </w:p>
        </w:tc>
        <w:tc>
          <w:tcPr>
            <w:tcW w:w="2994" w:type="pct"/>
            <w:tcBorders>
              <w:top w:val="single" w:sz="4" w:space="0" w:color="auto"/>
              <w:left w:val="single" w:sz="4" w:space="0" w:color="auto"/>
              <w:bottom w:val="single" w:sz="4" w:space="0" w:color="auto"/>
              <w:right w:val="single" w:sz="4" w:space="0" w:color="auto"/>
            </w:tcBorders>
            <w:vAlign w:val="center"/>
          </w:tcPr>
          <w:p w14:paraId="5E75368A" w14:textId="410F7874" w:rsidR="00351CE9" w:rsidRPr="00831C2D" w:rsidRDefault="00750567" w:rsidP="00831C2D">
            <w:pPr>
              <w:spacing w:before="60" w:after="60" w:line="260" w:lineRule="atLeast"/>
              <w:jc w:val="both"/>
              <w:rPr>
                <w:rFonts w:ascii="Arial" w:hAnsi="Arial" w:cs="Arial"/>
                <w:sz w:val="20"/>
                <w:szCs w:val="20"/>
              </w:rPr>
            </w:pPr>
            <w:r>
              <w:rPr>
                <w:rFonts w:ascii="Arial" w:hAnsi="Arial"/>
                <w:sz w:val="20"/>
              </w:rPr>
              <w:t>MMPHI</w:t>
            </w:r>
          </w:p>
        </w:tc>
      </w:tr>
      <w:tr w:rsidR="00351CE9" w:rsidRPr="00831C2D" w14:paraId="1DB9652C" w14:textId="77777777" w:rsidTr="00C217B2">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702C9226" w14:textId="77777777" w:rsidR="00351CE9" w:rsidRPr="00831C2D" w:rsidRDefault="00351CE9" w:rsidP="001E3F71">
            <w:pPr>
              <w:spacing w:before="60" w:after="60" w:line="260" w:lineRule="atLeast"/>
              <w:jc w:val="both"/>
              <w:rPr>
                <w:rFonts w:ascii="Arial" w:hAnsi="Arial" w:cs="Arial"/>
                <w:bCs/>
                <w:sz w:val="20"/>
                <w:szCs w:val="20"/>
              </w:rPr>
            </w:pPr>
            <w:r>
              <w:rPr>
                <w:rFonts w:ascii="Arial" w:hAnsi="Arial"/>
                <w:sz w:val="20"/>
              </w:rPr>
              <w:t>Vendndodhja/Harta</w:t>
            </w:r>
          </w:p>
        </w:tc>
        <w:tc>
          <w:tcPr>
            <w:tcW w:w="2994" w:type="pct"/>
            <w:tcBorders>
              <w:top w:val="single" w:sz="4" w:space="0" w:color="auto"/>
              <w:left w:val="single" w:sz="4" w:space="0" w:color="auto"/>
              <w:bottom w:val="single" w:sz="4" w:space="0" w:color="auto"/>
              <w:right w:val="single" w:sz="4" w:space="0" w:color="auto"/>
            </w:tcBorders>
            <w:vAlign w:val="center"/>
          </w:tcPr>
          <w:p w14:paraId="78EFAC7E" w14:textId="77777777" w:rsidR="00351CE9" w:rsidRPr="00831C2D" w:rsidRDefault="00351CE9" w:rsidP="001E3F71">
            <w:pPr>
              <w:spacing w:before="60" w:after="60" w:line="260" w:lineRule="atLeast"/>
              <w:jc w:val="both"/>
              <w:rPr>
                <w:rFonts w:ascii="Arial" w:hAnsi="Arial" w:cs="Arial"/>
                <w:sz w:val="20"/>
                <w:szCs w:val="20"/>
              </w:rPr>
            </w:pPr>
            <w:r>
              <w:rPr>
                <w:rFonts w:ascii="Arial" w:hAnsi="Arial"/>
                <w:sz w:val="20"/>
              </w:rPr>
              <w:t>Territori administrativ i komunave</w:t>
            </w:r>
          </w:p>
        </w:tc>
      </w:tr>
      <w:tr w:rsidR="00351CE9" w:rsidRPr="00831C2D" w14:paraId="44596DFF" w14:textId="77777777" w:rsidTr="00C217B2">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6C6B0526" w14:textId="77777777" w:rsidR="00351CE9" w:rsidRPr="00831C2D" w:rsidRDefault="00351CE9" w:rsidP="001E3F71">
            <w:pPr>
              <w:spacing w:before="60" w:after="60" w:line="260" w:lineRule="atLeast"/>
              <w:jc w:val="both"/>
              <w:rPr>
                <w:rFonts w:ascii="Arial" w:hAnsi="Arial" w:cs="Arial"/>
                <w:bCs/>
                <w:sz w:val="20"/>
                <w:szCs w:val="20"/>
              </w:rPr>
            </w:pPr>
            <w:r>
              <w:rPr>
                <w:rFonts w:ascii="Arial" w:hAnsi="Arial"/>
                <w:sz w:val="20"/>
              </w:rPr>
              <w:t>Investimi total i parashikuar:</w:t>
            </w:r>
          </w:p>
          <w:p w14:paraId="60B17D89" w14:textId="77777777" w:rsidR="00351CE9" w:rsidRPr="00831C2D" w:rsidRDefault="00351CE9" w:rsidP="001E3F71">
            <w:pPr>
              <w:numPr>
                <w:ilvl w:val="0"/>
                <w:numId w:val="1"/>
              </w:numPr>
              <w:spacing w:before="60" w:after="60" w:line="260" w:lineRule="atLeast"/>
              <w:ind w:left="223" w:hanging="223"/>
              <w:jc w:val="both"/>
              <w:rPr>
                <w:rFonts w:ascii="Arial" w:hAnsi="Arial" w:cs="Arial"/>
                <w:bCs/>
                <w:sz w:val="20"/>
                <w:szCs w:val="20"/>
              </w:rPr>
            </w:pPr>
            <w:r>
              <w:rPr>
                <w:rFonts w:ascii="Arial" w:hAnsi="Arial"/>
                <w:sz w:val="20"/>
              </w:rPr>
              <w:t xml:space="preserve">Aktivitetet përgatitore (dokumentacioni planifikues, dokumentacioni teknik, marrja e tokës etj.) </w:t>
            </w:r>
          </w:p>
          <w:p w14:paraId="1429DEFE" w14:textId="77777777" w:rsidR="00351CE9" w:rsidRPr="00831C2D" w:rsidRDefault="00351CE9" w:rsidP="001E3F71">
            <w:pPr>
              <w:numPr>
                <w:ilvl w:val="0"/>
                <w:numId w:val="1"/>
              </w:numPr>
              <w:spacing w:before="60" w:after="60" w:line="260" w:lineRule="atLeast"/>
              <w:ind w:left="223" w:hanging="223"/>
              <w:jc w:val="both"/>
              <w:rPr>
                <w:rFonts w:ascii="Arial" w:hAnsi="Arial" w:cs="Arial"/>
                <w:bCs/>
                <w:sz w:val="20"/>
                <w:szCs w:val="20"/>
              </w:rPr>
            </w:pPr>
            <w:r>
              <w:rPr>
                <w:rFonts w:ascii="Arial" w:hAnsi="Arial"/>
                <w:sz w:val="20"/>
              </w:rPr>
              <w:t>Punimet ndërtimore</w:t>
            </w:r>
          </w:p>
          <w:p w14:paraId="255C712B" w14:textId="77777777" w:rsidR="00351CE9" w:rsidRPr="00831C2D" w:rsidRDefault="00351CE9" w:rsidP="001E3F71">
            <w:pPr>
              <w:numPr>
                <w:ilvl w:val="0"/>
                <w:numId w:val="1"/>
              </w:numPr>
              <w:spacing w:before="60" w:after="60" w:line="260" w:lineRule="atLeast"/>
              <w:ind w:left="223" w:hanging="223"/>
              <w:jc w:val="both"/>
              <w:rPr>
                <w:rFonts w:ascii="Arial" w:hAnsi="Arial" w:cs="Arial"/>
                <w:bCs/>
                <w:sz w:val="20"/>
                <w:szCs w:val="20"/>
              </w:rPr>
            </w:pPr>
            <w:r>
              <w:rPr>
                <w:rFonts w:ascii="Arial" w:hAnsi="Arial"/>
                <w:sz w:val="20"/>
              </w:rPr>
              <w:t xml:space="preserve">Mbikëqyrja </w:t>
            </w:r>
          </w:p>
        </w:tc>
        <w:tc>
          <w:tcPr>
            <w:tcW w:w="2994" w:type="pct"/>
            <w:tcBorders>
              <w:top w:val="single" w:sz="4" w:space="0" w:color="auto"/>
              <w:left w:val="single" w:sz="4" w:space="0" w:color="auto"/>
              <w:bottom w:val="single" w:sz="4" w:space="0" w:color="auto"/>
              <w:right w:val="single" w:sz="4" w:space="0" w:color="auto"/>
            </w:tcBorders>
            <w:vAlign w:val="center"/>
          </w:tcPr>
          <w:p w14:paraId="6715D49A" w14:textId="77777777" w:rsidR="00EC1C0F" w:rsidRPr="002A446F" w:rsidRDefault="00EC1C0F" w:rsidP="00EC1C0F">
            <w:pPr>
              <w:spacing w:before="60" w:after="60" w:line="260" w:lineRule="atLeast"/>
              <w:jc w:val="both"/>
              <w:rPr>
                <w:rFonts w:ascii="Arial" w:hAnsi="Arial" w:cs="Arial"/>
                <w:sz w:val="20"/>
                <w:szCs w:val="20"/>
              </w:rPr>
            </w:pPr>
            <w:r>
              <w:rPr>
                <w:rFonts w:ascii="Arial" w:hAnsi="Arial"/>
                <w:sz w:val="20"/>
              </w:rPr>
              <w:t>Kosto totale e parashikur për investim: 41,400,000 EUR</w:t>
            </w:r>
            <w:r>
              <w:rPr>
                <w:rFonts w:ascii="Arial" w:hAnsi="Arial"/>
                <w:sz w:val="20"/>
              </w:rPr>
              <w:br/>
            </w:r>
          </w:p>
          <w:p w14:paraId="4B89F4C8" w14:textId="77777777" w:rsidR="00EC1C0F" w:rsidRPr="00831C2D" w:rsidRDefault="00EC1C0F" w:rsidP="00EC1C0F">
            <w:pPr>
              <w:spacing w:before="60" w:after="60" w:line="260" w:lineRule="atLeast"/>
              <w:jc w:val="both"/>
              <w:rPr>
                <w:rFonts w:ascii="Arial" w:hAnsi="Arial" w:cs="Arial"/>
                <w:bCs/>
                <w:sz w:val="20"/>
                <w:szCs w:val="20"/>
              </w:rPr>
            </w:pPr>
            <w:r>
              <w:rPr>
                <w:rFonts w:ascii="Arial" w:hAnsi="Arial"/>
                <w:sz w:val="20"/>
              </w:rPr>
              <w:t>Aktivitetet përgatitore 3,990,000 EUR</w:t>
            </w:r>
          </w:p>
          <w:p w14:paraId="06807886" w14:textId="77777777" w:rsidR="00EC1C0F" w:rsidRPr="00831C2D" w:rsidRDefault="00EC1C0F" w:rsidP="00EC1C0F">
            <w:pPr>
              <w:spacing w:before="60" w:after="60" w:line="260" w:lineRule="atLeast"/>
              <w:jc w:val="both"/>
              <w:rPr>
                <w:rFonts w:ascii="Arial" w:hAnsi="Arial" w:cs="Arial"/>
                <w:bCs/>
                <w:sz w:val="20"/>
                <w:szCs w:val="20"/>
              </w:rPr>
            </w:pPr>
            <w:r>
              <w:rPr>
                <w:rFonts w:ascii="Arial" w:hAnsi="Arial"/>
                <w:sz w:val="20"/>
              </w:rPr>
              <w:t>Punimet ndërtimore: 35,700,000 EUR</w:t>
            </w:r>
          </w:p>
          <w:p w14:paraId="1639D97E" w14:textId="4AFC398E" w:rsidR="00351CE9" w:rsidRPr="00831C2D" w:rsidRDefault="00EC1C0F" w:rsidP="001E3F71">
            <w:pPr>
              <w:spacing w:before="60" w:after="60" w:line="260" w:lineRule="atLeast"/>
              <w:jc w:val="both"/>
              <w:rPr>
                <w:rFonts w:ascii="Arial" w:hAnsi="Arial" w:cs="Arial"/>
                <w:bCs/>
                <w:sz w:val="20"/>
                <w:szCs w:val="20"/>
              </w:rPr>
            </w:pPr>
            <w:r>
              <w:rPr>
                <w:rFonts w:ascii="Arial" w:hAnsi="Arial"/>
                <w:sz w:val="20"/>
              </w:rPr>
              <w:t>Mbikëqyrja: 1,710,000 EUR</w:t>
            </w:r>
          </w:p>
        </w:tc>
      </w:tr>
      <w:tr w:rsidR="0064415E" w:rsidRPr="00831C2D" w14:paraId="3E95F8FD" w14:textId="77777777" w:rsidTr="00ED498A">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35DDA475" w14:textId="77777777" w:rsidR="0064415E" w:rsidRPr="00831C2D" w:rsidRDefault="0064415E" w:rsidP="0064415E">
            <w:pPr>
              <w:spacing w:before="60" w:after="60" w:line="260" w:lineRule="atLeast"/>
              <w:jc w:val="both"/>
              <w:rPr>
                <w:rFonts w:ascii="Arial" w:hAnsi="Arial" w:cs="Arial"/>
                <w:b/>
                <w:sz w:val="20"/>
                <w:szCs w:val="20"/>
              </w:rPr>
            </w:pPr>
            <w:r>
              <w:rPr>
                <w:rFonts w:ascii="Arial" w:hAnsi="Arial"/>
                <w:b/>
                <w:sz w:val="20"/>
              </w:rPr>
              <w:t>Personi përgjegjës ose i autorizuar për kontakt:</w:t>
            </w:r>
          </w:p>
        </w:tc>
        <w:tc>
          <w:tcPr>
            <w:tcW w:w="2994" w:type="pct"/>
            <w:tcBorders>
              <w:top w:val="single" w:sz="4" w:space="0" w:color="auto"/>
              <w:left w:val="single" w:sz="4" w:space="0" w:color="auto"/>
              <w:bottom w:val="single" w:sz="4" w:space="0" w:color="auto"/>
              <w:right w:val="single" w:sz="4" w:space="0" w:color="auto"/>
            </w:tcBorders>
            <w:vAlign w:val="center"/>
          </w:tcPr>
          <w:p w14:paraId="12FAE7A9" w14:textId="014C9711" w:rsidR="0064415E" w:rsidRPr="00831C2D" w:rsidRDefault="002A446F" w:rsidP="0064415E">
            <w:pPr>
              <w:spacing w:before="60" w:after="60" w:line="260" w:lineRule="atLeast"/>
              <w:jc w:val="both"/>
              <w:rPr>
                <w:rFonts w:ascii="Arial" w:hAnsi="Arial" w:cs="Arial"/>
                <w:sz w:val="20"/>
                <w:szCs w:val="20"/>
              </w:rPr>
            </w:pPr>
            <w:r>
              <w:rPr>
                <w:rFonts w:ascii="Arial" w:hAnsi="Arial"/>
                <w:sz w:val="20"/>
              </w:rPr>
              <w:t xml:space="preserve">Abdullah Pirçe, </w:t>
            </w:r>
            <w:r>
              <w:rPr>
                <w:rFonts w:ascii="Arial" w:hAnsi="Arial"/>
                <w:color w:val="000000"/>
                <w:sz w:val="20"/>
              </w:rPr>
              <w:t xml:space="preserve">Florije Tahiri, </w:t>
            </w:r>
            <w:r>
              <w:rPr>
                <w:rFonts w:ascii="Arial" w:hAnsi="Arial"/>
                <w:sz w:val="20"/>
              </w:rPr>
              <w:t>Valon Prebreza</w:t>
            </w:r>
          </w:p>
        </w:tc>
      </w:tr>
      <w:tr w:rsidR="0064415E" w:rsidRPr="00831C2D" w14:paraId="161F6AD0" w14:textId="77777777" w:rsidTr="00C217B2">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1A7DDD66" w14:textId="77777777" w:rsidR="0064415E" w:rsidRPr="00831C2D" w:rsidRDefault="0064415E" w:rsidP="0064415E">
            <w:pPr>
              <w:spacing w:before="60" w:after="60" w:line="260" w:lineRule="atLeast"/>
              <w:jc w:val="both"/>
              <w:rPr>
                <w:rFonts w:ascii="Arial" w:hAnsi="Arial" w:cs="Arial"/>
                <w:bCs/>
                <w:sz w:val="20"/>
                <w:szCs w:val="20"/>
              </w:rPr>
            </w:pPr>
            <w:r>
              <w:rPr>
                <w:rFonts w:ascii="Arial" w:hAnsi="Arial"/>
                <w:sz w:val="20"/>
              </w:rPr>
              <w:t>Emri – Pozita:</w:t>
            </w:r>
          </w:p>
        </w:tc>
        <w:tc>
          <w:tcPr>
            <w:tcW w:w="2994" w:type="pct"/>
            <w:tcBorders>
              <w:top w:val="single" w:sz="4" w:space="0" w:color="auto"/>
              <w:left w:val="single" w:sz="4" w:space="0" w:color="auto"/>
              <w:bottom w:val="single" w:sz="4" w:space="0" w:color="auto"/>
              <w:right w:val="single" w:sz="4" w:space="0" w:color="auto"/>
            </w:tcBorders>
            <w:vAlign w:val="center"/>
          </w:tcPr>
          <w:p w14:paraId="152887C9" w14:textId="3C2955A6" w:rsidR="003B3ACD" w:rsidRPr="00E57846" w:rsidRDefault="00C21A03" w:rsidP="003B3ACD">
            <w:pPr>
              <w:pStyle w:val="NormalWeb"/>
              <w:spacing w:before="60" w:beforeAutospacing="0" w:after="60" w:afterAutospacing="0"/>
              <w:jc w:val="both"/>
              <w:rPr>
                <w:rFonts w:ascii="Arial" w:hAnsi="Arial" w:cs="Arial"/>
                <w:color w:val="000000"/>
                <w:sz w:val="20"/>
                <w:szCs w:val="20"/>
              </w:rPr>
            </w:pPr>
            <w:r>
              <w:rPr>
                <w:rFonts w:ascii="Arial" w:hAnsi="Arial"/>
                <w:sz w:val="20"/>
              </w:rPr>
              <w:t>Abdullah Pirçe, Zëvendës Drejtor i Departamentit për Mjedisin dhe Mbrojtjen e Ujërave</w:t>
            </w:r>
            <w:r>
              <w:rPr>
                <w:rFonts w:ascii="Arial" w:hAnsi="Arial"/>
                <w:color w:val="000000"/>
                <w:sz w:val="20"/>
              </w:rPr>
              <w:t>, Ministria e Mjedisit, Planifikimit Hapësinor dhe Infrastrukturës</w:t>
            </w:r>
          </w:p>
          <w:p w14:paraId="4EEDF16D" w14:textId="77777777" w:rsidR="003B3ACD" w:rsidRPr="00E57846" w:rsidRDefault="003B3ACD" w:rsidP="003B3ACD">
            <w:pPr>
              <w:pStyle w:val="NormalWeb"/>
              <w:spacing w:before="60" w:beforeAutospacing="0" w:after="60" w:afterAutospacing="0"/>
              <w:jc w:val="both"/>
              <w:rPr>
                <w:rFonts w:ascii="Arial" w:hAnsi="Arial" w:cs="Arial"/>
                <w:color w:val="000000"/>
                <w:sz w:val="20"/>
                <w:szCs w:val="20"/>
                <w:lang w:val="en-GB"/>
              </w:rPr>
            </w:pPr>
          </w:p>
          <w:p w14:paraId="1953C069" w14:textId="7F13A4A9" w:rsidR="003B3ACD" w:rsidRPr="00E57846" w:rsidRDefault="00C21A03" w:rsidP="003B3ACD">
            <w:pPr>
              <w:pStyle w:val="NormalWeb"/>
              <w:spacing w:before="60" w:beforeAutospacing="0" w:after="60" w:afterAutospacing="0"/>
              <w:jc w:val="both"/>
              <w:rPr>
                <w:rFonts w:ascii="Arial" w:hAnsi="Arial" w:cs="Arial"/>
                <w:color w:val="000000"/>
                <w:sz w:val="20"/>
                <w:szCs w:val="20"/>
              </w:rPr>
            </w:pPr>
            <w:r>
              <w:rPr>
                <w:rFonts w:ascii="Arial" w:hAnsi="Arial"/>
                <w:color w:val="000000"/>
                <w:sz w:val="20"/>
              </w:rPr>
              <w:t xml:space="preserve">Florije Tahiri, Zëvendës Udhëheqëse e Divizionit për Mbeturina dhe Kimikate në Departamentin për Mjedis dhe Mbrojtjen e Ujërave, Ministria e Mjedisit, Planifikimit Hapësinor dhe Infrastrukturës </w:t>
            </w:r>
          </w:p>
          <w:p w14:paraId="3C2FF038" w14:textId="0BC98E61" w:rsidR="0064415E" w:rsidRPr="00831C2D" w:rsidRDefault="003B3ACD" w:rsidP="00C21A03">
            <w:pPr>
              <w:spacing w:before="60" w:after="60" w:line="260" w:lineRule="atLeast"/>
              <w:jc w:val="both"/>
              <w:rPr>
                <w:rFonts w:ascii="Arial" w:hAnsi="Arial" w:cs="Arial"/>
                <w:sz w:val="20"/>
                <w:szCs w:val="20"/>
              </w:rPr>
            </w:pPr>
            <w:r>
              <w:rPr>
                <w:rFonts w:ascii="Arial" w:hAnsi="Arial"/>
                <w:sz w:val="20"/>
              </w:rPr>
              <w:t>Valon Prebreza, Shef i Njësisë së Menaxhimit të Ndërmarrjeve Publike, Ministria e Ekonomisë</w:t>
            </w:r>
          </w:p>
        </w:tc>
      </w:tr>
      <w:tr w:rsidR="0064415E" w:rsidRPr="00831C2D" w14:paraId="706C5076" w14:textId="77777777" w:rsidTr="00C217B2">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4E517891" w14:textId="77777777" w:rsidR="0064415E" w:rsidRPr="00831C2D" w:rsidRDefault="0064415E" w:rsidP="0064415E">
            <w:pPr>
              <w:spacing w:before="60" w:after="60" w:line="260" w:lineRule="atLeast"/>
              <w:jc w:val="both"/>
              <w:rPr>
                <w:rFonts w:ascii="Arial" w:hAnsi="Arial" w:cs="Arial"/>
                <w:bCs/>
                <w:sz w:val="20"/>
                <w:szCs w:val="20"/>
              </w:rPr>
            </w:pPr>
            <w:r>
              <w:rPr>
                <w:rFonts w:ascii="Arial" w:hAnsi="Arial"/>
                <w:sz w:val="20"/>
              </w:rPr>
              <w:t>Adresa e emailit - Telefoni:</w:t>
            </w:r>
          </w:p>
        </w:tc>
        <w:tc>
          <w:tcPr>
            <w:tcW w:w="2994" w:type="pct"/>
            <w:tcBorders>
              <w:top w:val="single" w:sz="4" w:space="0" w:color="auto"/>
              <w:left w:val="single" w:sz="4" w:space="0" w:color="auto"/>
              <w:bottom w:val="single" w:sz="4" w:space="0" w:color="auto"/>
              <w:right w:val="single" w:sz="4" w:space="0" w:color="auto"/>
            </w:tcBorders>
            <w:vAlign w:val="center"/>
          </w:tcPr>
          <w:p w14:paraId="0A210B92" w14:textId="77777777" w:rsidR="003B3ACD" w:rsidRPr="00CB34DA" w:rsidRDefault="004707FA" w:rsidP="003B3ACD">
            <w:pPr>
              <w:spacing w:before="60" w:after="60"/>
              <w:rPr>
                <w:rFonts w:ascii="Arial" w:eastAsia="Times New Roman" w:hAnsi="Arial" w:cs="Arial"/>
                <w:sz w:val="20"/>
                <w:szCs w:val="20"/>
                <w:u w:val="single"/>
              </w:rPr>
            </w:pPr>
            <w:hyperlink r:id="rId7" w:history="1">
              <w:r w:rsidR="00C21A03">
                <w:rPr>
                  <w:rFonts w:ascii="Arial" w:hAnsi="Arial"/>
                  <w:sz w:val="20"/>
                  <w:u w:val="single"/>
                </w:rPr>
                <w:t>abdullah.pirce@rks-gov.net</w:t>
              </w:r>
            </w:hyperlink>
            <w:r w:rsidR="00C21A03">
              <w:rPr>
                <w:rFonts w:ascii="Arial" w:hAnsi="Arial"/>
                <w:sz w:val="20"/>
              </w:rPr>
              <w:t xml:space="preserve">  </w:t>
            </w:r>
            <w:r w:rsidR="00C21A03">
              <w:rPr>
                <w:rFonts w:ascii="Arial" w:hAnsi="Arial"/>
                <w:sz w:val="20"/>
                <w:u w:val="single"/>
              </w:rPr>
              <w:t xml:space="preserve"> +383(0) 38 200 74 078</w:t>
            </w:r>
          </w:p>
          <w:p w14:paraId="30C58B0D" w14:textId="77777777" w:rsidR="003B3ACD" w:rsidRPr="00CB34DA" w:rsidRDefault="004707FA" w:rsidP="003B3ACD">
            <w:pPr>
              <w:spacing w:before="60" w:after="60" w:line="260" w:lineRule="atLeast"/>
              <w:jc w:val="both"/>
              <w:rPr>
                <w:rFonts w:ascii="Arial" w:eastAsia="Times New Roman" w:hAnsi="Arial" w:cs="Arial"/>
                <w:sz w:val="20"/>
                <w:szCs w:val="20"/>
                <w:u w:val="single"/>
              </w:rPr>
            </w:pPr>
            <w:hyperlink r:id="rId8" w:history="1">
              <w:r w:rsidR="00C21A03">
                <w:rPr>
                  <w:rFonts w:ascii="Arial" w:hAnsi="Arial"/>
                  <w:sz w:val="20"/>
                  <w:u w:val="single"/>
                </w:rPr>
                <w:t>florije.tahiri@rks-gov.net</w:t>
              </w:r>
            </w:hyperlink>
            <w:r w:rsidR="00C21A03">
              <w:rPr>
                <w:rFonts w:ascii="Arial" w:hAnsi="Arial"/>
                <w:sz w:val="20"/>
                <w:u w:val="single"/>
              </w:rPr>
              <w:t xml:space="preserve">  +383(0) 38 200 74 072   </w:t>
            </w:r>
          </w:p>
          <w:p w14:paraId="43320165" w14:textId="25742F3E" w:rsidR="0064415E" w:rsidRPr="00831C2D" w:rsidRDefault="004707FA" w:rsidP="003B3ACD">
            <w:pPr>
              <w:spacing w:before="60" w:after="60" w:line="260" w:lineRule="atLeast"/>
              <w:jc w:val="both"/>
              <w:rPr>
                <w:rFonts w:ascii="Arial" w:hAnsi="Arial" w:cs="Arial"/>
                <w:sz w:val="20"/>
                <w:szCs w:val="20"/>
              </w:rPr>
            </w:pPr>
            <w:hyperlink r:id="rId9" w:history="1">
              <w:r w:rsidR="00C21A03">
                <w:rPr>
                  <w:rStyle w:val="Hyperlink"/>
                  <w:rFonts w:ascii="Arial" w:hAnsi="Arial"/>
                  <w:color w:val="auto"/>
                  <w:sz w:val="20"/>
                </w:rPr>
                <w:t>valon.prebreza@rks-gov.net</w:t>
              </w:r>
            </w:hyperlink>
            <w:r w:rsidR="00C21A03">
              <w:rPr>
                <w:rFonts w:ascii="Arial" w:hAnsi="Arial"/>
                <w:sz w:val="20"/>
              </w:rPr>
              <w:t>;  +381 44 559 951</w:t>
            </w:r>
          </w:p>
        </w:tc>
      </w:tr>
    </w:tbl>
    <w:p w14:paraId="6E3033F5" w14:textId="166403B7" w:rsidR="00351CE9" w:rsidRPr="00831C2D" w:rsidRDefault="00351CE9" w:rsidP="001E3F71">
      <w:pPr>
        <w:pStyle w:val="ListParagraph"/>
        <w:numPr>
          <w:ilvl w:val="0"/>
          <w:numId w:val="2"/>
        </w:numPr>
        <w:spacing w:before="200" w:after="120"/>
        <w:jc w:val="both"/>
        <w:rPr>
          <w:rFonts w:ascii="Arial" w:hAnsi="Arial" w:cs="Arial"/>
          <w:b/>
          <w:sz w:val="20"/>
          <w:szCs w:val="20"/>
        </w:rPr>
      </w:pPr>
      <w:bookmarkStart w:id="1" w:name="_Hlk106873156"/>
      <w:r>
        <w:rPr>
          <w:rFonts w:ascii="Arial" w:hAnsi="Arial"/>
          <w:b/>
          <w:sz w:val="20"/>
        </w:rPr>
        <w:t>PËRSHKRIMI I PROJEKTIT</w:t>
      </w:r>
    </w:p>
    <w:tbl>
      <w:tblPr>
        <w:tblW w:w="4947" w:type="pct"/>
        <w:tblInd w:w="108" w:type="dxa"/>
        <w:tblLook w:val="01E0" w:firstRow="1" w:lastRow="1" w:firstColumn="1" w:lastColumn="1" w:noHBand="0" w:noVBand="0"/>
      </w:tblPr>
      <w:tblGrid>
        <w:gridCol w:w="3233"/>
        <w:gridCol w:w="6018"/>
      </w:tblGrid>
      <w:tr w:rsidR="00351CE9" w:rsidRPr="00831C2D" w14:paraId="30D16870" w14:textId="77777777" w:rsidTr="00C217B2">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bookmarkEnd w:id="1"/>
          <w:p w14:paraId="4A463298" w14:textId="77777777" w:rsidR="00351CE9" w:rsidRPr="00831C2D" w:rsidRDefault="00351CE9" w:rsidP="001E3F71">
            <w:pPr>
              <w:spacing w:before="60" w:after="60" w:line="260" w:lineRule="atLeast"/>
              <w:jc w:val="both"/>
              <w:rPr>
                <w:rFonts w:ascii="Arial" w:hAnsi="Arial" w:cs="Arial"/>
                <w:bCs/>
                <w:sz w:val="20"/>
                <w:szCs w:val="20"/>
              </w:rPr>
            </w:pPr>
            <w:r>
              <w:rPr>
                <w:rFonts w:ascii="Arial" w:hAnsi="Arial"/>
                <w:sz w:val="20"/>
              </w:rPr>
              <w:t>Qëllimi i projektit infrastrukturor</w:t>
            </w:r>
          </w:p>
        </w:tc>
        <w:tc>
          <w:tcPr>
            <w:tcW w:w="2989" w:type="pct"/>
            <w:tcBorders>
              <w:top w:val="single" w:sz="4" w:space="0" w:color="auto"/>
              <w:left w:val="single" w:sz="4" w:space="0" w:color="auto"/>
              <w:bottom w:val="single" w:sz="4" w:space="0" w:color="auto"/>
              <w:right w:val="single" w:sz="4" w:space="0" w:color="auto"/>
            </w:tcBorders>
          </w:tcPr>
          <w:p w14:paraId="020FBCFA" w14:textId="15988619" w:rsidR="00351CE9" w:rsidRPr="00831C2D" w:rsidRDefault="00351CE9" w:rsidP="001E3F71">
            <w:pPr>
              <w:spacing w:before="60" w:after="60" w:line="260" w:lineRule="atLeast"/>
              <w:jc w:val="both"/>
              <w:rPr>
                <w:rFonts w:ascii="Arial" w:hAnsi="Arial" w:cs="Arial"/>
                <w:sz w:val="20"/>
                <w:szCs w:val="20"/>
              </w:rPr>
            </w:pPr>
            <w:r>
              <w:rPr>
                <w:rFonts w:ascii="Arial" w:hAnsi="Arial"/>
                <w:sz w:val="20"/>
              </w:rPr>
              <w:t xml:space="preserve">Shërbime më të mira për grumbullimin, klasifikimin, riciklimin dhe ripërdorimin e mbeturinave të ndërtimit dhe rrënimit (MNRr) nga ndërtesat do të ofrohen për rreth 815,000 njerëz në Kosovë, duke gjeneruar rreth 170,000 ton/vit të MNRr. Në përputhje me </w:t>
            </w:r>
            <w:r>
              <w:rPr>
                <w:rFonts w:ascii="Arial" w:hAnsi="Arial"/>
                <w:i/>
                <w:sz w:val="20"/>
              </w:rPr>
              <w:t>Strategjinë e Integruar të Menaxhimit të Mbeturinave (2021-2030)</w:t>
            </w:r>
            <w:r>
              <w:rPr>
                <w:rFonts w:ascii="Arial" w:hAnsi="Arial"/>
                <w:sz w:val="20"/>
              </w:rPr>
              <w:t xml:space="preserve">, </w:t>
            </w:r>
            <w:r>
              <w:rPr>
                <w:rFonts w:ascii="Arial" w:hAnsi="Arial"/>
                <w:sz w:val="20"/>
              </w:rPr>
              <w:lastRenderedPageBreak/>
              <w:t>ky investim do të ndihmonte në eliminimin e shumë prej 1,572 deponive me rreth 140,000 m</w:t>
            </w:r>
            <w:r>
              <w:rPr>
                <w:rFonts w:ascii="Arial" w:hAnsi="Arial"/>
                <w:sz w:val="20"/>
                <w:vertAlign w:val="superscript"/>
              </w:rPr>
              <w:t>3</w:t>
            </w:r>
            <w:r>
              <w:rPr>
                <w:rFonts w:ascii="Arial" w:hAnsi="Arial"/>
                <w:sz w:val="20"/>
              </w:rPr>
              <w:t xml:space="preserve"> të MNRr, duke pasur një ndikim të madh në mbrojtjen e mjedisit dhe shëndetit të njerëzve. </w:t>
            </w:r>
          </w:p>
        </w:tc>
      </w:tr>
      <w:tr w:rsidR="00351CE9" w:rsidRPr="00831C2D" w14:paraId="7928EBF2" w14:textId="77777777" w:rsidTr="00C217B2">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CA04B35" w14:textId="77777777" w:rsidR="00351CE9" w:rsidRPr="00831C2D" w:rsidRDefault="00351CE9" w:rsidP="00716571">
            <w:pPr>
              <w:spacing w:before="60" w:after="60" w:line="260" w:lineRule="atLeast"/>
              <w:rPr>
                <w:rFonts w:ascii="Arial" w:hAnsi="Arial" w:cs="Arial"/>
                <w:bCs/>
                <w:sz w:val="20"/>
                <w:szCs w:val="20"/>
              </w:rPr>
            </w:pPr>
            <w:r>
              <w:rPr>
                <w:rFonts w:ascii="Arial" w:hAnsi="Arial"/>
                <w:sz w:val="20"/>
              </w:rPr>
              <w:lastRenderedPageBreak/>
              <w:t>Rezultatet e projektit infrastrukturor</w:t>
            </w:r>
          </w:p>
        </w:tc>
        <w:tc>
          <w:tcPr>
            <w:tcW w:w="2989" w:type="pct"/>
            <w:tcBorders>
              <w:top w:val="single" w:sz="4" w:space="0" w:color="auto"/>
              <w:left w:val="single" w:sz="4" w:space="0" w:color="auto"/>
              <w:bottom w:val="single" w:sz="4" w:space="0" w:color="auto"/>
              <w:right w:val="single" w:sz="4" w:space="0" w:color="auto"/>
            </w:tcBorders>
          </w:tcPr>
          <w:p w14:paraId="5C721BC6" w14:textId="3B7C426C" w:rsidR="00351CE9" w:rsidRPr="00831C2D" w:rsidRDefault="00351CE9" w:rsidP="00727CA8">
            <w:pPr>
              <w:pStyle w:val="ListParagraph"/>
              <w:numPr>
                <w:ilvl w:val="0"/>
                <w:numId w:val="6"/>
              </w:numPr>
              <w:spacing w:before="60" w:after="60" w:line="260" w:lineRule="atLeast"/>
              <w:jc w:val="both"/>
              <w:rPr>
                <w:rFonts w:ascii="Arial" w:hAnsi="Arial" w:cs="Arial"/>
                <w:sz w:val="20"/>
                <w:szCs w:val="20"/>
              </w:rPr>
            </w:pPr>
            <w:r>
              <w:rPr>
                <w:rStyle w:val="hps"/>
                <w:rFonts w:ascii="Arial" w:hAnsi="Arial"/>
                <w:sz w:val="20"/>
              </w:rPr>
              <w:t>Zbatimi funksional i ligjit për mbeturinat dhe kontrolli i vendosur i fluksit të mbeturinave të ndërtimit dhe shkatërrimit.</w:t>
            </w:r>
          </w:p>
          <w:p w14:paraId="516E03D7" w14:textId="4625965F" w:rsidR="002A1453" w:rsidRPr="00831C2D" w:rsidRDefault="004261C1" w:rsidP="00727CA8">
            <w:pPr>
              <w:pStyle w:val="ListParagraph"/>
              <w:numPr>
                <w:ilvl w:val="0"/>
                <w:numId w:val="6"/>
              </w:numPr>
              <w:spacing w:before="60" w:after="60" w:line="260" w:lineRule="atLeast"/>
              <w:jc w:val="both"/>
              <w:rPr>
                <w:rStyle w:val="hps"/>
                <w:rFonts w:ascii="Arial" w:hAnsi="Arial" w:cs="Arial"/>
                <w:sz w:val="20"/>
                <w:szCs w:val="20"/>
              </w:rPr>
            </w:pPr>
            <w:r>
              <w:rPr>
                <w:rFonts w:ascii="Arial" w:hAnsi="Arial"/>
                <w:sz w:val="20"/>
              </w:rPr>
              <w:t xml:space="preserve">Përmirësimi i shërbimeve të menaxhimit të mbeturinave nëpërmjet vendosjes së shërbimeve të rregullta të grumbullimit dhe transportit </w:t>
            </w:r>
            <w:r>
              <w:rPr>
                <w:rStyle w:val="hps"/>
                <w:rFonts w:ascii="Arial" w:hAnsi="Arial"/>
                <w:sz w:val="20"/>
              </w:rPr>
              <w:t>dhe ndërtimit të infrastrukturave dhe objekteve për trajtimin e mbeturinave nga ndërtimi dhe prishja e objekteve.</w:t>
            </w:r>
          </w:p>
          <w:p w14:paraId="039A80EE" w14:textId="175D365D" w:rsidR="00156015" w:rsidRPr="00831C2D" w:rsidRDefault="00580EC1" w:rsidP="00727CA8">
            <w:pPr>
              <w:pStyle w:val="ListParagraph"/>
              <w:numPr>
                <w:ilvl w:val="0"/>
                <w:numId w:val="6"/>
              </w:numPr>
              <w:spacing w:before="60" w:after="60" w:line="260" w:lineRule="atLeast"/>
              <w:jc w:val="both"/>
              <w:rPr>
                <w:rFonts w:ascii="Arial" w:hAnsi="Arial" w:cs="Arial"/>
                <w:sz w:val="20"/>
                <w:szCs w:val="20"/>
              </w:rPr>
            </w:pPr>
            <w:r>
              <w:rPr>
                <w:rStyle w:val="hps"/>
                <w:rFonts w:ascii="Arial" w:hAnsi="Arial"/>
                <w:sz w:val="20"/>
              </w:rPr>
              <w:t>Promovimi i ekonomisë qarkore dhe qasjeve të menaxhimit të integruar të mbeturinave nëpërmjet ripërdorimit të materialit të ricikluar në sektorët industrialë që prodhojnë MNRr.</w:t>
            </w:r>
          </w:p>
          <w:p w14:paraId="45A6AFC9" w14:textId="2FF529ED" w:rsidR="00351CE9" w:rsidRPr="00831C2D" w:rsidRDefault="00A875B7" w:rsidP="00727CA8">
            <w:pPr>
              <w:pStyle w:val="ListParagraph"/>
              <w:numPr>
                <w:ilvl w:val="0"/>
                <w:numId w:val="6"/>
              </w:numPr>
              <w:spacing w:before="60" w:after="60" w:line="260" w:lineRule="atLeast"/>
              <w:jc w:val="both"/>
              <w:rPr>
                <w:rFonts w:ascii="Arial" w:hAnsi="Arial" w:cs="Arial"/>
                <w:sz w:val="20"/>
                <w:szCs w:val="20"/>
              </w:rPr>
            </w:pPr>
            <w:r>
              <w:rPr>
                <w:rFonts w:ascii="Arial" w:hAnsi="Arial"/>
                <w:sz w:val="20"/>
              </w:rPr>
              <w:t>M</w:t>
            </w:r>
            <w:r>
              <w:rPr>
                <w:rStyle w:val="hps"/>
                <w:rFonts w:ascii="Arial" w:hAnsi="Arial"/>
                <w:sz w:val="20"/>
              </w:rPr>
              <w:t>byllja dhe rehabilitimi i vend depozitave të paligjshme</w:t>
            </w:r>
            <w:r>
              <w:rPr>
                <w:rFonts w:ascii="Arial" w:hAnsi="Arial"/>
                <w:sz w:val="20"/>
              </w:rPr>
              <w:t xml:space="preserve"> </w:t>
            </w:r>
            <w:r>
              <w:rPr>
                <w:rStyle w:val="hps"/>
                <w:rFonts w:ascii="Arial" w:hAnsi="Arial"/>
                <w:sz w:val="20"/>
              </w:rPr>
              <w:t>dhe reduktimi i ndotjes nga MNRr.</w:t>
            </w:r>
          </w:p>
          <w:p w14:paraId="2A110F94" w14:textId="762CB571" w:rsidR="00351CE9" w:rsidRPr="00831C2D" w:rsidRDefault="00A875B7" w:rsidP="00727CA8">
            <w:pPr>
              <w:pStyle w:val="ListParagraph"/>
              <w:numPr>
                <w:ilvl w:val="0"/>
                <w:numId w:val="6"/>
              </w:numPr>
              <w:spacing w:before="60" w:after="60" w:line="260" w:lineRule="atLeast"/>
              <w:jc w:val="both"/>
              <w:rPr>
                <w:rStyle w:val="hps"/>
                <w:rFonts w:ascii="Arial" w:hAnsi="Arial" w:cs="Arial"/>
                <w:sz w:val="20"/>
                <w:szCs w:val="20"/>
              </w:rPr>
            </w:pPr>
            <w:r>
              <w:rPr>
                <w:rFonts w:ascii="Arial" w:hAnsi="Arial"/>
                <w:sz w:val="20"/>
              </w:rPr>
              <w:t>Krijimi i mundësive të reja</w:t>
            </w:r>
            <w:r>
              <w:rPr>
                <w:rStyle w:val="hps"/>
                <w:rFonts w:ascii="Arial" w:hAnsi="Arial"/>
                <w:sz w:val="20"/>
              </w:rPr>
              <w:t xml:space="preserve"> të punës dhe rritja e shkallës së punësimit që lidhet me zhvillimin e ekonomisë së gjelbër dhe shërbimet përkatëse të menaxhimit të MNRr.</w:t>
            </w:r>
          </w:p>
          <w:p w14:paraId="6B8F7283" w14:textId="47E1ADE6" w:rsidR="00351CE9" w:rsidRPr="00831C2D" w:rsidRDefault="004A461C" w:rsidP="00727CA8">
            <w:pPr>
              <w:pStyle w:val="ListParagraph"/>
              <w:numPr>
                <w:ilvl w:val="0"/>
                <w:numId w:val="6"/>
              </w:numPr>
              <w:spacing w:before="60" w:after="60" w:line="260" w:lineRule="atLeast"/>
              <w:jc w:val="both"/>
              <w:rPr>
                <w:rFonts w:ascii="Arial" w:hAnsi="Arial" w:cs="Arial"/>
                <w:sz w:val="20"/>
                <w:szCs w:val="20"/>
              </w:rPr>
            </w:pPr>
            <w:r>
              <w:rPr>
                <w:rStyle w:val="hps"/>
                <w:rFonts w:ascii="Arial" w:hAnsi="Arial"/>
                <w:sz w:val="20"/>
              </w:rPr>
              <w:t>Ndërgjegjësimi dhe inkurajimi</w:t>
            </w:r>
            <w:r>
              <w:rPr>
                <w:rFonts w:ascii="Arial" w:hAnsi="Arial"/>
                <w:sz w:val="20"/>
              </w:rPr>
              <w:t xml:space="preserve"> për ri</w:t>
            </w:r>
            <w:r>
              <w:rPr>
                <w:rStyle w:val="hps"/>
                <w:rFonts w:ascii="Arial" w:hAnsi="Arial"/>
                <w:sz w:val="20"/>
              </w:rPr>
              <w:t>përdorimin e materialeve të ndërtimit nga mbetjet.</w:t>
            </w:r>
          </w:p>
        </w:tc>
      </w:tr>
      <w:tr w:rsidR="00351CE9" w:rsidRPr="00831C2D" w14:paraId="64320D8B" w14:textId="77777777" w:rsidTr="00C217B2">
        <w:trPr>
          <w:trHeight w:val="2898"/>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1F09388" w14:textId="596A3A35" w:rsidR="00351CE9" w:rsidRPr="00831C2D" w:rsidRDefault="00CD07C7" w:rsidP="00CD07C7">
            <w:pPr>
              <w:spacing w:before="60" w:after="60" w:line="260" w:lineRule="atLeast"/>
              <w:jc w:val="both"/>
              <w:rPr>
                <w:rFonts w:ascii="Arial" w:hAnsi="Arial" w:cs="Arial"/>
                <w:bCs/>
                <w:sz w:val="20"/>
                <w:szCs w:val="20"/>
              </w:rPr>
            </w:pPr>
            <w:r>
              <w:rPr>
                <w:rFonts w:ascii="Arial" w:hAnsi="Arial"/>
                <w:sz w:val="20"/>
              </w:rPr>
              <w:t xml:space="preserve">Përshkrimi i përgjithshëm </w:t>
            </w:r>
          </w:p>
        </w:tc>
        <w:tc>
          <w:tcPr>
            <w:tcW w:w="2989" w:type="pct"/>
            <w:tcBorders>
              <w:top w:val="single" w:sz="4" w:space="0" w:color="auto"/>
              <w:left w:val="single" w:sz="4" w:space="0" w:color="auto"/>
              <w:bottom w:val="single" w:sz="4" w:space="0" w:color="auto"/>
              <w:right w:val="single" w:sz="4" w:space="0" w:color="auto"/>
            </w:tcBorders>
          </w:tcPr>
          <w:p w14:paraId="7040ADCD" w14:textId="6DFB59FC" w:rsidR="008A5D49" w:rsidRPr="00831C2D" w:rsidRDefault="00DA59DB" w:rsidP="001E3F71">
            <w:pPr>
              <w:spacing w:before="60" w:after="60" w:line="260" w:lineRule="atLeast"/>
              <w:jc w:val="both"/>
              <w:rPr>
                <w:rStyle w:val="hps"/>
                <w:rFonts w:ascii="Arial" w:hAnsi="Arial" w:cs="Arial"/>
                <w:sz w:val="20"/>
                <w:szCs w:val="20"/>
              </w:rPr>
            </w:pPr>
            <w:r>
              <w:rPr>
                <w:rStyle w:val="hps"/>
                <w:rFonts w:ascii="Arial" w:hAnsi="Arial"/>
                <w:sz w:val="20"/>
              </w:rPr>
              <w:t xml:space="preserve">Republika e Kosovës po përjeton një bum ndërtimor i cili ka rritur sasinë e mbeturinave që vijnë nga ndërtimi dhe rrënimi i objekteve banesore dhe objekteve të tjera. </w:t>
            </w:r>
          </w:p>
          <w:p w14:paraId="52961647" w14:textId="35EDB46F" w:rsidR="009E72FB" w:rsidRPr="00831C2D" w:rsidRDefault="00DA59DB" w:rsidP="001E3F71">
            <w:pPr>
              <w:spacing w:before="60" w:after="60" w:line="260" w:lineRule="atLeast"/>
              <w:jc w:val="both"/>
              <w:rPr>
                <w:rFonts w:ascii="Arial" w:hAnsi="Arial" w:cs="Arial"/>
                <w:sz w:val="20"/>
                <w:szCs w:val="20"/>
              </w:rPr>
            </w:pPr>
            <w:r>
              <w:rPr>
                <w:rStyle w:val="hps"/>
                <w:rFonts w:ascii="Arial" w:hAnsi="Arial"/>
                <w:sz w:val="20"/>
              </w:rPr>
              <w:t>Deponimi dhe grumbullimi i mbeturinave të ndërtimit dhe rrënimit (MNRr) në vende joadekuate e kanë përkeqësuar situatën në këtë sektor. Veçanërisht shqetësuese është deponimi i këtyre mbeturinave në tokat e punueshme dhe përgjatë lumenjve.</w:t>
            </w:r>
            <w:r>
              <w:rPr>
                <w:rFonts w:ascii="Arial" w:hAnsi="Arial"/>
                <w:sz w:val="20"/>
              </w:rPr>
              <w:t xml:space="preserve"> </w:t>
            </w:r>
          </w:p>
          <w:p w14:paraId="6A1C0B26" w14:textId="5EB80E55" w:rsidR="008A5D49" w:rsidRPr="00831C2D" w:rsidRDefault="005E3E42" w:rsidP="001E3F71">
            <w:pPr>
              <w:spacing w:before="60" w:after="60" w:line="260" w:lineRule="atLeast"/>
              <w:jc w:val="both"/>
              <w:rPr>
                <w:rFonts w:ascii="Arial" w:hAnsi="Arial" w:cs="Arial"/>
                <w:sz w:val="20"/>
                <w:szCs w:val="20"/>
              </w:rPr>
            </w:pPr>
            <w:r>
              <w:rPr>
                <w:rFonts w:ascii="Arial" w:hAnsi="Arial"/>
                <w:sz w:val="20"/>
              </w:rPr>
              <w:t xml:space="preserve">Kosova ka ligje në fuqi që kanë të bëjnë me MNRr, megjithatë ka mungesë të zbatimit plus komunave u mungojnë kapacitetet dhe financat për të zhvilluar lokacionet/rregulloret/procedurat lokale – kjo i përkeqëson problemet e hedhjes së paligjshme. </w:t>
            </w:r>
          </w:p>
          <w:p w14:paraId="181E7BD5" w14:textId="58F2C5AD" w:rsidR="005E3E42" w:rsidRPr="00831C2D" w:rsidRDefault="005E3E42" w:rsidP="001E3F71">
            <w:pPr>
              <w:spacing w:before="60" w:after="60" w:line="260" w:lineRule="atLeast"/>
              <w:jc w:val="both"/>
              <w:rPr>
                <w:rFonts w:ascii="Arial" w:hAnsi="Arial" w:cs="Arial"/>
                <w:color w:val="FF0000"/>
                <w:sz w:val="20"/>
                <w:szCs w:val="20"/>
              </w:rPr>
            </w:pPr>
            <w:r>
              <w:rPr>
                <w:rFonts w:ascii="Arial" w:hAnsi="Arial"/>
                <w:sz w:val="20"/>
              </w:rPr>
              <w:t xml:space="preserve">Ekziston një linjë investimi për ndërtimin e 6 objekteve për trajtimin e MNRr për 6 qendrat rajonale (Prishtinë, Prizren, Pejë, Gjakovë, Ferizaj dhe Gjilan). Përveç kësaj, ekziston një plan për ndërtimin e pikave lokale të grumbullimit të MNRr në çdo rajon të Kosovës. </w:t>
            </w:r>
          </w:p>
          <w:p w14:paraId="7D3C4C93" w14:textId="560AC166" w:rsidR="008A5D49" w:rsidRPr="00831C2D" w:rsidRDefault="008A5D49" w:rsidP="001E3F71">
            <w:pPr>
              <w:keepNext/>
              <w:spacing w:before="60" w:after="60" w:line="260" w:lineRule="atLeast"/>
              <w:jc w:val="both"/>
              <w:rPr>
                <w:rFonts w:ascii="Arial" w:hAnsi="Arial" w:cs="Arial"/>
                <w:sz w:val="20"/>
                <w:szCs w:val="20"/>
              </w:rPr>
            </w:pPr>
            <w:r>
              <w:rPr>
                <w:rFonts w:ascii="Arial" w:hAnsi="Arial"/>
                <w:sz w:val="20"/>
              </w:rPr>
              <w:t>Objektivi kryesor i këtij projekti është mbrojtja e mjedisit dhe shëndetit të njerëzve nga ndotja dhe efektet negative mjedisore që rrjedhin nga deponimi në deponi të ligjshme dhe të paligjshme të mbeturinave dhe materialeve të ndërtimit dhe shkatërrimit, duke ngritur objekte dhe pajisje në përputhje me standardet për menaxhimin e të gjitha mbeturinave, duke përfshirë mbetjet nga ndërtimi që do të krijohen nga procesi i dekomisionimit dhe prishjes së objekteve të TC Kosova A.</w:t>
            </w:r>
          </w:p>
          <w:p w14:paraId="0D5299A5" w14:textId="1EEC2B2B" w:rsidR="008A5D49" w:rsidRPr="00831C2D" w:rsidRDefault="008A5D49" w:rsidP="001E3F71">
            <w:pPr>
              <w:spacing w:before="60" w:after="60" w:line="260" w:lineRule="atLeast"/>
              <w:jc w:val="both"/>
              <w:rPr>
                <w:rFonts w:ascii="Arial" w:hAnsi="Arial" w:cs="Arial"/>
                <w:sz w:val="20"/>
                <w:szCs w:val="20"/>
              </w:rPr>
            </w:pPr>
            <w:r>
              <w:rPr>
                <w:rFonts w:ascii="Arial" w:hAnsi="Arial"/>
                <w:sz w:val="20"/>
              </w:rPr>
              <w:t xml:space="preserve">Aktivitetet për zbatimin e këtij projekti do të përqendrohen në ngritjen e kapaciteteve profesionale dhe kryesisht do të konsistojnë në përditësimin e raportit të vlerësimit dhe në forcimin e sistemit funksional të AMMK dhe MMPHI për mbledhjen dhe menaxhimin e të dhënave për mbeturinat nga ndërtimi dhe rrënimi (MNRr) të prodhuara në territorin e Republikës së Kosovës, në </w:t>
            </w:r>
            <w:r>
              <w:rPr>
                <w:rFonts w:ascii="Arial" w:hAnsi="Arial"/>
                <w:sz w:val="20"/>
              </w:rPr>
              <w:lastRenderedPageBreak/>
              <w:t>asistencën eventuale për autoritetet kompetente për përmirësimin, plotësimin dhe hartimin e legjislacionit mjedisor në fushën e MNRr, në përfundimin e studimeve eventuale të nevojshme të mëtejshme duke përfshirë një analizë paraprake mbi integrimin e mundshëm të këtyre me sistemet MNRr të vendeve fqinje, në hartimin e dokumentacionit teknik dhe projekteve paraprake, në përgatitjen e Dosjes së Tenderit për ndërtimin e objekteve të reja të ruajtjes, riciklimit dhe ripërdorimit të MNRr në komunat e synuara dhe furnizimin e pajisjeve përkatëse, në ndërtimin dhe mbikëqyrjen e punimeve dhe furnizimit me pajisje, në përgatitjen dhe trajnimin e stafit për funksionalizimin e objekteve dhe pajisjeve të furnizuara në finalizimin e fushatave ndërgjegjësuese të publikut për ri</w:t>
            </w:r>
            <w:r>
              <w:rPr>
                <w:rStyle w:val="hps"/>
                <w:rFonts w:ascii="Arial" w:hAnsi="Arial"/>
                <w:sz w:val="20"/>
              </w:rPr>
              <w:t>përdorimin e materialeve të ndërtimit nga mbetjet në tërë territorin e Kosovës.</w:t>
            </w:r>
          </w:p>
          <w:p w14:paraId="34DCF455" w14:textId="6540D33B" w:rsidR="008A5D49" w:rsidRPr="00831C2D" w:rsidRDefault="008A5D49" w:rsidP="001E3F71">
            <w:pPr>
              <w:spacing w:before="60" w:after="60" w:line="260" w:lineRule="atLeast"/>
              <w:jc w:val="both"/>
              <w:rPr>
                <w:rFonts w:ascii="Arial" w:hAnsi="Arial" w:cs="Arial"/>
                <w:sz w:val="20"/>
                <w:szCs w:val="20"/>
              </w:rPr>
            </w:pPr>
            <w:r>
              <w:rPr>
                <w:rFonts w:ascii="Arial" w:hAnsi="Arial"/>
                <w:sz w:val="20"/>
              </w:rPr>
              <w:t>Nga ky projekt Kosova do të përfitojë ndërtimin e objekteve, ngritjen e kapaciteteve njerëzore dhe menaxhimin e qëndrueshëm të mbeturinave nga ndërtimi dhe rrënimi, përvojën profesionale, mjedisin e pastër, si dhe do të bëhet në përputhje me standardet mjedisore në këtë fushë sipas legjislacionit aktual të BE-së.</w:t>
            </w:r>
          </w:p>
          <w:p w14:paraId="7558A28B" w14:textId="02F46AA2" w:rsidR="00DA59DB" w:rsidRPr="00831C2D" w:rsidRDefault="00DA59DB" w:rsidP="001E3F71">
            <w:pPr>
              <w:spacing w:before="60" w:after="60" w:line="260" w:lineRule="atLeast"/>
              <w:jc w:val="both"/>
              <w:rPr>
                <w:rStyle w:val="hps"/>
                <w:rFonts w:ascii="Arial" w:hAnsi="Arial" w:cs="Arial"/>
                <w:color w:val="FF0000"/>
                <w:sz w:val="20"/>
                <w:szCs w:val="20"/>
              </w:rPr>
            </w:pPr>
            <w:r>
              <w:rPr>
                <w:rStyle w:val="hps"/>
                <w:rFonts w:ascii="Arial" w:hAnsi="Arial"/>
                <w:sz w:val="20"/>
              </w:rPr>
              <w:t xml:space="preserve">Vlerësimi i përafërt i mbeturinave nga ndërtimi dhe rrënimi në Kosovë arrin në 170,000 t/vit. </w:t>
            </w:r>
          </w:p>
          <w:p w14:paraId="11D5AEDD" w14:textId="75AB876A" w:rsidR="009E72FB" w:rsidRPr="00831C2D" w:rsidRDefault="00351CE9" w:rsidP="001E3F71">
            <w:pPr>
              <w:spacing w:before="60" w:after="60" w:line="260" w:lineRule="atLeast"/>
              <w:jc w:val="both"/>
              <w:rPr>
                <w:rFonts w:ascii="Arial" w:hAnsi="Arial" w:cs="Arial"/>
                <w:sz w:val="20"/>
                <w:szCs w:val="20"/>
              </w:rPr>
            </w:pPr>
            <w:r>
              <w:rPr>
                <w:rStyle w:val="hps"/>
                <w:rFonts w:ascii="Arial" w:hAnsi="Arial"/>
                <w:sz w:val="20"/>
              </w:rPr>
              <w:t>Megjithëse vitet e fundit është vënë re një përparim i dukshëm</w:t>
            </w:r>
            <w:r>
              <w:rPr>
                <w:rFonts w:ascii="Arial" w:hAnsi="Arial"/>
                <w:sz w:val="20"/>
              </w:rPr>
              <w:t xml:space="preserve">, </w:t>
            </w:r>
            <w:r>
              <w:rPr>
                <w:rStyle w:val="hps"/>
                <w:rFonts w:ascii="Arial" w:hAnsi="Arial"/>
                <w:sz w:val="20"/>
              </w:rPr>
              <w:t>Kosova ende ka mangësi në menaxhimin e duhur të mbeturinave për të gjitha llojet e mbeturinave të ngurta</w:t>
            </w:r>
            <w:r>
              <w:rPr>
                <w:rFonts w:ascii="Arial" w:hAnsi="Arial"/>
                <w:sz w:val="20"/>
              </w:rPr>
              <w:t xml:space="preserve">: mbetjet </w:t>
            </w:r>
            <w:r>
              <w:rPr>
                <w:rStyle w:val="hps"/>
                <w:rFonts w:ascii="Arial" w:hAnsi="Arial"/>
                <w:sz w:val="20"/>
              </w:rPr>
              <w:t>shtëpiake, industriale</w:t>
            </w:r>
            <w:r>
              <w:rPr>
                <w:rFonts w:ascii="Arial" w:hAnsi="Arial"/>
                <w:sz w:val="20"/>
              </w:rPr>
              <w:t xml:space="preserve">, mjekësore </w:t>
            </w:r>
            <w:r>
              <w:rPr>
                <w:rStyle w:val="hps"/>
                <w:rFonts w:ascii="Arial" w:hAnsi="Arial"/>
                <w:sz w:val="20"/>
              </w:rPr>
              <w:t>dhe të rrezikshme</w:t>
            </w:r>
            <w:r>
              <w:rPr>
                <w:rFonts w:ascii="Arial" w:hAnsi="Arial"/>
                <w:sz w:val="20"/>
              </w:rPr>
              <w:t xml:space="preserve">. </w:t>
            </w:r>
          </w:p>
          <w:p w14:paraId="617E2BAE" w14:textId="77777777" w:rsidR="008A5D49" w:rsidRPr="00831C2D" w:rsidRDefault="00351CE9" w:rsidP="001E3F71">
            <w:pPr>
              <w:spacing w:before="60" w:after="60" w:line="260" w:lineRule="atLeast"/>
              <w:jc w:val="both"/>
              <w:rPr>
                <w:rFonts w:ascii="Arial" w:hAnsi="Arial" w:cs="Arial"/>
                <w:sz w:val="20"/>
                <w:szCs w:val="20"/>
              </w:rPr>
            </w:pPr>
            <w:r>
              <w:rPr>
                <w:rFonts w:ascii="Arial" w:hAnsi="Arial"/>
                <w:sz w:val="20"/>
              </w:rPr>
              <w:t xml:space="preserve">Mungesa e sistemit të grumbullimit, klasifikimit, riciklimit, trajtimit dhe infrastrukturës së duhur për mbetjet e ngurta është evidente. Ekziston një numër i madh i deponive ilegale dhe deponive industriale dhe ato menaxhohen keq. </w:t>
            </w:r>
          </w:p>
          <w:p w14:paraId="09B917A9" w14:textId="457A2063" w:rsidR="008A5D49" w:rsidRPr="00831C2D" w:rsidRDefault="00351CE9" w:rsidP="001E3F71">
            <w:pPr>
              <w:spacing w:before="60" w:after="60" w:line="260" w:lineRule="atLeast"/>
              <w:jc w:val="both"/>
              <w:rPr>
                <w:rFonts w:ascii="Arial" w:hAnsi="Arial" w:cs="Arial"/>
                <w:sz w:val="20"/>
                <w:szCs w:val="20"/>
              </w:rPr>
            </w:pPr>
            <w:r>
              <w:rPr>
                <w:rFonts w:ascii="Arial" w:hAnsi="Arial"/>
                <w:sz w:val="20"/>
              </w:rPr>
              <w:t xml:space="preserve">Objektet e përshtatshme dhe të operuara për mbetjet e rrezikshme dhe mbetjet nga ndërtimi dhe rrënimi janë gjithashtu të mangëta. </w:t>
            </w:r>
          </w:p>
          <w:p w14:paraId="79396049" w14:textId="292FC70F" w:rsidR="00360D4D" w:rsidRPr="00831C2D" w:rsidRDefault="00360D4D" w:rsidP="001E3F71">
            <w:pPr>
              <w:spacing w:before="60" w:after="60" w:line="260" w:lineRule="atLeast"/>
              <w:jc w:val="both"/>
              <w:rPr>
                <w:rFonts w:ascii="Arial" w:hAnsi="Arial" w:cs="Arial"/>
                <w:sz w:val="20"/>
                <w:szCs w:val="20"/>
              </w:rPr>
            </w:pPr>
            <w:r>
              <w:rPr>
                <w:rFonts w:ascii="Arial" w:hAnsi="Arial"/>
                <w:color w:val="000000"/>
                <w:sz w:val="20"/>
              </w:rPr>
              <w:t>Janë 90 kompani me licencim për grumbullimin e fraksioneve të ndryshme të mbetjeve (pothuajse gjysma e tyre mbledhin mbetje të ngurta komunale), dhe asnjëra prej tyre nuk menaxhon mbetjet N&amp;Rr.</w:t>
            </w:r>
          </w:p>
          <w:p w14:paraId="64609C0A" w14:textId="5076E10D" w:rsidR="00351CE9" w:rsidRPr="00831C2D" w:rsidRDefault="00351CE9" w:rsidP="001E3F71">
            <w:pPr>
              <w:spacing w:before="60" w:after="60" w:line="260" w:lineRule="atLeast"/>
              <w:jc w:val="both"/>
              <w:rPr>
                <w:rFonts w:ascii="Arial" w:hAnsi="Arial" w:cs="Arial"/>
                <w:sz w:val="20"/>
                <w:szCs w:val="20"/>
              </w:rPr>
            </w:pPr>
            <w:r>
              <w:rPr>
                <w:rFonts w:ascii="Arial" w:hAnsi="Arial"/>
                <w:sz w:val="20"/>
              </w:rPr>
              <w:t>Çështjet e sipërpërmendura kanë implikime serioze shëndetësore dhe mjedisore që vijnë si nga deponitë e pakontrolluara ashtu edhe nga ato të pakontrolluara (veçanërisht në zonat rurale), ku mbetjet e pagrumbulluara hidhen në deponi ilegale (shpesh pranë lumenjve, duke shkaktuar rreziqe të tjera mjedisore), ose digjen.</w:t>
            </w:r>
          </w:p>
          <w:p w14:paraId="72A33CEC" w14:textId="77777777" w:rsidR="008A5D49" w:rsidRPr="00831C2D" w:rsidRDefault="008A5D49" w:rsidP="001E3F71">
            <w:pPr>
              <w:spacing w:before="60" w:after="60" w:line="260" w:lineRule="atLeast"/>
              <w:jc w:val="both"/>
              <w:rPr>
                <w:rFonts w:ascii="Arial" w:hAnsi="Arial" w:cs="Arial"/>
                <w:sz w:val="20"/>
                <w:szCs w:val="20"/>
                <w:lang w:val="en-GB"/>
              </w:rPr>
            </w:pPr>
          </w:p>
          <w:p w14:paraId="694F1B0D" w14:textId="13934FE2" w:rsidR="00351CE9" w:rsidRPr="00831C2D" w:rsidRDefault="002072E7" w:rsidP="001E3F71">
            <w:pPr>
              <w:keepNext/>
              <w:spacing w:before="60" w:after="60" w:line="260" w:lineRule="atLeast"/>
              <w:jc w:val="both"/>
              <w:rPr>
                <w:rFonts w:ascii="Arial" w:hAnsi="Arial" w:cs="Arial"/>
                <w:sz w:val="20"/>
                <w:szCs w:val="20"/>
              </w:rPr>
            </w:pPr>
            <w:r>
              <w:rPr>
                <w:rFonts w:ascii="Arial" w:hAnsi="Arial"/>
                <w:sz w:val="20"/>
              </w:rPr>
              <w:object w:dxaOrig="8659" w:dyaOrig="6036" w14:anchorId="6DC6F520">
                <v:rect id="rectole0000000007" o:spid="_x0000_i1025" style="width:290.25pt;height:195.75pt" o:ole="" o:preferrelative="t" stroked="f">
                  <v:imagedata r:id="rId10" o:title=""/>
                </v:rect>
                <o:OLEObject Type="Embed" ProgID="StaticMetafile" ShapeID="rectole0000000007" DrawAspect="Content" ObjectID="_1791629474" r:id="rId11"/>
              </w:object>
            </w:r>
          </w:p>
          <w:p w14:paraId="1ACD9F63" w14:textId="7BA47DB8" w:rsidR="00351CE9" w:rsidRPr="00831C2D" w:rsidRDefault="00351CE9" w:rsidP="001E3F71">
            <w:pPr>
              <w:pStyle w:val="Caption"/>
              <w:spacing w:before="60" w:after="60" w:line="260" w:lineRule="atLeast"/>
              <w:jc w:val="both"/>
              <w:rPr>
                <w:rFonts w:ascii="Arial" w:hAnsi="Arial" w:cs="Arial"/>
                <w:color w:val="000000" w:themeColor="text1"/>
                <w:sz w:val="20"/>
                <w:szCs w:val="20"/>
              </w:rPr>
            </w:pPr>
            <w:r>
              <w:rPr>
                <w:rFonts w:ascii="Arial" w:hAnsi="Arial"/>
                <w:color w:val="000000" w:themeColor="text1"/>
                <w:sz w:val="20"/>
              </w:rPr>
              <w:t>Figura 1: Infrastruktura ekzistuese për menaxhimin e mbeturinave në Kosovë</w:t>
            </w:r>
          </w:p>
          <w:p w14:paraId="60885BA7" w14:textId="77777777" w:rsidR="008A5D49" w:rsidRPr="00831C2D" w:rsidRDefault="008A5D49" w:rsidP="001E3F71">
            <w:pPr>
              <w:spacing w:before="60" w:after="60" w:line="260" w:lineRule="atLeast"/>
              <w:jc w:val="both"/>
              <w:rPr>
                <w:rFonts w:ascii="Arial" w:hAnsi="Arial" w:cs="Arial"/>
                <w:sz w:val="20"/>
                <w:szCs w:val="20"/>
                <w:lang w:val="en-GB"/>
              </w:rPr>
            </w:pPr>
          </w:p>
          <w:p w14:paraId="77677C91" w14:textId="77777777" w:rsidR="00351CE9" w:rsidRPr="00831C2D" w:rsidRDefault="00351CE9" w:rsidP="001E3F71">
            <w:pPr>
              <w:spacing w:before="60" w:after="60" w:line="260" w:lineRule="atLeast"/>
              <w:jc w:val="both"/>
              <w:rPr>
                <w:rFonts w:ascii="Arial" w:hAnsi="Arial" w:cs="Arial"/>
                <w:sz w:val="20"/>
                <w:szCs w:val="20"/>
              </w:rPr>
            </w:pPr>
            <w:r>
              <w:rPr>
                <w:rFonts w:ascii="Arial" w:hAnsi="Arial"/>
                <w:sz w:val="20"/>
              </w:rPr>
              <w:t>Nga ky investim do të përfitojë një popullsi prej rreth 815,000 banorësh.</w:t>
            </w:r>
            <w:r>
              <w:rPr>
                <w:rFonts w:ascii="Arial" w:hAnsi="Arial"/>
                <w:sz w:val="20"/>
              </w:rPr>
              <w:br/>
              <w:t xml:space="preserve">Vendndodhja ku do të ndërtohen qendrat për trajtimin e mbetjeve nga ndërtimi dhe rrënimi i ndërtesave, caktohet nga komuna përkatëse pasi të jetë bërë vlerësimi i ndikimit në mjedis. </w:t>
            </w:r>
          </w:p>
          <w:p w14:paraId="47D22714" w14:textId="46B37440" w:rsidR="008A5D49" w:rsidRPr="00831C2D" w:rsidRDefault="008A5D49" w:rsidP="001E3F71">
            <w:pPr>
              <w:spacing w:before="60" w:after="60" w:line="260" w:lineRule="atLeast"/>
              <w:jc w:val="both"/>
              <w:rPr>
                <w:rFonts w:ascii="Arial" w:hAnsi="Arial" w:cs="Arial"/>
                <w:sz w:val="20"/>
                <w:szCs w:val="20"/>
              </w:rPr>
            </w:pPr>
            <w:r>
              <w:rPr>
                <w:rStyle w:val="hps"/>
                <w:rFonts w:ascii="Arial" w:hAnsi="Arial"/>
                <w:sz w:val="20"/>
              </w:rPr>
              <w:t>Ky projekt do të ndikojë në rritjen ekonomike pasi do të kontribuojë në arritjen e të gjitha rezultateve të pritura.</w:t>
            </w:r>
          </w:p>
        </w:tc>
      </w:tr>
    </w:tbl>
    <w:p w14:paraId="08968C97" w14:textId="2FF481A3" w:rsidR="00337134" w:rsidRPr="00831C2D" w:rsidRDefault="00337134" w:rsidP="001E3F71">
      <w:pPr>
        <w:spacing w:after="160" w:line="259" w:lineRule="auto"/>
        <w:jc w:val="both"/>
        <w:rPr>
          <w:rFonts w:ascii="Arial" w:hAnsi="Arial" w:cs="Arial"/>
          <w:b/>
          <w:sz w:val="20"/>
          <w:szCs w:val="20"/>
          <w:lang w:val="en-GB"/>
        </w:rPr>
      </w:pPr>
    </w:p>
    <w:p w14:paraId="4BEED34C" w14:textId="51649238" w:rsidR="00351CE9" w:rsidRPr="00831C2D" w:rsidRDefault="00716571" w:rsidP="001E3F71">
      <w:pPr>
        <w:pStyle w:val="ListParagraph"/>
        <w:numPr>
          <w:ilvl w:val="0"/>
          <w:numId w:val="2"/>
        </w:numPr>
        <w:spacing w:after="0" w:line="240" w:lineRule="auto"/>
        <w:jc w:val="both"/>
        <w:rPr>
          <w:rFonts w:ascii="Arial" w:hAnsi="Arial" w:cs="Arial"/>
          <w:b/>
          <w:sz w:val="20"/>
          <w:szCs w:val="20"/>
        </w:rPr>
      </w:pPr>
      <w:r>
        <w:rPr>
          <w:rFonts w:ascii="Arial" w:hAnsi="Arial"/>
          <w:b/>
          <w:sz w:val="20"/>
        </w:rPr>
        <w:t>KUALIFIKU</w:t>
      </w:r>
      <w:r w:rsidR="00351CE9">
        <w:rPr>
          <w:rFonts w:ascii="Arial" w:hAnsi="Arial"/>
          <w:b/>
          <w:sz w:val="20"/>
        </w:rPr>
        <w:t>ESHMËRIA</w:t>
      </w:r>
    </w:p>
    <w:p w14:paraId="242CE1C1" w14:textId="77777777" w:rsidR="00351CE9" w:rsidRPr="00831C2D" w:rsidRDefault="00351CE9" w:rsidP="001E3F71">
      <w:pPr>
        <w:spacing w:after="0" w:line="240" w:lineRule="auto"/>
        <w:jc w:val="both"/>
        <w:rPr>
          <w:rFonts w:ascii="Arial" w:hAnsi="Arial" w:cs="Arial"/>
          <w:sz w:val="20"/>
          <w:szCs w:val="20"/>
          <w:lang w:val="en-GB"/>
        </w:rPr>
      </w:pPr>
    </w:p>
    <w:tbl>
      <w:tblPr>
        <w:tblW w:w="4947" w:type="pct"/>
        <w:tblInd w:w="108" w:type="dxa"/>
        <w:tblLook w:val="01E0" w:firstRow="1" w:lastRow="1" w:firstColumn="1" w:lastColumn="1" w:noHBand="0" w:noVBand="0"/>
      </w:tblPr>
      <w:tblGrid>
        <w:gridCol w:w="3721"/>
        <w:gridCol w:w="5530"/>
      </w:tblGrid>
      <w:tr w:rsidR="00351CE9" w:rsidRPr="00831C2D" w14:paraId="0BDB9B46" w14:textId="77777777" w:rsidTr="00C217B2">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8DD661A" w14:textId="1083E10A" w:rsidR="00351CE9" w:rsidRPr="00831C2D" w:rsidRDefault="00716571" w:rsidP="001E3F71">
            <w:pPr>
              <w:spacing w:after="0" w:line="240" w:lineRule="auto"/>
              <w:jc w:val="both"/>
              <w:rPr>
                <w:rFonts w:ascii="Arial" w:hAnsi="Arial" w:cs="Arial"/>
                <w:sz w:val="20"/>
                <w:szCs w:val="20"/>
              </w:rPr>
            </w:pPr>
            <w:r>
              <w:rPr>
                <w:rFonts w:ascii="Arial" w:hAnsi="Arial"/>
                <w:sz w:val="20"/>
              </w:rPr>
              <w:t xml:space="preserve">Koherenca </w:t>
            </w:r>
            <w:r w:rsidR="00351CE9">
              <w:rPr>
                <w:rFonts w:ascii="Arial" w:hAnsi="Arial"/>
                <w:sz w:val="20"/>
              </w:rPr>
              <w:t xml:space="preserve">me politikat dhe strategjitë e vlefshme të BE-së </w:t>
            </w:r>
          </w:p>
        </w:tc>
        <w:tc>
          <w:tcPr>
            <w:tcW w:w="2989" w:type="pct"/>
            <w:tcBorders>
              <w:top w:val="single" w:sz="4" w:space="0" w:color="auto"/>
              <w:left w:val="single" w:sz="4" w:space="0" w:color="auto"/>
              <w:bottom w:val="single" w:sz="4" w:space="0" w:color="auto"/>
              <w:right w:val="single" w:sz="4" w:space="0" w:color="auto"/>
            </w:tcBorders>
            <w:vAlign w:val="center"/>
          </w:tcPr>
          <w:p w14:paraId="375616FB" w14:textId="02C8DC9C" w:rsidR="0086172F" w:rsidRPr="00831C2D" w:rsidRDefault="0086172F" w:rsidP="001E3F71">
            <w:pPr>
              <w:spacing w:after="0" w:line="240" w:lineRule="auto"/>
              <w:jc w:val="both"/>
              <w:rPr>
                <w:rFonts w:ascii="Arial" w:eastAsia="Times New Roman" w:hAnsi="Arial" w:cs="Arial"/>
                <w:b/>
                <w:bCs/>
                <w:sz w:val="20"/>
                <w:szCs w:val="20"/>
              </w:rPr>
            </w:pPr>
            <w:r>
              <w:rPr>
                <w:rFonts w:ascii="Arial" w:hAnsi="Arial"/>
                <w:b/>
                <w:sz w:val="20"/>
              </w:rPr>
              <w:t>Instrume</w:t>
            </w:r>
            <w:r w:rsidR="00716571">
              <w:rPr>
                <w:rFonts w:ascii="Arial" w:hAnsi="Arial"/>
                <w:b/>
                <w:sz w:val="20"/>
              </w:rPr>
              <w:t>nti për Asistencën e Para-Anëtarësim</w:t>
            </w:r>
            <w:r>
              <w:rPr>
                <w:rFonts w:ascii="Arial" w:hAnsi="Arial"/>
                <w:b/>
                <w:sz w:val="20"/>
              </w:rPr>
              <w:t>it (IPA III) Korniza e Programit për periudhën 2021-2027</w:t>
            </w:r>
          </w:p>
          <w:p w14:paraId="7CBC73D2" w14:textId="6DFCD3F3" w:rsidR="0086172F" w:rsidRPr="00831C2D" w:rsidRDefault="0086172F" w:rsidP="001E3F71">
            <w:pPr>
              <w:spacing w:after="0" w:line="240" w:lineRule="auto"/>
              <w:jc w:val="both"/>
              <w:rPr>
                <w:rFonts w:ascii="Arial" w:hAnsi="Arial" w:cs="Arial"/>
                <w:bCs/>
                <w:sz w:val="20"/>
                <w:szCs w:val="20"/>
              </w:rPr>
            </w:pPr>
            <w:r>
              <w:rPr>
                <w:rFonts w:ascii="Arial" w:hAnsi="Arial"/>
                <w:sz w:val="20"/>
              </w:rPr>
              <w:t xml:space="preserve">Dritarja 3: Agjenda e gjelbër dhe lidhshmëria e qëndrueshme </w:t>
            </w:r>
          </w:p>
          <w:p w14:paraId="41179904" w14:textId="77777777" w:rsidR="0017547F" w:rsidRPr="00831C2D" w:rsidRDefault="0017547F" w:rsidP="00EE5774">
            <w:pPr>
              <w:pStyle w:val="BodyText"/>
              <w:ind w:left="0" w:firstLine="0"/>
              <w:jc w:val="both"/>
              <w:rPr>
                <w:rFonts w:ascii="Arial" w:hAnsi="Arial" w:cs="Arial"/>
                <w:sz w:val="20"/>
                <w:szCs w:val="20"/>
              </w:rPr>
            </w:pPr>
            <w:r>
              <w:rPr>
                <w:rFonts w:ascii="Arial" w:hAnsi="Arial"/>
                <w:sz w:val="20"/>
              </w:rPr>
              <w:t xml:space="preserve">Prioriteti tematik 1: Mjedisi dhe ndryshimi klimatik </w:t>
            </w:r>
          </w:p>
          <w:p w14:paraId="64B43AEB" w14:textId="70288B51" w:rsidR="0086172F" w:rsidRPr="00831C2D" w:rsidRDefault="0086172F" w:rsidP="001E3F71">
            <w:pPr>
              <w:spacing w:after="0" w:line="240" w:lineRule="auto"/>
              <w:jc w:val="both"/>
              <w:rPr>
                <w:rFonts w:ascii="Arial" w:eastAsia="Times New Roman" w:hAnsi="Arial" w:cs="Arial"/>
                <w:b/>
                <w:bCs/>
                <w:sz w:val="20"/>
                <w:szCs w:val="20"/>
                <w:highlight w:val="yellow"/>
                <w:lang w:val="en-GB"/>
              </w:rPr>
            </w:pPr>
          </w:p>
          <w:p w14:paraId="71453E7B" w14:textId="77777777" w:rsidR="0086172F" w:rsidRPr="00831C2D" w:rsidRDefault="0086172F" w:rsidP="001E3F71">
            <w:pPr>
              <w:spacing w:after="0" w:line="240" w:lineRule="auto"/>
              <w:jc w:val="both"/>
              <w:rPr>
                <w:rFonts w:ascii="Arial" w:eastAsia="Times New Roman" w:hAnsi="Arial" w:cs="Arial"/>
                <w:b/>
                <w:bCs/>
                <w:sz w:val="20"/>
                <w:szCs w:val="20"/>
              </w:rPr>
            </w:pPr>
            <w:r>
              <w:rPr>
                <w:rFonts w:ascii="Arial" w:hAnsi="Arial"/>
                <w:b/>
                <w:sz w:val="20"/>
              </w:rPr>
              <w:t>Plan ekonomik dhe investiv për Ballkanin Perëndimor</w:t>
            </w:r>
          </w:p>
          <w:p w14:paraId="02DD38F9" w14:textId="77777777" w:rsidR="0017547F" w:rsidRPr="00831C2D" w:rsidRDefault="0017547F" w:rsidP="001E3F71">
            <w:pPr>
              <w:autoSpaceDE w:val="0"/>
              <w:autoSpaceDN w:val="0"/>
              <w:adjustRightInd w:val="0"/>
              <w:spacing w:after="0" w:line="240" w:lineRule="auto"/>
              <w:jc w:val="both"/>
              <w:rPr>
                <w:rFonts w:ascii="Arial" w:hAnsi="Arial" w:cs="Arial"/>
                <w:bCs/>
                <w:color w:val="000000"/>
                <w:sz w:val="20"/>
                <w:szCs w:val="20"/>
              </w:rPr>
            </w:pPr>
            <w:r>
              <w:rPr>
                <w:rFonts w:ascii="Arial" w:hAnsi="Arial"/>
                <w:color w:val="000000"/>
                <w:sz w:val="20"/>
              </w:rPr>
              <w:t xml:space="preserve">Fusha prioritare VI. Gjelbërimi i Ballkanit Perëndimor – Investimi në mjedis dhe klimë; </w:t>
            </w:r>
            <w:r>
              <w:rPr>
                <w:rFonts w:ascii="Arial" w:hAnsi="Arial"/>
                <w:sz w:val="20"/>
              </w:rPr>
              <w:t xml:space="preserve">FLAGSHIP 7 – Menaxhimi i mbeturinave dhe ujërave të zeza </w:t>
            </w:r>
          </w:p>
          <w:p w14:paraId="6F84A09F" w14:textId="77777777" w:rsidR="0086172F" w:rsidRPr="00831C2D" w:rsidRDefault="0086172F" w:rsidP="001E3F71">
            <w:pPr>
              <w:spacing w:after="0" w:line="240" w:lineRule="auto"/>
              <w:jc w:val="both"/>
              <w:rPr>
                <w:rFonts w:ascii="Arial" w:eastAsia="Times New Roman" w:hAnsi="Arial" w:cs="Arial"/>
                <w:sz w:val="20"/>
                <w:szCs w:val="20"/>
                <w:lang w:val="en-GB"/>
              </w:rPr>
            </w:pPr>
          </w:p>
          <w:p w14:paraId="31169EEA" w14:textId="468E8436" w:rsidR="0017547F" w:rsidRPr="00831C2D" w:rsidRDefault="0086172F" w:rsidP="001E3F71">
            <w:pPr>
              <w:spacing w:after="0" w:line="240" w:lineRule="auto"/>
              <w:jc w:val="both"/>
              <w:rPr>
                <w:rFonts w:ascii="Arial" w:hAnsi="Arial" w:cs="Arial"/>
                <w:b/>
                <w:sz w:val="20"/>
                <w:szCs w:val="20"/>
              </w:rPr>
            </w:pPr>
            <w:r>
              <w:rPr>
                <w:rFonts w:ascii="Arial" w:hAnsi="Arial"/>
                <w:b/>
                <w:sz w:val="20"/>
              </w:rPr>
              <w:t>Agjenda e Gjelbër për Ballkanin Perëndimor, shtylla e dytë:</w:t>
            </w:r>
          </w:p>
          <w:p w14:paraId="4BDB33ED" w14:textId="77777777" w:rsidR="0017547F" w:rsidRPr="00831C2D" w:rsidRDefault="0017547F" w:rsidP="001E3F71">
            <w:pPr>
              <w:spacing w:after="0" w:line="240" w:lineRule="auto"/>
              <w:jc w:val="both"/>
              <w:rPr>
                <w:rFonts w:ascii="Arial" w:hAnsi="Arial" w:cs="Arial"/>
                <w:b/>
                <w:sz w:val="20"/>
                <w:szCs w:val="20"/>
              </w:rPr>
            </w:pPr>
            <w:r>
              <w:rPr>
                <w:rFonts w:ascii="Arial" w:hAnsi="Arial"/>
                <w:sz w:val="20"/>
              </w:rPr>
              <w:t>(2) ekonomi qarkore, duke trajtuar në veçanti mbetjet, riciklimin, prodhimin e qëndrueshëm dhe përdorimin efikas të burimeve</w:t>
            </w:r>
          </w:p>
          <w:p w14:paraId="268D1343" w14:textId="5E7583C2" w:rsidR="0086172F" w:rsidRPr="00831C2D" w:rsidRDefault="0086172F" w:rsidP="001E3F71">
            <w:pPr>
              <w:spacing w:after="0" w:line="240" w:lineRule="auto"/>
              <w:jc w:val="both"/>
              <w:rPr>
                <w:rFonts w:ascii="Arial" w:eastAsia="Times New Roman" w:hAnsi="Arial" w:cs="Arial"/>
                <w:bCs/>
                <w:sz w:val="20"/>
                <w:szCs w:val="20"/>
                <w:lang w:val="en-GB"/>
              </w:rPr>
            </w:pPr>
          </w:p>
          <w:p w14:paraId="0D28C111" w14:textId="6472EB73" w:rsidR="0086172F" w:rsidRPr="00831C2D" w:rsidRDefault="0086172F" w:rsidP="001E3F71">
            <w:pPr>
              <w:autoSpaceDE w:val="0"/>
              <w:autoSpaceDN w:val="0"/>
              <w:adjustRightInd w:val="0"/>
              <w:spacing w:after="0" w:line="240" w:lineRule="auto"/>
              <w:jc w:val="both"/>
              <w:rPr>
                <w:rFonts w:ascii="Arial" w:hAnsi="Arial" w:cs="Arial"/>
                <w:b/>
                <w:color w:val="000000"/>
                <w:sz w:val="20"/>
                <w:szCs w:val="20"/>
              </w:rPr>
            </w:pPr>
            <w:r>
              <w:rPr>
                <w:rFonts w:ascii="Arial" w:hAnsi="Arial"/>
                <w:b/>
                <w:color w:val="000000"/>
                <w:sz w:val="20"/>
              </w:rPr>
              <w:t xml:space="preserve">Agjenda e Reformës Evropiane (ARE) II Faza e Dytë e Prioriteteve Politike BE-Kosovë:  </w:t>
            </w:r>
          </w:p>
          <w:p w14:paraId="6F8366D7" w14:textId="77777777" w:rsidR="0086172F" w:rsidRPr="00831C2D" w:rsidRDefault="0086172F" w:rsidP="001E3F71">
            <w:pPr>
              <w:autoSpaceDE w:val="0"/>
              <w:autoSpaceDN w:val="0"/>
              <w:adjustRightInd w:val="0"/>
              <w:spacing w:after="0" w:line="240" w:lineRule="auto"/>
              <w:jc w:val="both"/>
              <w:rPr>
                <w:rFonts w:ascii="Arial" w:hAnsi="Arial" w:cs="Arial"/>
                <w:color w:val="000000"/>
                <w:sz w:val="20"/>
                <w:szCs w:val="20"/>
              </w:rPr>
            </w:pPr>
            <w:r>
              <w:rPr>
                <w:rFonts w:ascii="Arial" w:hAnsi="Arial"/>
                <w:color w:val="000000"/>
                <w:sz w:val="20"/>
              </w:rPr>
              <w:t>2.3. Trajtojnë sfidat prioritare mjedisore: Reflektojnë objektivat e Agjendës së Gjelbër të Ballkanit Perëndimor në zbatimin e politikave në fushën e mjedisit.</w:t>
            </w:r>
          </w:p>
          <w:p w14:paraId="2DCF447C" w14:textId="58FAEED8" w:rsidR="00870B1B" w:rsidRPr="00831C2D" w:rsidRDefault="00870B1B" w:rsidP="001E3F71">
            <w:pPr>
              <w:spacing w:before="60" w:after="60" w:line="260" w:lineRule="atLeast"/>
              <w:jc w:val="both"/>
              <w:rPr>
                <w:rFonts w:ascii="Arial" w:hAnsi="Arial" w:cs="Arial"/>
                <w:b/>
                <w:sz w:val="20"/>
                <w:szCs w:val="20"/>
                <w:lang w:val="en-GB"/>
              </w:rPr>
            </w:pPr>
          </w:p>
          <w:p w14:paraId="028F5BD3" w14:textId="2764477D" w:rsidR="00286E70" w:rsidRPr="00831C2D" w:rsidRDefault="00351CE9" w:rsidP="001E3F71">
            <w:pPr>
              <w:spacing w:before="60" w:after="60" w:line="260" w:lineRule="atLeast"/>
              <w:jc w:val="both"/>
              <w:rPr>
                <w:rFonts w:ascii="Arial" w:hAnsi="Arial" w:cs="Arial"/>
                <w:sz w:val="20"/>
                <w:szCs w:val="20"/>
              </w:rPr>
            </w:pPr>
            <w:r>
              <w:rPr>
                <w:rFonts w:ascii="Arial" w:hAnsi="Arial"/>
                <w:b/>
                <w:sz w:val="20"/>
              </w:rPr>
              <w:t>Direktiva Kornizë për Mbeturina 2008/98/EC</w:t>
            </w:r>
            <w:r>
              <w:rPr>
                <w:rFonts w:ascii="Arial" w:hAnsi="Arial"/>
                <w:sz w:val="20"/>
              </w:rPr>
              <w:t xml:space="preserve"> </w:t>
            </w:r>
            <w:r>
              <w:rPr>
                <w:rStyle w:val="hps"/>
                <w:rFonts w:ascii="Arial" w:hAnsi="Arial"/>
                <w:sz w:val="20"/>
              </w:rPr>
              <w:t xml:space="preserve">përcakton përkufizimet, parimet, objektivat dhe caqet për menaxhimin e mbeturinave, si dhe proceset e planifikimit dhe detyrimet e </w:t>
            </w:r>
            <w:r>
              <w:rPr>
                <w:rStyle w:val="hps"/>
                <w:rFonts w:ascii="Arial" w:hAnsi="Arial"/>
                <w:sz w:val="20"/>
              </w:rPr>
              <w:lastRenderedPageBreak/>
              <w:t xml:space="preserve">tjera në deponinë e mbeturinave për mbetje të veçanta, duke përfshirë mbeturinat nga ndërtimi dhe rrënimi (MNRr). </w:t>
            </w:r>
            <w:r>
              <w:rPr>
                <w:rFonts w:ascii="Arial" w:hAnsi="Arial"/>
                <w:sz w:val="20"/>
              </w:rPr>
              <w:t xml:space="preserve">Kjo direktivë duhet të ndihmojë në afrimin me BE-në drejt një "shoqërie riciklimi", duke kërkuar të shmangë gjenerimin e mbeturinave dhe të përdorë mbeturinat si burim. Në veçanti, Programi i 6-të i Veprimit për Mjedisin Komunitar kërkon masa që synojnë të sigurojnë ndarjen në burim, grumbullimin dhe riciklimin e rrymave prioritare të mbeturinave. Në përputhje me këtë objektiv dhe si një mjet për të lehtësuar ose përmirësuar potencialin e tyre të rikuperimit, mbeturinat duhet të mblidhen veçmas nëse në aspektin teknik, mjedisor dhe ekonomik janë praktike, përpara operacioneve të rikuperimit që japin rezultatin më të mirë të përgjithshëm mjedisor. </w:t>
            </w:r>
          </w:p>
          <w:p w14:paraId="3904E540" w14:textId="0B035101" w:rsidR="00286E70" w:rsidRPr="00831C2D" w:rsidRDefault="00286E70" w:rsidP="001E3F71">
            <w:pPr>
              <w:pStyle w:val="Default"/>
              <w:spacing w:before="60" w:after="60" w:line="260" w:lineRule="atLeast"/>
              <w:jc w:val="both"/>
              <w:rPr>
                <w:rFonts w:ascii="Arial" w:hAnsi="Arial" w:cs="Arial"/>
                <w:sz w:val="20"/>
                <w:szCs w:val="20"/>
                <w:lang w:val="en-GB"/>
              </w:rPr>
            </w:pPr>
          </w:p>
        </w:tc>
      </w:tr>
      <w:tr w:rsidR="00351CE9" w:rsidRPr="00831C2D" w14:paraId="099E18D1" w14:textId="77777777" w:rsidTr="00C217B2">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2E089CD"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lastRenderedPageBreak/>
              <w:t>Kontributi në objektivat e vlefshme të zhvillimit kombëtar</w:t>
            </w:r>
          </w:p>
        </w:tc>
        <w:tc>
          <w:tcPr>
            <w:tcW w:w="2989" w:type="pct"/>
            <w:tcBorders>
              <w:top w:val="single" w:sz="4" w:space="0" w:color="auto"/>
              <w:left w:val="single" w:sz="4" w:space="0" w:color="auto"/>
              <w:bottom w:val="single" w:sz="4" w:space="0" w:color="auto"/>
              <w:right w:val="single" w:sz="4" w:space="0" w:color="auto"/>
            </w:tcBorders>
            <w:vAlign w:val="center"/>
          </w:tcPr>
          <w:p w14:paraId="219E37EC" w14:textId="4C8C60A9" w:rsidR="001E3F71" w:rsidRPr="00831C2D" w:rsidRDefault="001E3F71" w:rsidP="001E3F71">
            <w:pPr>
              <w:spacing w:before="60" w:after="60" w:line="260" w:lineRule="atLeast"/>
              <w:jc w:val="both"/>
              <w:rPr>
                <w:rFonts w:ascii="Arial" w:hAnsi="Arial" w:cs="Arial"/>
                <w:sz w:val="20"/>
                <w:szCs w:val="20"/>
              </w:rPr>
            </w:pPr>
            <w:r>
              <w:rPr>
                <w:rFonts w:ascii="Arial" w:hAnsi="Arial"/>
                <w:b/>
                <w:sz w:val="20"/>
              </w:rPr>
              <w:t xml:space="preserve">Programi i Reformës Ekonomike (PRE) 2024 – 2026 </w:t>
            </w:r>
            <w:r>
              <w:rPr>
                <w:rFonts w:ascii="Arial" w:hAnsi="Arial"/>
                <w:sz w:val="20"/>
              </w:rPr>
              <w:t xml:space="preserve">thekson se sektori i mbeturinave ka nevojë për reforma dhe mbështetje. Ekonomia qarkore do të krijonte mundësi për investime dhe vende të reja pune, duke siguruar burime të lëndëve të para për prodhim </w:t>
            </w:r>
          </w:p>
          <w:p w14:paraId="5B118F33" w14:textId="71E6A486" w:rsidR="00EE5774" w:rsidRDefault="001E3F71" w:rsidP="006451D3">
            <w:pPr>
              <w:spacing w:after="60" w:line="260" w:lineRule="atLeast"/>
              <w:jc w:val="both"/>
              <w:rPr>
                <w:rFonts w:ascii="Arial" w:hAnsi="Arial" w:cs="Arial"/>
                <w:sz w:val="20"/>
                <w:szCs w:val="20"/>
              </w:rPr>
            </w:pPr>
            <w:r>
              <w:rPr>
                <w:rFonts w:ascii="Arial" w:hAnsi="Arial"/>
                <w:sz w:val="20"/>
              </w:rPr>
              <w:t>Masa e reformës #9: Reduktimi i ndotjes së mjedisit dhe ruajtja e biodiversitetit. Kjo masë adreson rekomandimet e Raportit për Kosovën 2022 - pika 5.4 Mjedisi dhe ndryshimet klimatike. Kapitulli 27, përkatësisht rritja e mbulimit të grumbullimit të mbeturinave, zbatimi i reduktimit të gjerë, ndarjes së riciklimit dhe ripërdorimit të mbeturinave, adresimi efektiv i çështjes së hedhjes së paligjshme dhe futja e masave të ekonomisë qarkore për reduktimin e mbeturinave.</w:t>
            </w:r>
          </w:p>
          <w:p w14:paraId="3842A25D" w14:textId="77777777" w:rsidR="006451D3" w:rsidRPr="00F4616D" w:rsidRDefault="006451D3" w:rsidP="006451D3">
            <w:pPr>
              <w:spacing w:after="60" w:line="260" w:lineRule="atLeast"/>
              <w:jc w:val="both"/>
              <w:rPr>
                <w:rFonts w:ascii="Arial" w:hAnsi="Arial" w:cs="Arial"/>
                <w:sz w:val="20"/>
                <w:szCs w:val="20"/>
              </w:rPr>
            </w:pPr>
          </w:p>
          <w:p w14:paraId="57274C2E" w14:textId="48ECDBB4" w:rsidR="00693421" w:rsidRPr="00831C2D" w:rsidRDefault="00B61B10" w:rsidP="001E3F71">
            <w:pPr>
              <w:jc w:val="both"/>
              <w:rPr>
                <w:rFonts w:ascii="Arial" w:hAnsi="Arial" w:cs="Arial"/>
                <w:b/>
                <w:color w:val="70AD47" w:themeColor="accent6"/>
                <w:sz w:val="20"/>
                <w:szCs w:val="20"/>
              </w:rPr>
            </w:pPr>
            <w:r>
              <w:rPr>
                <w:rFonts w:ascii="Arial" w:hAnsi="Arial"/>
                <w:b/>
                <w:sz w:val="20"/>
              </w:rPr>
              <w:t>Strategjia Kombëtare për Zhvillim (SKZh) 2030</w:t>
            </w:r>
            <w:r>
              <w:rPr>
                <w:rFonts w:ascii="Arial" w:hAnsi="Arial"/>
                <w:b/>
                <w:color w:val="70AD47" w:themeColor="accent6"/>
                <w:sz w:val="20"/>
              </w:rPr>
              <w:t xml:space="preserve"> </w:t>
            </w:r>
          </w:p>
          <w:p w14:paraId="23574C1D" w14:textId="3C314E26" w:rsidR="00870B1B" w:rsidRPr="00831C2D" w:rsidRDefault="00F4616D" w:rsidP="001E3F71">
            <w:pPr>
              <w:spacing w:after="0" w:line="240" w:lineRule="auto"/>
              <w:jc w:val="both"/>
              <w:rPr>
                <w:rFonts w:ascii="Arial" w:hAnsi="Arial" w:cs="Arial"/>
                <w:bCs/>
                <w:sz w:val="20"/>
                <w:szCs w:val="20"/>
              </w:rPr>
            </w:pPr>
            <w:r>
              <w:rPr>
                <w:rFonts w:ascii="Arial" w:hAnsi="Arial"/>
                <w:sz w:val="20"/>
              </w:rPr>
              <w:t>Shtylla 1: Zhvillimi i Qëndrueshëm Ekonomik</w:t>
            </w:r>
          </w:p>
          <w:p w14:paraId="670FCB86" w14:textId="77777777" w:rsidR="00870B1B" w:rsidRPr="00831C2D" w:rsidRDefault="00870B1B" w:rsidP="001E3F71">
            <w:pPr>
              <w:pStyle w:val="ListParagraph"/>
              <w:keepNext/>
              <w:keepLines/>
              <w:numPr>
                <w:ilvl w:val="1"/>
                <w:numId w:val="5"/>
              </w:numPr>
              <w:spacing w:before="40" w:after="0" w:line="240" w:lineRule="auto"/>
              <w:jc w:val="both"/>
              <w:outlineLvl w:val="1"/>
              <w:rPr>
                <w:rFonts w:ascii="Arial" w:eastAsiaTheme="majorEastAsia" w:hAnsi="Arial" w:cs="Arial"/>
                <w:sz w:val="20"/>
                <w:szCs w:val="20"/>
              </w:rPr>
            </w:pPr>
            <w:bookmarkStart w:id="2" w:name="_Toc104504632"/>
            <w:bookmarkStart w:id="3" w:name="_Toc104816800"/>
            <w:r>
              <w:rPr>
                <w:rFonts w:ascii="Arial" w:hAnsi="Arial"/>
                <w:sz w:val="20"/>
              </w:rPr>
              <w:t>Ekonomi inovative, qarkore dhe konkurruese</w:t>
            </w:r>
            <w:bookmarkStart w:id="4" w:name="_Toc104816801"/>
            <w:bookmarkEnd w:id="2"/>
            <w:bookmarkEnd w:id="3"/>
          </w:p>
          <w:p w14:paraId="63FFCF76" w14:textId="77777777" w:rsidR="00870B1B" w:rsidRPr="00831C2D" w:rsidRDefault="00870B1B" w:rsidP="001E3F71">
            <w:pPr>
              <w:pStyle w:val="ListParagraph"/>
              <w:keepNext/>
              <w:keepLines/>
              <w:numPr>
                <w:ilvl w:val="1"/>
                <w:numId w:val="5"/>
              </w:numPr>
              <w:spacing w:before="40" w:after="0" w:line="240" w:lineRule="auto"/>
              <w:jc w:val="both"/>
              <w:outlineLvl w:val="1"/>
              <w:rPr>
                <w:rFonts w:ascii="Arial" w:eastAsiaTheme="majorEastAsia" w:hAnsi="Arial" w:cs="Arial"/>
                <w:sz w:val="20"/>
                <w:szCs w:val="20"/>
              </w:rPr>
            </w:pPr>
            <w:r>
              <w:rPr>
                <w:rFonts w:ascii="Arial" w:hAnsi="Arial"/>
                <w:sz w:val="20"/>
              </w:rPr>
              <w:t>Infrastrukturë me cilësi të lartë, të qëndrueshme dhe të integruar</w:t>
            </w:r>
            <w:bookmarkStart w:id="5" w:name="_Toc104504634"/>
            <w:bookmarkStart w:id="6" w:name="_Toc104816802"/>
            <w:bookmarkEnd w:id="4"/>
          </w:p>
          <w:p w14:paraId="67C6BE67" w14:textId="77777777" w:rsidR="00870B1B" w:rsidRPr="00831C2D" w:rsidRDefault="00870B1B" w:rsidP="001E3F71">
            <w:pPr>
              <w:pStyle w:val="ListParagraph"/>
              <w:keepNext/>
              <w:keepLines/>
              <w:numPr>
                <w:ilvl w:val="1"/>
                <w:numId w:val="5"/>
              </w:numPr>
              <w:spacing w:before="40" w:after="0" w:line="240" w:lineRule="auto"/>
              <w:jc w:val="both"/>
              <w:outlineLvl w:val="1"/>
              <w:rPr>
                <w:rFonts w:ascii="Arial" w:eastAsiaTheme="majorEastAsia" w:hAnsi="Arial" w:cs="Arial"/>
                <w:sz w:val="20"/>
                <w:szCs w:val="20"/>
              </w:rPr>
            </w:pPr>
            <w:r>
              <w:rPr>
                <w:rFonts w:ascii="Arial" w:hAnsi="Arial"/>
                <w:sz w:val="20"/>
              </w:rPr>
              <w:t>Mjedis i pastër dhe shfrytëzim i qëndrueshëm i burimeve natyrore</w:t>
            </w:r>
            <w:bookmarkEnd w:id="5"/>
            <w:bookmarkEnd w:id="6"/>
          </w:p>
          <w:p w14:paraId="27CA46DF" w14:textId="7EEE72D2" w:rsidR="00870B1B" w:rsidRPr="00831C2D" w:rsidRDefault="00870B1B" w:rsidP="001E3F71">
            <w:pPr>
              <w:spacing w:after="0" w:line="240" w:lineRule="auto"/>
              <w:jc w:val="both"/>
              <w:rPr>
                <w:rFonts w:ascii="Arial" w:hAnsi="Arial" w:cs="Arial"/>
                <w:sz w:val="20"/>
                <w:szCs w:val="20"/>
              </w:rPr>
            </w:pPr>
            <w:r>
              <w:rPr>
                <w:rFonts w:ascii="Arial" w:hAnsi="Arial"/>
                <w:sz w:val="20"/>
              </w:rPr>
              <w:t>Ky synim zhvillimor do të arrihet përmes këtyre objektivave strategjikë:</w:t>
            </w:r>
            <w:r>
              <w:rPr>
                <w:rFonts w:ascii="Arial" w:hAnsi="Arial"/>
                <w:b/>
                <w:sz w:val="20"/>
              </w:rPr>
              <w:t xml:space="preserve"> </w:t>
            </w:r>
            <w:r>
              <w:rPr>
                <w:rStyle w:val="A4"/>
                <w:rFonts w:ascii="Arial" w:hAnsi="Arial"/>
                <w:b w:val="0"/>
                <w:color w:val="auto"/>
                <w:sz w:val="20"/>
              </w:rPr>
              <w:t xml:space="preserve">Menaxhimi i integruar i mbeturinave dhe rritja e qarkullimit të burimeve, qasja e përmirësuar në ujë dhe kanalizime dhe reduktimi i ndotjes së ujit, rritja e pjesës së burimeve të rinovueshme në përzierjen e energjisë, përmirësimi i efiçiencës së energjisë, disponueshmëria dhe efikasiteti i përmirësuar i ujit, promovimi i lëvizshmërisë së qëndrueshme digjitale, menaxhimi dhe përdorimi i qëndrueshëm i burimeve pyjore dhe i mbrojtjes së biodiversitetit, planifikimi përgjegjës </w:t>
            </w:r>
            <w:r>
              <w:rPr>
                <w:rFonts w:ascii="Arial" w:hAnsi="Arial"/>
                <w:sz w:val="20"/>
              </w:rPr>
              <w:t>dhe zhvillimi i integruar territorial.</w:t>
            </w:r>
          </w:p>
          <w:p w14:paraId="706459B7" w14:textId="54D2AECD" w:rsidR="00870B1B" w:rsidRPr="00831C2D" w:rsidRDefault="00870B1B" w:rsidP="001E3F71">
            <w:pPr>
              <w:spacing w:after="0" w:line="240" w:lineRule="auto"/>
              <w:jc w:val="both"/>
              <w:rPr>
                <w:rFonts w:ascii="Arial" w:hAnsi="Arial" w:cs="Arial"/>
                <w:sz w:val="20"/>
                <w:szCs w:val="20"/>
                <w:lang w:val="en-GB"/>
              </w:rPr>
            </w:pPr>
          </w:p>
          <w:p w14:paraId="20CD9371" w14:textId="78BE2DFD" w:rsidR="00340170" w:rsidRPr="00F4616D" w:rsidRDefault="00870B1B" w:rsidP="00F4616D">
            <w:pPr>
              <w:spacing w:after="0" w:line="240" w:lineRule="auto"/>
              <w:jc w:val="both"/>
              <w:rPr>
                <w:rFonts w:ascii="Arial" w:hAnsi="Arial" w:cs="Arial"/>
                <w:sz w:val="20"/>
                <w:szCs w:val="20"/>
              </w:rPr>
            </w:pPr>
            <w:r>
              <w:rPr>
                <w:rFonts w:ascii="Arial" w:hAnsi="Arial"/>
                <w:b/>
                <w:sz w:val="20"/>
              </w:rPr>
              <w:t>Programi i Qeverisë së Republikës së Kosovës 2021-2025</w:t>
            </w:r>
            <w:r>
              <w:rPr>
                <w:rFonts w:ascii="Arial" w:hAnsi="Arial"/>
                <w:sz w:val="20"/>
              </w:rPr>
              <w:t xml:space="preserve"> synon përmirësimin e menaxhimit të integruar të mbeturinave. Ndër të tjera, Qeveria do të punojë në përmirësimin e infrastrukturës fizike për grumbullimin e mbetjeve, ndërtimin e qendrave të transferimit dhe riciklimit.</w:t>
            </w:r>
          </w:p>
        </w:tc>
      </w:tr>
      <w:tr w:rsidR="00351CE9" w:rsidRPr="00831C2D" w14:paraId="74BB062F" w14:textId="77777777" w:rsidTr="00C217B2">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12AB756"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lastRenderedPageBreak/>
              <w:t>A mbulohet projekti nga strategjia sektoriale përkatëse, nga një plan veprimi sektorial apo nga një masterplan sektori?</w:t>
            </w:r>
          </w:p>
        </w:tc>
        <w:tc>
          <w:tcPr>
            <w:tcW w:w="2989" w:type="pct"/>
            <w:tcBorders>
              <w:top w:val="single" w:sz="4" w:space="0" w:color="auto"/>
              <w:left w:val="single" w:sz="4" w:space="0" w:color="auto"/>
              <w:bottom w:val="single" w:sz="4" w:space="0" w:color="auto"/>
              <w:right w:val="single" w:sz="4" w:space="0" w:color="auto"/>
            </w:tcBorders>
            <w:vAlign w:val="center"/>
          </w:tcPr>
          <w:p w14:paraId="552B30F0" w14:textId="32F72F1C" w:rsidR="00F57448" w:rsidRPr="00831C2D" w:rsidRDefault="00235921" w:rsidP="001E3F71">
            <w:pPr>
              <w:spacing w:before="60" w:after="60" w:line="260" w:lineRule="atLeast"/>
              <w:jc w:val="both"/>
              <w:rPr>
                <w:rFonts w:ascii="Arial" w:hAnsi="Arial" w:cs="Arial"/>
                <w:b/>
                <w:sz w:val="20"/>
                <w:szCs w:val="20"/>
              </w:rPr>
            </w:pPr>
            <w:r>
              <w:rPr>
                <w:rFonts w:ascii="Arial" w:hAnsi="Arial"/>
                <w:b/>
                <w:sz w:val="20"/>
              </w:rPr>
              <w:t xml:space="preserve">Strategjia e Kosovës për Menaxhimin e Integruar të Mbeturinave (2021-2030) dhe Plani i Veprimit (2021-2023)  </w:t>
            </w:r>
          </w:p>
          <w:p w14:paraId="269FF1D4" w14:textId="4FD703BD" w:rsidR="0017547F" w:rsidRPr="00F4616D" w:rsidRDefault="0017547F" w:rsidP="00F4616D">
            <w:pPr>
              <w:jc w:val="both"/>
              <w:rPr>
                <w:rFonts w:ascii="Arial" w:hAnsi="Arial" w:cs="Arial"/>
                <w:sz w:val="20"/>
                <w:szCs w:val="20"/>
              </w:rPr>
            </w:pPr>
            <w:r>
              <w:rPr>
                <w:rFonts w:ascii="Arial" w:hAnsi="Arial"/>
                <w:sz w:val="20"/>
              </w:rPr>
              <w:t>Strategjia për Menaxhimin e Integruar të Mbeturinave 2021-2030 dhe plani i ri i veprimit 2021-2023 fokusohet në reduktimin e mbetjeve, riciklimin, kompletimin e legjislacionit të mbeturinave duke përfshirë rregullimin dhe kontrollin në sektorin e menaxhimit të mbeturinave, zhvillimin e infrastrukturës, reduktimin e rreziqeve, rritjen e punësimit, ngritjen e kapaciteteve, përmirësimin e shërbimit të mbeturinave dhe ndërgjegjësimin/trajnimin. Duke synuar kalimin drejt një ekonomie qarkore përmes promovimit të vlerave dhe praktikave të saj, Strategjia e Menaxhimit të Integruar të Mbeturinave është në përputhje me objektivat e përgjithshme të asistencës së BE-së sipas prioritetit tematik 1 të dritares 3. Janë përcaktuar objektiva të qarta për zbatimin e Strategjisë. Këto objektiva mund të shihen si synime të përkohshme për Kosovën në rrugën e saj drejt anëtarësimit në BE, si përgatitje për miratimin e caqeve specifike të acquis të BE-së për menaxhimin e mbeturinave.</w:t>
            </w:r>
          </w:p>
          <w:p w14:paraId="563FE37E" w14:textId="3DBF8D07" w:rsidR="004B39E9" w:rsidRPr="00831C2D" w:rsidRDefault="00067077" w:rsidP="001E3F71">
            <w:pPr>
              <w:spacing w:before="60" w:after="60" w:line="260" w:lineRule="atLeast"/>
              <w:jc w:val="both"/>
              <w:rPr>
                <w:rFonts w:ascii="Arial" w:hAnsi="Arial" w:cs="Arial"/>
                <w:color w:val="000000"/>
                <w:sz w:val="20"/>
                <w:szCs w:val="20"/>
              </w:rPr>
            </w:pPr>
            <w:r>
              <w:rPr>
                <w:rFonts w:ascii="Arial" w:hAnsi="Arial"/>
                <w:b/>
                <w:sz w:val="20"/>
              </w:rPr>
              <w:t xml:space="preserve">3.3.2 Kapitulli i mbeturinave nga ndërtimi dhe rrënimi </w:t>
            </w:r>
            <w:r>
              <w:rPr>
                <w:rFonts w:ascii="Arial" w:hAnsi="Arial"/>
                <w:color w:val="000000"/>
                <w:sz w:val="20"/>
              </w:rPr>
              <w:t>pohon se gjendja aktuale në Kosovë sa i përket MNRr është se për shkak të zgjerimit të shpejtë të industrisë së ndërtimit, kjo rrymë mbeturinash po rritet me shpejtësi dhe po derdhet ilegalisht në tokat bujqësore dhe në lumenjtë e afërt. Përveç kësaj deponie, komunat kanë përdorur ngastra publike të tokës për hedhjen e MNRr, megjithatë këto nuk janë të ndërtuara sipas ndonjë standardi të njohur. Përveç 170,000 tonëve në vit të MNRr që vlerësohet të gjenerohet, vlerësohet se deri në vitin 2017 ka 1,572 deponi në Kosovë me ~140,000 m</w:t>
            </w:r>
            <w:r>
              <w:rPr>
                <w:rFonts w:ascii="Arial" w:hAnsi="Arial"/>
                <w:color w:val="000000"/>
                <w:sz w:val="20"/>
                <w:vertAlign w:val="superscript"/>
              </w:rPr>
              <w:t>3.</w:t>
            </w:r>
            <w:r>
              <w:rPr>
                <w:rFonts w:ascii="Arial" w:hAnsi="Arial"/>
                <w:color w:val="000000"/>
                <w:sz w:val="20"/>
              </w:rPr>
              <w:t xml:space="preserve"> të MNRr. </w:t>
            </w:r>
          </w:p>
          <w:p w14:paraId="4108FC3F" w14:textId="789224D9" w:rsidR="00351CE9" w:rsidRPr="00831C2D" w:rsidRDefault="00067077" w:rsidP="001E3F71">
            <w:pPr>
              <w:spacing w:before="60" w:after="60" w:line="260" w:lineRule="atLeast"/>
              <w:jc w:val="both"/>
              <w:rPr>
                <w:rFonts w:ascii="Arial" w:hAnsi="Arial" w:cs="Arial"/>
                <w:color w:val="000000"/>
                <w:sz w:val="20"/>
                <w:szCs w:val="20"/>
              </w:rPr>
            </w:pPr>
            <w:r>
              <w:rPr>
                <w:rFonts w:ascii="Arial" w:hAnsi="Arial"/>
                <w:color w:val="000000"/>
                <w:sz w:val="20"/>
              </w:rPr>
              <w:t>Në Kosovë nuk ka më një objekt funksional për trajtimin e mbeturinave të azbestit dhe ky po bëhet problem serioz. Sondazhet në vende të tjera tregojnë se materialet e rrezikshme (azbesti, plumbi, substanca të tjera të rrezikshme) në MNRr mund të përbëjnë deri në 15%. Zakonisht supozohet se azbesti përbën 2.5-5% të totalit të mbeturinave historike të MNRr. Bazuar në vlerësimin e AMMK-së të sasive totale të MNRr-së, asbesti pritet të jetë në intervalin 4,000 – 9,000 tonë në vit.</w:t>
            </w:r>
          </w:p>
          <w:p w14:paraId="4CC9CC9A" w14:textId="5B827948" w:rsidR="006451D3" w:rsidRPr="006451D3" w:rsidRDefault="00580EC1" w:rsidP="006451D3">
            <w:pPr>
              <w:spacing w:before="60" w:after="60" w:line="260" w:lineRule="atLeast"/>
              <w:jc w:val="both"/>
              <w:rPr>
                <w:rFonts w:ascii="Arial" w:hAnsi="Arial" w:cs="Arial"/>
                <w:sz w:val="20"/>
                <w:szCs w:val="20"/>
              </w:rPr>
            </w:pPr>
            <w:r>
              <w:rPr>
                <w:rFonts w:ascii="Arial" w:hAnsi="Arial"/>
                <w:sz w:val="20"/>
              </w:rPr>
              <w:t>Ndërhyrja është gjithashtu koherente me objektivin specifik 1.3 (</w:t>
            </w:r>
            <w:r>
              <w:rPr>
                <w:rFonts w:ascii="Arial" w:hAnsi="Arial"/>
                <w:i/>
                <w:sz w:val="20"/>
              </w:rPr>
              <w:t>Zhvillimi i sistemeve për të kontrolluar dhe menaxhuar mbeturinat e tjera</w:t>
            </w:r>
            <w:r>
              <w:rPr>
                <w:rFonts w:ascii="Arial" w:hAnsi="Arial"/>
                <w:sz w:val="20"/>
              </w:rPr>
              <w:t>) dhe Veprimet lidhur me MNRr 1.3.1, 1.3.2, 1.3.3. dhe 1.3.4. të IWMS 2021-2030 si dhe me analizën e parë të kryer në kuadër të studimit të BERZH-it në vazhdim “</w:t>
            </w:r>
            <w:r>
              <w:rPr>
                <w:rFonts w:ascii="Arial" w:hAnsi="Arial"/>
                <w:i/>
                <w:sz w:val="20"/>
              </w:rPr>
              <w:t>Hartimi i Planit për Menaxhimin e Mbeturinave nga Ndërtimi dhe Rrënimi në Kosovë.</w:t>
            </w:r>
            <w:r>
              <w:rPr>
                <w:rFonts w:ascii="Arial" w:hAnsi="Arial"/>
                <w:sz w:val="20"/>
              </w:rPr>
              <w:t xml:space="preserve">” </w:t>
            </w:r>
          </w:p>
        </w:tc>
      </w:tr>
    </w:tbl>
    <w:p w14:paraId="2DBD7B83" w14:textId="196D207F" w:rsidR="004B39E9" w:rsidRPr="00831C2D" w:rsidRDefault="004B39E9" w:rsidP="001E3F71">
      <w:pPr>
        <w:spacing w:after="160" w:line="259" w:lineRule="auto"/>
        <w:jc w:val="both"/>
        <w:rPr>
          <w:rFonts w:ascii="Arial" w:hAnsi="Arial" w:cs="Arial"/>
          <w:b/>
          <w:sz w:val="20"/>
          <w:szCs w:val="20"/>
          <w:lang w:val="en-GB"/>
        </w:rPr>
      </w:pPr>
    </w:p>
    <w:p w14:paraId="1FABC617" w14:textId="3F7CB1CA" w:rsidR="00351CE9" w:rsidRPr="00831C2D" w:rsidRDefault="00351CE9" w:rsidP="001E3F71">
      <w:pPr>
        <w:pStyle w:val="ListParagraph"/>
        <w:numPr>
          <w:ilvl w:val="0"/>
          <w:numId w:val="2"/>
        </w:numPr>
        <w:spacing w:before="200" w:after="120"/>
        <w:jc w:val="both"/>
        <w:rPr>
          <w:rFonts w:ascii="Arial" w:hAnsi="Arial" w:cs="Arial"/>
          <w:b/>
          <w:sz w:val="20"/>
          <w:szCs w:val="20"/>
        </w:rPr>
      </w:pPr>
      <w:r>
        <w:rPr>
          <w:rFonts w:ascii="Arial" w:hAnsi="Arial"/>
          <w:b/>
          <w:sz w:val="20"/>
        </w:rPr>
        <w:t>RELEVANCA STRATEGJIKE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721"/>
        <w:gridCol w:w="5530"/>
      </w:tblGrid>
      <w:tr w:rsidR="00351CE9" w:rsidRPr="00831C2D" w14:paraId="41FB9CDD" w14:textId="77777777" w:rsidTr="00C217B2">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BDB2A89" w14:textId="77777777" w:rsidR="00351CE9" w:rsidRPr="00831C2D" w:rsidRDefault="00351CE9" w:rsidP="001E3F71">
            <w:pPr>
              <w:spacing w:after="0" w:line="240" w:lineRule="auto"/>
              <w:jc w:val="both"/>
              <w:rPr>
                <w:rFonts w:ascii="Arial" w:hAnsi="Arial" w:cs="Arial"/>
                <w:sz w:val="20"/>
                <w:szCs w:val="20"/>
              </w:rPr>
            </w:pPr>
            <w:r>
              <w:rPr>
                <w:rFonts w:ascii="Arial" w:hAnsi="Arial"/>
                <w:b/>
                <w:sz w:val="20"/>
              </w:rPr>
              <w:t>Shpjegoni veçoritë e projektit në lidhje me:</w:t>
            </w:r>
          </w:p>
        </w:tc>
      </w:tr>
      <w:tr w:rsidR="00351CE9" w:rsidRPr="00831C2D" w14:paraId="38A91B79" w14:textId="77777777" w:rsidTr="00C217B2">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CBDB4FB" w14:textId="619F3BD6" w:rsidR="00351CE9" w:rsidRPr="00831C2D" w:rsidRDefault="00710C92" w:rsidP="001E3F71">
            <w:pPr>
              <w:spacing w:after="0" w:line="240" w:lineRule="auto"/>
              <w:jc w:val="both"/>
              <w:rPr>
                <w:rFonts w:ascii="Arial" w:hAnsi="Arial" w:cs="Arial"/>
                <w:sz w:val="20"/>
                <w:szCs w:val="20"/>
              </w:rPr>
            </w:pPr>
            <w:r>
              <w:rPr>
                <w:rFonts w:ascii="Arial" w:hAnsi="Arial"/>
                <w:sz w:val="20"/>
              </w:rPr>
              <w:lastRenderedPageBreak/>
              <w:t>Përfitimet e</w:t>
            </w:r>
            <w:r w:rsidR="00351CE9">
              <w:rPr>
                <w:rFonts w:ascii="Arial" w:hAnsi="Arial"/>
                <w:sz w:val="20"/>
              </w:rPr>
              <w:t xml:space="preserve"> drejtpërdrejta për mjedisin</w:t>
            </w:r>
          </w:p>
        </w:tc>
        <w:tc>
          <w:tcPr>
            <w:tcW w:w="2989" w:type="pct"/>
            <w:tcBorders>
              <w:top w:val="single" w:sz="4" w:space="0" w:color="auto"/>
              <w:left w:val="single" w:sz="4" w:space="0" w:color="auto"/>
              <w:bottom w:val="single" w:sz="4" w:space="0" w:color="auto"/>
              <w:right w:val="single" w:sz="4" w:space="0" w:color="auto"/>
            </w:tcBorders>
          </w:tcPr>
          <w:p w14:paraId="44D4F433" w14:textId="3620B8B1" w:rsidR="00351CE9" w:rsidRPr="00831C2D" w:rsidRDefault="00351CE9" w:rsidP="001E3F71">
            <w:pPr>
              <w:spacing w:before="60" w:after="60" w:line="260" w:lineRule="atLeast"/>
              <w:jc w:val="both"/>
              <w:rPr>
                <w:rFonts w:ascii="Arial" w:hAnsi="Arial" w:cs="Arial"/>
                <w:sz w:val="20"/>
                <w:szCs w:val="20"/>
              </w:rPr>
            </w:pPr>
            <w:r>
              <w:rPr>
                <w:rStyle w:val="hps"/>
                <w:rFonts w:ascii="Arial" w:hAnsi="Arial"/>
                <w:sz w:val="20"/>
              </w:rPr>
              <w:t xml:space="preserve">Reduktimin e </w:t>
            </w:r>
            <w:r>
              <w:rPr>
                <w:rFonts w:ascii="Arial" w:hAnsi="Arial"/>
                <w:sz w:val="20"/>
              </w:rPr>
              <w:t xml:space="preserve">prodhimit </w:t>
            </w:r>
            <w:r>
              <w:rPr>
                <w:rStyle w:val="hps"/>
                <w:rFonts w:ascii="Arial" w:hAnsi="Arial"/>
                <w:sz w:val="20"/>
              </w:rPr>
              <w:t>të mbeturinave dhe sasisë së mbeturinave që duhet të asgjësohet</w:t>
            </w:r>
            <w:r>
              <w:rPr>
                <w:rFonts w:ascii="Arial" w:hAnsi="Arial"/>
                <w:sz w:val="20"/>
              </w:rPr>
              <w:t>, mbrojtjen e tokës, ajrit dhe ujit nga ndotja.</w:t>
            </w:r>
          </w:p>
        </w:tc>
      </w:tr>
      <w:tr w:rsidR="00351CE9" w:rsidRPr="00831C2D" w14:paraId="206184C9" w14:textId="77777777" w:rsidTr="00C217B2">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A8FCDB8" w14:textId="56309967" w:rsidR="00351CE9" w:rsidRPr="00831C2D" w:rsidRDefault="00710C92" w:rsidP="001E3F71">
            <w:pPr>
              <w:spacing w:after="0" w:line="240" w:lineRule="auto"/>
              <w:jc w:val="both"/>
              <w:rPr>
                <w:rFonts w:ascii="Arial" w:hAnsi="Arial" w:cs="Arial"/>
                <w:color w:val="FF0000"/>
                <w:sz w:val="20"/>
                <w:szCs w:val="20"/>
              </w:rPr>
            </w:pPr>
            <w:r>
              <w:rPr>
                <w:rFonts w:ascii="Arial" w:hAnsi="Arial"/>
                <w:color w:val="000000" w:themeColor="text1"/>
                <w:sz w:val="20"/>
              </w:rPr>
              <w:t>Kontributin</w:t>
            </w:r>
            <w:r w:rsidR="00351CE9">
              <w:rPr>
                <w:rFonts w:ascii="Arial" w:hAnsi="Arial"/>
                <w:color w:val="000000" w:themeColor="text1"/>
                <w:sz w:val="20"/>
              </w:rPr>
              <w:t xml:space="preserve"> në reduktimin e CO</w:t>
            </w:r>
            <w:r w:rsidR="00351CE9">
              <w:rPr>
                <w:rFonts w:ascii="Arial" w:hAnsi="Arial"/>
                <w:color w:val="000000" w:themeColor="text1"/>
                <w:sz w:val="20"/>
                <w:vertAlign w:val="subscript"/>
              </w:rPr>
              <w:t>2</w:t>
            </w:r>
            <w:r w:rsidR="00351CE9">
              <w:rPr>
                <w:rFonts w:ascii="Arial" w:hAnsi="Arial"/>
                <w:color w:val="000000" w:themeColor="text1"/>
                <w:sz w:val="20"/>
              </w:rPr>
              <w:t xml:space="preserve"> dhe/ose zhurmave dhe/ose emetimeve të tjera të dëmshme</w:t>
            </w:r>
          </w:p>
        </w:tc>
        <w:tc>
          <w:tcPr>
            <w:tcW w:w="2989" w:type="pct"/>
            <w:tcBorders>
              <w:top w:val="single" w:sz="4" w:space="0" w:color="auto"/>
              <w:left w:val="single" w:sz="4" w:space="0" w:color="auto"/>
              <w:bottom w:val="single" w:sz="4" w:space="0" w:color="auto"/>
              <w:right w:val="single" w:sz="4" w:space="0" w:color="auto"/>
            </w:tcBorders>
          </w:tcPr>
          <w:p w14:paraId="09D3E0BE" w14:textId="46057F31" w:rsidR="00351CE9" w:rsidRPr="00831C2D" w:rsidRDefault="00351CE9" w:rsidP="001E3F71">
            <w:pPr>
              <w:spacing w:before="60" w:after="60" w:line="260" w:lineRule="atLeast"/>
              <w:jc w:val="both"/>
              <w:rPr>
                <w:rFonts w:ascii="Arial" w:hAnsi="Arial" w:cs="Arial"/>
                <w:color w:val="FF0000"/>
                <w:sz w:val="20"/>
                <w:szCs w:val="20"/>
              </w:rPr>
            </w:pPr>
            <w:r>
              <w:rPr>
                <w:rStyle w:val="hps"/>
                <w:rFonts w:ascii="Arial" w:hAnsi="Arial"/>
                <w:color w:val="000000" w:themeColor="text1"/>
                <w:sz w:val="20"/>
              </w:rPr>
              <w:t>Emetimet CO</w:t>
            </w:r>
            <w:r>
              <w:rPr>
                <w:rStyle w:val="hps"/>
                <w:rFonts w:ascii="Arial" w:hAnsi="Arial"/>
                <w:color w:val="000000" w:themeColor="text1"/>
                <w:sz w:val="20"/>
                <w:vertAlign w:val="subscript"/>
              </w:rPr>
              <w:t>2</w:t>
            </w:r>
            <w:r>
              <w:rPr>
                <w:rStyle w:val="hps"/>
                <w:rFonts w:ascii="Arial" w:hAnsi="Arial"/>
                <w:color w:val="000000" w:themeColor="text1"/>
                <w:sz w:val="20"/>
              </w:rPr>
              <w:t xml:space="preserve"> do të reduktohen, duke ruajtur në thelb të njëjtat emetime për shkak të transportit të MNRr në objektet e trajtimit dhe në qendrat e ndërtimit, por duke eliminuar emetimet me CO</w:t>
            </w:r>
            <w:r>
              <w:rPr>
                <w:rStyle w:val="hps"/>
                <w:rFonts w:ascii="Arial" w:hAnsi="Arial"/>
                <w:color w:val="000000" w:themeColor="text1"/>
                <w:sz w:val="20"/>
                <w:vertAlign w:val="subscript"/>
              </w:rPr>
              <w:t>2</w:t>
            </w:r>
            <w:r>
              <w:rPr>
                <w:rStyle w:val="hps"/>
                <w:rFonts w:ascii="Arial" w:hAnsi="Arial"/>
                <w:color w:val="000000" w:themeColor="text1"/>
                <w:sz w:val="20"/>
              </w:rPr>
              <w:t xml:space="preserve"> për shkak të proceseve të gërmimit dhe ndarjes për prodhimin e materialeve të ndërtimit që nuk do të jenë më të nevojshme sepse materiali i ricikluar do të përdoret si lëndë e parë dytësore në vend të shfrytëzimit të burimeve natyrore.</w:t>
            </w:r>
          </w:p>
        </w:tc>
      </w:tr>
      <w:tr w:rsidR="00351CE9" w:rsidRPr="00831C2D" w14:paraId="27A4B538" w14:textId="77777777" w:rsidTr="00C217B2">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82FC97E"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Numrin e personave që do të përfitojnë nga projekti</w:t>
            </w:r>
          </w:p>
        </w:tc>
        <w:tc>
          <w:tcPr>
            <w:tcW w:w="2989" w:type="pct"/>
            <w:tcBorders>
              <w:top w:val="single" w:sz="4" w:space="0" w:color="auto"/>
              <w:left w:val="single" w:sz="4" w:space="0" w:color="auto"/>
              <w:bottom w:val="single" w:sz="4" w:space="0" w:color="auto"/>
              <w:right w:val="single" w:sz="4" w:space="0" w:color="auto"/>
            </w:tcBorders>
          </w:tcPr>
          <w:p w14:paraId="3C51C2A3" w14:textId="27ECBCEA" w:rsidR="00351CE9" w:rsidRPr="00831C2D" w:rsidRDefault="00351CE9" w:rsidP="001E3F71">
            <w:pPr>
              <w:spacing w:before="60" w:after="60" w:line="260" w:lineRule="atLeast"/>
              <w:jc w:val="both"/>
              <w:rPr>
                <w:rFonts w:ascii="Arial" w:hAnsi="Arial" w:cs="Arial"/>
                <w:sz w:val="20"/>
                <w:szCs w:val="20"/>
              </w:rPr>
            </w:pPr>
            <w:r>
              <w:rPr>
                <w:rFonts w:ascii="Arial" w:hAnsi="Arial"/>
                <w:sz w:val="20"/>
              </w:rPr>
              <w:t xml:space="preserve">Rreth gjysma e popullsisë së Kosovës, pra rreth 815,000 banorë. </w:t>
            </w:r>
          </w:p>
        </w:tc>
      </w:tr>
      <w:tr w:rsidR="00351CE9" w:rsidRPr="00831C2D" w14:paraId="10A870EA" w14:textId="77777777" w:rsidTr="00C217B2">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4C8DC30" w14:textId="253ADE7F" w:rsidR="00351CE9" w:rsidRPr="00831C2D" w:rsidRDefault="00710C92" w:rsidP="001E3F71">
            <w:pPr>
              <w:spacing w:after="0" w:line="240" w:lineRule="auto"/>
              <w:jc w:val="both"/>
              <w:rPr>
                <w:rFonts w:ascii="Arial" w:hAnsi="Arial" w:cs="Arial"/>
                <w:sz w:val="20"/>
                <w:szCs w:val="20"/>
              </w:rPr>
            </w:pPr>
            <w:r>
              <w:rPr>
                <w:rFonts w:ascii="Arial" w:hAnsi="Arial"/>
                <w:sz w:val="20"/>
              </w:rPr>
              <w:t xml:space="preserve">Shkallën në të cilën </w:t>
            </w:r>
            <w:r w:rsidR="00351CE9">
              <w:rPr>
                <w:rFonts w:ascii="Arial" w:hAnsi="Arial"/>
                <w:sz w:val="20"/>
              </w:rPr>
              <w:t>kontribuon në uljen e ndotjes në një rajon më të gjerë rreth vendndodhjes së tij</w:t>
            </w:r>
          </w:p>
        </w:tc>
        <w:tc>
          <w:tcPr>
            <w:tcW w:w="2989" w:type="pct"/>
            <w:tcBorders>
              <w:top w:val="single" w:sz="4" w:space="0" w:color="auto"/>
              <w:left w:val="single" w:sz="4" w:space="0" w:color="auto"/>
              <w:bottom w:val="single" w:sz="4" w:space="0" w:color="auto"/>
              <w:right w:val="single" w:sz="4" w:space="0" w:color="auto"/>
            </w:tcBorders>
          </w:tcPr>
          <w:p w14:paraId="58B41C24" w14:textId="5303D699" w:rsidR="00351CE9" w:rsidRPr="00831C2D" w:rsidRDefault="00351CE9" w:rsidP="001E3F71">
            <w:pPr>
              <w:spacing w:before="60" w:after="60" w:line="260" w:lineRule="atLeast"/>
              <w:jc w:val="both"/>
              <w:rPr>
                <w:rFonts w:ascii="Arial" w:hAnsi="Arial" w:cs="Arial"/>
                <w:sz w:val="20"/>
                <w:szCs w:val="20"/>
              </w:rPr>
            </w:pPr>
            <w:r>
              <w:rPr>
                <w:rStyle w:val="hps"/>
                <w:rFonts w:ascii="Arial" w:hAnsi="Arial"/>
                <w:sz w:val="20"/>
              </w:rPr>
              <w:t xml:space="preserve">Ndërtimi i </w:t>
            </w:r>
            <w:r>
              <w:rPr>
                <w:rFonts w:ascii="Arial" w:hAnsi="Arial"/>
                <w:sz w:val="20"/>
              </w:rPr>
              <w:t xml:space="preserve">qendrave për trajtimin e mbeturinave nga ndërtimi dhe rrënimi i objekteve </w:t>
            </w:r>
            <w:r>
              <w:rPr>
                <w:rStyle w:val="hps"/>
                <w:rFonts w:ascii="Arial" w:hAnsi="Arial"/>
                <w:sz w:val="20"/>
              </w:rPr>
              <w:t>do të ndikojnë shumë në eliminimin e deponive të paligjshme që aktualisht ndodhen në mbi 400 lokacione dhe po gjenerojnë vazhdimisht ndotje dhe shpërdorojnë materialet me interes për riciklim.</w:t>
            </w:r>
          </w:p>
        </w:tc>
      </w:tr>
      <w:tr w:rsidR="00351CE9" w:rsidRPr="00831C2D" w14:paraId="6888FA69" w14:textId="77777777" w:rsidTr="00C217B2">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90080B3"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Përballueshmërinë e shërbimeve për përdoruesit fundorë</w:t>
            </w:r>
          </w:p>
        </w:tc>
        <w:tc>
          <w:tcPr>
            <w:tcW w:w="2989" w:type="pct"/>
            <w:tcBorders>
              <w:top w:val="single" w:sz="4" w:space="0" w:color="auto"/>
              <w:left w:val="single" w:sz="4" w:space="0" w:color="auto"/>
              <w:bottom w:val="single" w:sz="4" w:space="0" w:color="auto"/>
              <w:right w:val="single" w:sz="4" w:space="0" w:color="auto"/>
            </w:tcBorders>
          </w:tcPr>
          <w:p w14:paraId="135615A4" w14:textId="77777777" w:rsidR="00351CE9" w:rsidRPr="00831C2D" w:rsidRDefault="00351CE9" w:rsidP="001E3F71">
            <w:pPr>
              <w:spacing w:before="60" w:after="60" w:line="260" w:lineRule="atLeast"/>
              <w:jc w:val="both"/>
              <w:rPr>
                <w:rFonts w:ascii="Arial" w:hAnsi="Arial" w:cs="Arial"/>
                <w:sz w:val="20"/>
                <w:szCs w:val="20"/>
              </w:rPr>
            </w:pPr>
            <w:r>
              <w:rPr>
                <w:rStyle w:val="hps"/>
                <w:rFonts w:ascii="Arial" w:hAnsi="Arial"/>
                <w:sz w:val="20"/>
              </w:rPr>
              <w:t xml:space="preserve">Qendrat </w:t>
            </w:r>
            <w:r>
              <w:rPr>
                <w:rFonts w:ascii="Arial" w:hAnsi="Arial"/>
                <w:sz w:val="20"/>
              </w:rPr>
              <w:t>për trajtimin e mbeturinave nga ndërtimi dhe rrënimi i objekteve</w:t>
            </w:r>
            <w:r>
              <w:rPr>
                <w:rStyle w:val="hps"/>
                <w:rFonts w:ascii="Arial" w:hAnsi="Arial"/>
                <w:sz w:val="20"/>
              </w:rPr>
              <w:t xml:space="preserve"> mund të krijojnë mundësi për gjenerim fitimi nëpërmjet shitjes së lëndëve të para dytësore që prodhohen pas ndarjes dhe përpunimit të mbetjeve.</w:t>
            </w:r>
          </w:p>
        </w:tc>
      </w:tr>
      <w:tr w:rsidR="00351CE9" w:rsidRPr="00831C2D" w14:paraId="69B7758D" w14:textId="77777777" w:rsidTr="00C217B2">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9FB7312"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Rreziqet që lidhen me projektin</w:t>
            </w:r>
          </w:p>
        </w:tc>
        <w:tc>
          <w:tcPr>
            <w:tcW w:w="2989" w:type="pct"/>
            <w:tcBorders>
              <w:top w:val="single" w:sz="4" w:space="0" w:color="auto"/>
              <w:left w:val="single" w:sz="4" w:space="0" w:color="auto"/>
              <w:bottom w:val="single" w:sz="4" w:space="0" w:color="auto"/>
              <w:right w:val="single" w:sz="4" w:space="0" w:color="auto"/>
            </w:tcBorders>
          </w:tcPr>
          <w:p w14:paraId="6E7A6D13" w14:textId="65D3475F" w:rsidR="00351CE9" w:rsidRPr="00831C2D" w:rsidRDefault="00351CE9" w:rsidP="001E3F71">
            <w:pPr>
              <w:spacing w:before="60" w:after="60" w:line="260" w:lineRule="atLeast"/>
              <w:jc w:val="both"/>
              <w:rPr>
                <w:rFonts w:ascii="Arial" w:hAnsi="Arial" w:cs="Arial"/>
                <w:sz w:val="20"/>
                <w:szCs w:val="20"/>
              </w:rPr>
            </w:pPr>
            <w:r>
              <w:rPr>
                <w:rStyle w:val="hps"/>
                <w:rFonts w:ascii="Arial" w:hAnsi="Arial"/>
                <w:sz w:val="20"/>
              </w:rPr>
              <w:t>Projekti nuk paraqet ndonjë rrezik dhe ndikim të veçantë</w:t>
            </w:r>
            <w:r>
              <w:rPr>
                <w:rFonts w:ascii="Arial" w:hAnsi="Arial"/>
                <w:sz w:val="20"/>
              </w:rPr>
              <w:t xml:space="preserve"> sepse </w:t>
            </w:r>
            <w:r>
              <w:rPr>
                <w:rStyle w:val="hps"/>
                <w:rFonts w:ascii="Arial" w:hAnsi="Arial"/>
                <w:sz w:val="20"/>
              </w:rPr>
              <w:t>mbetjet e rrezikshme do të menaxhohen në qendra të tjera adekuate të ndërtuara për mbetje të rrezikshme</w:t>
            </w:r>
            <w:r>
              <w:rPr>
                <w:rFonts w:ascii="Arial" w:hAnsi="Arial"/>
                <w:sz w:val="20"/>
              </w:rPr>
              <w:t xml:space="preserve">. </w:t>
            </w:r>
            <w:r>
              <w:rPr>
                <w:rStyle w:val="hps"/>
                <w:rFonts w:ascii="Arial" w:hAnsi="Arial"/>
                <w:sz w:val="20"/>
              </w:rPr>
              <w:t>Operatori duhet të respektojë rregulloret dhe standardet për mbrojtjen e punëtorëve në vendin e punës</w:t>
            </w:r>
            <w:r>
              <w:rPr>
                <w:rFonts w:ascii="Arial" w:hAnsi="Arial"/>
                <w:sz w:val="20"/>
              </w:rPr>
              <w:t>.</w:t>
            </w:r>
          </w:p>
        </w:tc>
      </w:tr>
      <w:tr w:rsidR="00351CE9" w:rsidRPr="00831C2D" w14:paraId="0E256159" w14:textId="77777777" w:rsidTr="00C217B2">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E25819B"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Partneritetin e organizatave dhe institucioneve të përfshira</w:t>
            </w:r>
          </w:p>
        </w:tc>
        <w:tc>
          <w:tcPr>
            <w:tcW w:w="2989" w:type="pct"/>
            <w:tcBorders>
              <w:top w:val="single" w:sz="4" w:space="0" w:color="auto"/>
              <w:left w:val="single" w:sz="4" w:space="0" w:color="auto"/>
              <w:bottom w:val="single" w:sz="4" w:space="0" w:color="auto"/>
              <w:right w:val="single" w:sz="4" w:space="0" w:color="auto"/>
            </w:tcBorders>
          </w:tcPr>
          <w:p w14:paraId="3FE9F9EA" w14:textId="56D6DD28" w:rsidR="00351CE9" w:rsidRPr="00831C2D" w:rsidRDefault="00E531D1" w:rsidP="001E3F71">
            <w:pPr>
              <w:spacing w:before="60" w:after="60" w:line="260" w:lineRule="atLeast"/>
              <w:jc w:val="both"/>
              <w:rPr>
                <w:rFonts w:ascii="Arial" w:hAnsi="Arial" w:cs="Arial"/>
                <w:noProof/>
                <w:sz w:val="20"/>
                <w:szCs w:val="20"/>
              </w:rPr>
            </w:pPr>
            <w:r>
              <w:rPr>
                <w:rFonts w:ascii="Arial" w:hAnsi="Arial"/>
                <w:sz w:val="20"/>
              </w:rPr>
              <w:t>Ministria e Mjedisit, Planifikimit Hapësinor dhe Infrastrukturës, Ministria e Ekonomisë, Ministria e Industrisë, Ndërmarrësisë dhe Tregtisë duhet të përfshihen për të mbështetur operatorët e mbeturinave veçanërisht në fillim të aktivitetit të tyre, derisa të krijojnë mundësi për vetëorganizimin e biznesit, komunave, komunitetit.</w:t>
            </w:r>
            <w:r>
              <w:rPr>
                <w:rStyle w:val="hps"/>
                <w:rFonts w:ascii="Arial" w:hAnsi="Arial"/>
                <w:sz w:val="20"/>
              </w:rPr>
              <w:t xml:space="preserve"> </w:t>
            </w:r>
          </w:p>
        </w:tc>
      </w:tr>
    </w:tbl>
    <w:p w14:paraId="009A0AD8" w14:textId="648B0E93" w:rsidR="004D3993" w:rsidRPr="00831C2D" w:rsidRDefault="004D3993" w:rsidP="001E3F71">
      <w:pPr>
        <w:spacing w:after="160" w:line="259" w:lineRule="auto"/>
        <w:jc w:val="both"/>
        <w:rPr>
          <w:rFonts w:ascii="Arial" w:eastAsiaTheme="majorEastAsia" w:hAnsi="Arial" w:cs="Arial"/>
          <w:b/>
          <w:bCs/>
          <w:sz w:val="20"/>
          <w:szCs w:val="20"/>
        </w:rPr>
      </w:pPr>
      <w:bookmarkStart w:id="7" w:name="_Toc436501976"/>
    </w:p>
    <w:p w14:paraId="4B1456EB" w14:textId="3ED543B7" w:rsidR="00351CE9" w:rsidRPr="00F4616D" w:rsidRDefault="00351CE9" w:rsidP="00F4616D">
      <w:pPr>
        <w:pStyle w:val="Heading1"/>
        <w:spacing w:before="240" w:after="120"/>
        <w:jc w:val="center"/>
        <w:rPr>
          <w:rFonts w:ascii="Arial" w:hAnsi="Arial" w:cs="Arial"/>
          <w:color w:val="auto"/>
          <w:sz w:val="24"/>
          <w:szCs w:val="24"/>
        </w:rPr>
      </w:pPr>
      <w:r>
        <w:rPr>
          <w:rFonts w:ascii="Arial" w:hAnsi="Arial"/>
          <w:color w:val="auto"/>
          <w:sz w:val="24"/>
        </w:rPr>
        <w:t>Pjesa e dytë</w:t>
      </w:r>
      <w:bookmarkEnd w:id="7"/>
    </w:p>
    <w:p w14:paraId="66574910" w14:textId="77777777" w:rsidR="00351CE9" w:rsidRPr="00831C2D" w:rsidRDefault="00351CE9" w:rsidP="001E3F71">
      <w:pPr>
        <w:pStyle w:val="ListParagraph"/>
        <w:numPr>
          <w:ilvl w:val="0"/>
          <w:numId w:val="2"/>
        </w:numPr>
        <w:spacing w:after="120"/>
        <w:jc w:val="both"/>
        <w:rPr>
          <w:rFonts w:ascii="Arial" w:hAnsi="Arial" w:cs="Arial"/>
          <w:b/>
          <w:sz w:val="20"/>
          <w:szCs w:val="20"/>
        </w:rPr>
      </w:pPr>
      <w:r>
        <w:rPr>
          <w:rFonts w:ascii="Arial" w:hAnsi="Arial"/>
          <w:b/>
          <w:sz w:val="20"/>
        </w:rPr>
        <w:t>MATURITETI</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gridCol w:w="1480"/>
        <w:gridCol w:w="1317"/>
        <w:gridCol w:w="1201"/>
      </w:tblGrid>
      <w:tr w:rsidR="00351CE9" w:rsidRPr="00831C2D" w14:paraId="1654436A" w14:textId="77777777" w:rsidTr="00C217B2">
        <w:trPr>
          <w:trHeight w:val="417"/>
          <w:jc w:val="center"/>
        </w:trPr>
        <w:tc>
          <w:tcPr>
            <w:tcW w:w="2839" w:type="pct"/>
            <w:shd w:val="clear" w:color="auto" w:fill="D9D9D9" w:themeFill="background1" w:themeFillShade="D9"/>
            <w:vAlign w:val="center"/>
          </w:tcPr>
          <w:p w14:paraId="3D9AE6E5" w14:textId="77777777" w:rsidR="00351CE9" w:rsidRPr="00831C2D" w:rsidRDefault="00351CE9" w:rsidP="001E3F71">
            <w:pPr>
              <w:spacing w:after="0" w:line="240" w:lineRule="auto"/>
              <w:jc w:val="both"/>
              <w:rPr>
                <w:rFonts w:ascii="Arial" w:hAnsi="Arial" w:cs="Arial"/>
                <w:b/>
                <w:sz w:val="20"/>
                <w:szCs w:val="20"/>
              </w:rPr>
            </w:pPr>
            <w:r>
              <w:rPr>
                <w:rFonts w:ascii="Arial" w:hAnsi="Arial"/>
                <w:b/>
                <w:sz w:val="20"/>
              </w:rPr>
              <w:t>Studimet dhe dokumentet në dispozicion</w:t>
            </w:r>
          </w:p>
        </w:tc>
        <w:tc>
          <w:tcPr>
            <w:tcW w:w="800" w:type="pct"/>
            <w:shd w:val="clear" w:color="auto" w:fill="D9D9D9" w:themeFill="background1" w:themeFillShade="D9"/>
            <w:vAlign w:val="center"/>
          </w:tcPr>
          <w:p w14:paraId="7A98B13C" w14:textId="77777777" w:rsidR="00351CE9" w:rsidRPr="00831C2D" w:rsidRDefault="00351CE9" w:rsidP="001E3F71">
            <w:pPr>
              <w:spacing w:after="0" w:line="240" w:lineRule="auto"/>
              <w:jc w:val="both"/>
              <w:rPr>
                <w:rFonts w:ascii="Arial" w:hAnsi="Arial" w:cs="Arial"/>
                <w:b/>
                <w:sz w:val="20"/>
                <w:szCs w:val="20"/>
              </w:rPr>
            </w:pPr>
            <w:r>
              <w:rPr>
                <w:rFonts w:ascii="Arial" w:hAnsi="Arial"/>
                <w:b/>
                <w:sz w:val="20"/>
              </w:rPr>
              <w:t>Gati dhe të miratuara</w:t>
            </w:r>
          </w:p>
        </w:tc>
        <w:tc>
          <w:tcPr>
            <w:tcW w:w="712" w:type="pct"/>
            <w:shd w:val="clear" w:color="auto" w:fill="D9D9D9" w:themeFill="background1" w:themeFillShade="D9"/>
            <w:vAlign w:val="center"/>
          </w:tcPr>
          <w:p w14:paraId="4ED44707" w14:textId="77777777" w:rsidR="00351CE9" w:rsidRPr="00831C2D" w:rsidRDefault="00351CE9" w:rsidP="001E3F71">
            <w:pPr>
              <w:spacing w:after="0" w:line="240" w:lineRule="auto"/>
              <w:jc w:val="both"/>
              <w:rPr>
                <w:rFonts w:ascii="Arial" w:hAnsi="Arial" w:cs="Arial"/>
                <w:b/>
                <w:sz w:val="20"/>
                <w:szCs w:val="20"/>
              </w:rPr>
            </w:pPr>
            <w:r>
              <w:rPr>
                <w:rFonts w:ascii="Arial" w:hAnsi="Arial"/>
                <w:b/>
                <w:sz w:val="20"/>
              </w:rPr>
              <w:t>Duke u punuar</w:t>
            </w:r>
          </w:p>
        </w:tc>
        <w:tc>
          <w:tcPr>
            <w:tcW w:w="649" w:type="pct"/>
            <w:shd w:val="clear" w:color="auto" w:fill="D9D9D9" w:themeFill="background1" w:themeFillShade="D9"/>
            <w:vAlign w:val="center"/>
          </w:tcPr>
          <w:p w14:paraId="40B5B7AD" w14:textId="77777777" w:rsidR="00351CE9" w:rsidRPr="00831C2D" w:rsidRDefault="00351CE9" w:rsidP="001E3F71">
            <w:pPr>
              <w:spacing w:after="0" w:line="240" w:lineRule="auto"/>
              <w:jc w:val="both"/>
              <w:rPr>
                <w:rFonts w:ascii="Arial" w:hAnsi="Arial" w:cs="Arial"/>
                <w:b/>
                <w:sz w:val="20"/>
                <w:szCs w:val="20"/>
              </w:rPr>
            </w:pPr>
            <w:r>
              <w:rPr>
                <w:rFonts w:ascii="Arial" w:hAnsi="Arial"/>
                <w:b/>
                <w:sz w:val="20"/>
              </w:rPr>
              <w:t>Nuk ka filluar ende</w:t>
            </w:r>
          </w:p>
        </w:tc>
      </w:tr>
      <w:tr w:rsidR="00351CE9" w:rsidRPr="00831C2D" w14:paraId="406CE7A9" w14:textId="77777777" w:rsidTr="00C217B2">
        <w:trPr>
          <w:trHeight w:val="417"/>
          <w:jc w:val="center"/>
        </w:trPr>
        <w:tc>
          <w:tcPr>
            <w:tcW w:w="2839" w:type="pct"/>
            <w:shd w:val="clear" w:color="auto" w:fill="D9D9D9"/>
            <w:vAlign w:val="center"/>
          </w:tcPr>
          <w:p w14:paraId="39AAEBA3"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Idea konceptuale</w:t>
            </w:r>
          </w:p>
        </w:tc>
        <w:tc>
          <w:tcPr>
            <w:tcW w:w="800" w:type="pct"/>
            <w:vAlign w:val="center"/>
          </w:tcPr>
          <w:p w14:paraId="6D1E938B"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X</w:t>
            </w:r>
          </w:p>
        </w:tc>
        <w:tc>
          <w:tcPr>
            <w:tcW w:w="712" w:type="pct"/>
            <w:vAlign w:val="center"/>
          </w:tcPr>
          <w:p w14:paraId="490F38B3" w14:textId="77777777" w:rsidR="00351CE9" w:rsidRPr="00831C2D" w:rsidRDefault="00351CE9" w:rsidP="001E3F71">
            <w:pPr>
              <w:spacing w:after="0" w:line="240" w:lineRule="auto"/>
              <w:jc w:val="both"/>
              <w:rPr>
                <w:rFonts w:ascii="Arial" w:hAnsi="Arial" w:cs="Arial"/>
                <w:sz w:val="20"/>
                <w:szCs w:val="20"/>
                <w:lang w:val="en-GB"/>
              </w:rPr>
            </w:pPr>
          </w:p>
        </w:tc>
        <w:tc>
          <w:tcPr>
            <w:tcW w:w="649" w:type="pct"/>
            <w:vAlign w:val="center"/>
          </w:tcPr>
          <w:p w14:paraId="67FF18F2" w14:textId="77777777" w:rsidR="00351CE9" w:rsidRPr="00831C2D" w:rsidRDefault="00351CE9" w:rsidP="001E3F71">
            <w:pPr>
              <w:spacing w:after="0" w:line="240" w:lineRule="auto"/>
              <w:jc w:val="both"/>
              <w:rPr>
                <w:rFonts w:ascii="Arial" w:hAnsi="Arial" w:cs="Arial"/>
                <w:sz w:val="20"/>
                <w:szCs w:val="20"/>
                <w:lang w:val="en-GB"/>
              </w:rPr>
            </w:pPr>
          </w:p>
        </w:tc>
      </w:tr>
      <w:tr w:rsidR="00351CE9" w:rsidRPr="00831C2D" w14:paraId="50C0EB44" w14:textId="77777777" w:rsidTr="00C217B2">
        <w:trPr>
          <w:trHeight w:val="417"/>
          <w:jc w:val="center"/>
        </w:trPr>
        <w:tc>
          <w:tcPr>
            <w:tcW w:w="2839" w:type="pct"/>
            <w:shd w:val="clear" w:color="auto" w:fill="D9D9D9"/>
            <w:vAlign w:val="center"/>
          </w:tcPr>
          <w:p w14:paraId="2D001FE1"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Studimi paraprak i fizibilitetit</w:t>
            </w:r>
          </w:p>
        </w:tc>
        <w:tc>
          <w:tcPr>
            <w:tcW w:w="800" w:type="pct"/>
            <w:vAlign w:val="center"/>
          </w:tcPr>
          <w:p w14:paraId="78D3BA46" w14:textId="2BC0FD62" w:rsidR="00351CE9" w:rsidRPr="00831C2D" w:rsidRDefault="00EB77F0" w:rsidP="001E3F71">
            <w:pPr>
              <w:spacing w:after="0" w:line="240" w:lineRule="auto"/>
              <w:jc w:val="both"/>
              <w:rPr>
                <w:rFonts w:ascii="Arial" w:hAnsi="Arial" w:cs="Arial"/>
                <w:sz w:val="20"/>
                <w:szCs w:val="20"/>
              </w:rPr>
            </w:pPr>
            <w:r>
              <w:rPr>
                <w:rFonts w:ascii="Arial" w:hAnsi="Arial"/>
                <w:sz w:val="20"/>
              </w:rPr>
              <w:t>X</w:t>
            </w:r>
          </w:p>
        </w:tc>
        <w:tc>
          <w:tcPr>
            <w:tcW w:w="712" w:type="pct"/>
            <w:vAlign w:val="center"/>
          </w:tcPr>
          <w:p w14:paraId="6D9E10D4" w14:textId="168FF544" w:rsidR="00351CE9" w:rsidRPr="00831C2D" w:rsidRDefault="00351CE9" w:rsidP="001E3F71">
            <w:pPr>
              <w:spacing w:after="0" w:line="240" w:lineRule="auto"/>
              <w:jc w:val="both"/>
              <w:rPr>
                <w:rFonts w:ascii="Arial" w:hAnsi="Arial" w:cs="Arial"/>
                <w:sz w:val="20"/>
                <w:szCs w:val="20"/>
                <w:lang w:val="en-GB"/>
              </w:rPr>
            </w:pPr>
          </w:p>
        </w:tc>
        <w:tc>
          <w:tcPr>
            <w:tcW w:w="649" w:type="pct"/>
            <w:vAlign w:val="center"/>
          </w:tcPr>
          <w:p w14:paraId="63F88987" w14:textId="57D80DA2" w:rsidR="00351CE9" w:rsidRPr="00831C2D" w:rsidRDefault="00351CE9" w:rsidP="001E3F71">
            <w:pPr>
              <w:spacing w:after="0" w:line="240" w:lineRule="auto"/>
              <w:jc w:val="both"/>
              <w:rPr>
                <w:rFonts w:ascii="Arial" w:hAnsi="Arial" w:cs="Arial"/>
                <w:sz w:val="20"/>
                <w:szCs w:val="20"/>
                <w:lang w:val="en-GB"/>
              </w:rPr>
            </w:pPr>
          </w:p>
        </w:tc>
      </w:tr>
      <w:tr w:rsidR="00351CE9" w:rsidRPr="00831C2D" w14:paraId="56304586" w14:textId="77777777" w:rsidTr="00C217B2">
        <w:trPr>
          <w:trHeight w:val="417"/>
          <w:jc w:val="center"/>
        </w:trPr>
        <w:tc>
          <w:tcPr>
            <w:tcW w:w="2839" w:type="pct"/>
            <w:shd w:val="clear" w:color="auto" w:fill="D9D9D9"/>
            <w:vAlign w:val="center"/>
          </w:tcPr>
          <w:p w14:paraId="140E66C6"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Projektimi konceptual</w:t>
            </w:r>
          </w:p>
        </w:tc>
        <w:tc>
          <w:tcPr>
            <w:tcW w:w="800" w:type="pct"/>
            <w:vAlign w:val="center"/>
          </w:tcPr>
          <w:p w14:paraId="07896FF5" w14:textId="77777777" w:rsidR="00351CE9" w:rsidRPr="00831C2D" w:rsidRDefault="00351CE9" w:rsidP="001E3F71">
            <w:pPr>
              <w:spacing w:after="0" w:line="240" w:lineRule="auto"/>
              <w:jc w:val="both"/>
              <w:rPr>
                <w:rFonts w:ascii="Arial" w:hAnsi="Arial" w:cs="Arial"/>
                <w:sz w:val="20"/>
                <w:szCs w:val="20"/>
                <w:lang w:val="en-GB"/>
              </w:rPr>
            </w:pPr>
          </w:p>
        </w:tc>
        <w:tc>
          <w:tcPr>
            <w:tcW w:w="712" w:type="pct"/>
            <w:vAlign w:val="center"/>
          </w:tcPr>
          <w:p w14:paraId="3E98BC0E" w14:textId="77777777" w:rsidR="00351CE9" w:rsidRPr="00831C2D" w:rsidRDefault="00351CE9" w:rsidP="001E3F71">
            <w:pPr>
              <w:spacing w:after="0" w:line="240" w:lineRule="auto"/>
              <w:jc w:val="both"/>
              <w:rPr>
                <w:rFonts w:ascii="Arial" w:hAnsi="Arial" w:cs="Arial"/>
                <w:sz w:val="20"/>
                <w:szCs w:val="20"/>
                <w:lang w:val="en-GB"/>
              </w:rPr>
            </w:pPr>
          </w:p>
        </w:tc>
        <w:tc>
          <w:tcPr>
            <w:tcW w:w="649" w:type="pct"/>
            <w:vAlign w:val="center"/>
          </w:tcPr>
          <w:p w14:paraId="04734BD1"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X</w:t>
            </w:r>
          </w:p>
        </w:tc>
      </w:tr>
      <w:tr w:rsidR="00351CE9" w:rsidRPr="00831C2D" w14:paraId="7D46D7F4" w14:textId="77777777" w:rsidTr="00C217B2">
        <w:trPr>
          <w:trHeight w:val="417"/>
          <w:jc w:val="center"/>
        </w:trPr>
        <w:tc>
          <w:tcPr>
            <w:tcW w:w="2839" w:type="pct"/>
            <w:shd w:val="clear" w:color="auto" w:fill="D9D9D9"/>
            <w:vAlign w:val="center"/>
          </w:tcPr>
          <w:p w14:paraId="14E81327"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Studimi i fizibilitetit + AKP</w:t>
            </w:r>
          </w:p>
        </w:tc>
        <w:tc>
          <w:tcPr>
            <w:tcW w:w="800" w:type="pct"/>
            <w:vAlign w:val="center"/>
          </w:tcPr>
          <w:p w14:paraId="2633811B" w14:textId="77777777" w:rsidR="00351CE9" w:rsidRPr="00831C2D" w:rsidRDefault="00351CE9" w:rsidP="001E3F71">
            <w:pPr>
              <w:spacing w:after="0" w:line="240" w:lineRule="auto"/>
              <w:jc w:val="both"/>
              <w:rPr>
                <w:rFonts w:ascii="Arial" w:hAnsi="Arial" w:cs="Arial"/>
                <w:sz w:val="20"/>
                <w:szCs w:val="20"/>
                <w:lang w:val="en-GB"/>
              </w:rPr>
            </w:pPr>
          </w:p>
        </w:tc>
        <w:tc>
          <w:tcPr>
            <w:tcW w:w="712" w:type="pct"/>
            <w:vAlign w:val="center"/>
          </w:tcPr>
          <w:p w14:paraId="20ECBCA8" w14:textId="1FA50EAD" w:rsidR="00351CE9" w:rsidRPr="00831C2D" w:rsidRDefault="00EB77F0" w:rsidP="001E3F71">
            <w:pPr>
              <w:spacing w:after="0" w:line="240" w:lineRule="auto"/>
              <w:jc w:val="both"/>
              <w:rPr>
                <w:rFonts w:ascii="Arial" w:hAnsi="Arial" w:cs="Arial"/>
                <w:sz w:val="20"/>
                <w:szCs w:val="20"/>
              </w:rPr>
            </w:pPr>
            <w:r>
              <w:rPr>
                <w:rFonts w:ascii="Arial" w:hAnsi="Arial"/>
                <w:sz w:val="20"/>
              </w:rPr>
              <w:t>X</w:t>
            </w:r>
          </w:p>
        </w:tc>
        <w:tc>
          <w:tcPr>
            <w:tcW w:w="649" w:type="pct"/>
            <w:vAlign w:val="center"/>
          </w:tcPr>
          <w:p w14:paraId="350E3653" w14:textId="25C55D9D" w:rsidR="00351CE9" w:rsidRPr="00831C2D" w:rsidRDefault="00351CE9" w:rsidP="001E3F71">
            <w:pPr>
              <w:spacing w:after="0" w:line="240" w:lineRule="auto"/>
              <w:jc w:val="both"/>
              <w:rPr>
                <w:rFonts w:ascii="Arial" w:hAnsi="Arial" w:cs="Arial"/>
                <w:sz w:val="20"/>
                <w:szCs w:val="20"/>
                <w:lang w:val="en-GB"/>
              </w:rPr>
            </w:pPr>
          </w:p>
        </w:tc>
      </w:tr>
      <w:tr w:rsidR="00351CE9" w:rsidRPr="00831C2D" w14:paraId="1187552E" w14:textId="77777777" w:rsidTr="00C217B2">
        <w:trPr>
          <w:trHeight w:val="417"/>
          <w:jc w:val="center"/>
        </w:trPr>
        <w:tc>
          <w:tcPr>
            <w:tcW w:w="2839" w:type="pct"/>
            <w:shd w:val="clear" w:color="auto" w:fill="D9D9D9"/>
            <w:vAlign w:val="center"/>
          </w:tcPr>
          <w:p w14:paraId="21D7A8A0"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Studimi i VNM (nëse nevojitet)</w:t>
            </w:r>
          </w:p>
        </w:tc>
        <w:tc>
          <w:tcPr>
            <w:tcW w:w="800" w:type="pct"/>
            <w:vAlign w:val="center"/>
          </w:tcPr>
          <w:p w14:paraId="696CB4B3" w14:textId="77777777" w:rsidR="00351CE9" w:rsidRPr="00831C2D" w:rsidRDefault="00351CE9" w:rsidP="001E3F71">
            <w:pPr>
              <w:spacing w:after="0" w:line="240" w:lineRule="auto"/>
              <w:jc w:val="both"/>
              <w:rPr>
                <w:rFonts w:ascii="Arial" w:hAnsi="Arial" w:cs="Arial"/>
                <w:sz w:val="20"/>
                <w:szCs w:val="20"/>
                <w:lang w:val="en-GB"/>
              </w:rPr>
            </w:pPr>
          </w:p>
        </w:tc>
        <w:tc>
          <w:tcPr>
            <w:tcW w:w="712" w:type="pct"/>
            <w:vAlign w:val="center"/>
          </w:tcPr>
          <w:p w14:paraId="0A5D282C" w14:textId="77777777" w:rsidR="00351CE9" w:rsidRPr="00831C2D" w:rsidRDefault="00351CE9" w:rsidP="001E3F71">
            <w:pPr>
              <w:spacing w:after="0" w:line="240" w:lineRule="auto"/>
              <w:jc w:val="both"/>
              <w:rPr>
                <w:rFonts w:ascii="Arial" w:hAnsi="Arial" w:cs="Arial"/>
                <w:sz w:val="20"/>
                <w:szCs w:val="20"/>
                <w:lang w:val="en-GB"/>
              </w:rPr>
            </w:pPr>
          </w:p>
        </w:tc>
        <w:tc>
          <w:tcPr>
            <w:tcW w:w="649" w:type="pct"/>
            <w:vAlign w:val="center"/>
          </w:tcPr>
          <w:p w14:paraId="32DADE1A" w14:textId="6370B43F" w:rsidR="00351CE9" w:rsidRPr="00831C2D" w:rsidRDefault="00EB77F0" w:rsidP="001E3F71">
            <w:pPr>
              <w:spacing w:after="0" w:line="240" w:lineRule="auto"/>
              <w:jc w:val="both"/>
              <w:rPr>
                <w:rFonts w:ascii="Arial" w:hAnsi="Arial" w:cs="Arial"/>
                <w:sz w:val="20"/>
                <w:szCs w:val="20"/>
              </w:rPr>
            </w:pPr>
            <w:r>
              <w:rPr>
                <w:rFonts w:ascii="Arial" w:hAnsi="Arial"/>
                <w:sz w:val="20"/>
              </w:rPr>
              <w:t>X</w:t>
            </w:r>
          </w:p>
        </w:tc>
      </w:tr>
      <w:tr w:rsidR="00351CE9" w:rsidRPr="00831C2D" w14:paraId="18D50493" w14:textId="77777777" w:rsidTr="00C217B2">
        <w:trPr>
          <w:trHeight w:val="417"/>
          <w:jc w:val="center"/>
        </w:trPr>
        <w:tc>
          <w:tcPr>
            <w:tcW w:w="2839" w:type="pct"/>
            <w:shd w:val="clear" w:color="auto" w:fill="D9D9D9"/>
            <w:vAlign w:val="center"/>
          </w:tcPr>
          <w:p w14:paraId="0FDB6F00"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lastRenderedPageBreak/>
              <w:t>Dokumentet e vlefshme të planifikimit hapësinor</w:t>
            </w:r>
          </w:p>
        </w:tc>
        <w:tc>
          <w:tcPr>
            <w:tcW w:w="800" w:type="pct"/>
            <w:vAlign w:val="center"/>
          </w:tcPr>
          <w:p w14:paraId="703E09B2"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X</w:t>
            </w:r>
          </w:p>
        </w:tc>
        <w:tc>
          <w:tcPr>
            <w:tcW w:w="712" w:type="pct"/>
            <w:vAlign w:val="center"/>
          </w:tcPr>
          <w:p w14:paraId="1706E26F" w14:textId="77777777" w:rsidR="00351CE9" w:rsidRPr="00831C2D" w:rsidRDefault="00351CE9" w:rsidP="001E3F71">
            <w:pPr>
              <w:spacing w:after="0" w:line="240" w:lineRule="auto"/>
              <w:jc w:val="both"/>
              <w:rPr>
                <w:rFonts w:ascii="Arial" w:hAnsi="Arial" w:cs="Arial"/>
                <w:sz w:val="20"/>
                <w:szCs w:val="20"/>
                <w:lang w:val="en-GB"/>
              </w:rPr>
            </w:pPr>
          </w:p>
        </w:tc>
        <w:tc>
          <w:tcPr>
            <w:tcW w:w="649" w:type="pct"/>
            <w:vAlign w:val="center"/>
          </w:tcPr>
          <w:p w14:paraId="7E297E08" w14:textId="77777777" w:rsidR="00351CE9" w:rsidRPr="00831C2D" w:rsidRDefault="00351CE9" w:rsidP="001E3F71">
            <w:pPr>
              <w:spacing w:after="0" w:line="240" w:lineRule="auto"/>
              <w:jc w:val="both"/>
              <w:rPr>
                <w:rFonts w:ascii="Arial" w:hAnsi="Arial" w:cs="Arial"/>
                <w:sz w:val="20"/>
                <w:szCs w:val="20"/>
                <w:lang w:val="en-GB"/>
              </w:rPr>
            </w:pPr>
          </w:p>
        </w:tc>
      </w:tr>
      <w:tr w:rsidR="00351CE9" w:rsidRPr="00831C2D" w14:paraId="739D209C" w14:textId="77777777" w:rsidTr="00C217B2">
        <w:trPr>
          <w:trHeight w:val="417"/>
          <w:jc w:val="center"/>
        </w:trPr>
        <w:tc>
          <w:tcPr>
            <w:tcW w:w="2839" w:type="pct"/>
            <w:shd w:val="clear" w:color="auto" w:fill="D9D9D9"/>
            <w:vAlign w:val="center"/>
          </w:tcPr>
          <w:p w14:paraId="3F1D450F"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Prona tokë e zgjidhur</w:t>
            </w:r>
          </w:p>
        </w:tc>
        <w:tc>
          <w:tcPr>
            <w:tcW w:w="800" w:type="pct"/>
            <w:vAlign w:val="center"/>
          </w:tcPr>
          <w:p w14:paraId="60EF1921" w14:textId="77777777" w:rsidR="00351CE9" w:rsidRPr="00831C2D" w:rsidRDefault="00351CE9" w:rsidP="001E3F71">
            <w:pPr>
              <w:spacing w:after="0" w:line="240" w:lineRule="auto"/>
              <w:jc w:val="both"/>
              <w:rPr>
                <w:rFonts w:ascii="Arial" w:hAnsi="Arial" w:cs="Arial"/>
                <w:sz w:val="20"/>
                <w:szCs w:val="20"/>
                <w:lang w:val="en-GB"/>
              </w:rPr>
            </w:pPr>
          </w:p>
        </w:tc>
        <w:tc>
          <w:tcPr>
            <w:tcW w:w="712" w:type="pct"/>
            <w:vAlign w:val="center"/>
          </w:tcPr>
          <w:p w14:paraId="4FA3E82B" w14:textId="77777777" w:rsidR="00351CE9" w:rsidRPr="00831C2D" w:rsidRDefault="00351CE9" w:rsidP="001E3F71">
            <w:pPr>
              <w:spacing w:after="0" w:line="240" w:lineRule="auto"/>
              <w:jc w:val="both"/>
              <w:rPr>
                <w:rFonts w:ascii="Arial" w:hAnsi="Arial" w:cs="Arial"/>
                <w:sz w:val="20"/>
                <w:szCs w:val="20"/>
                <w:lang w:val="en-GB"/>
              </w:rPr>
            </w:pPr>
          </w:p>
        </w:tc>
        <w:tc>
          <w:tcPr>
            <w:tcW w:w="649" w:type="pct"/>
            <w:vAlign w:val="center"/>
          </w:tcPr>
          <w:p w14:paraId="5E0EAA03"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X</w:t>
            </w:r>
          </w:p>
        </w:tc>
      </w:tr>
      <w:tr w:rsidR="00351CE9" w:rsidRPr="00831C2D" w14:paraId="03A25E90" w14:textId="77777777" w:rsidTr="00C217B2">
        <w:trPr>
          <w:trHeight w:val="417"/>
          <w:jc w:val="center"/>
        </w:trPr>
        <w:tc>
          <w:tcPr>
            <w:tcW w:w="2839" w:type="pct"/>
            <w:shd w:val="clear" w:color="auto" w:fill="D9D9D9"/>
            <w:vAlign w:val="center"/>
          </w:tcPr>
          <w:p w14:paraId="6DF8F39C"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Projektimi paraprak</w:t>
            </w:r>
          </w:p>
        </w:tc>
        <w:tc>
          <w:tcPr>
            <w:tcW w:w="800" w:type="pct"/>
            <w:vAlign w:val="center"/>
          </w:tcPr>
          <w:p w14:paraId="02A69A17" w14:textId="77777777" w:rsidR="00351CE9" w:rsidRPr="00831C2D" w:rsidRDefault="00351CE9" w:rsidP="001E3F71">
            <w:pPr>
              <w:spacing w:after="0" w:line="240" w:lineRule="auto"/>
              <w:jc w:val="both"/>
              <w:rPr>
                <w:rFonts w:ascii="Arial" w:hAnsi="Arial" w:cs="Arial"/>
                <w:sz w:val="20"/>
                <w:szCs w:val="20"/>
                <w:lang w:val="en-GB"/>
              </w:rPr>
            </w:pPr>
          </w:p>
        </w:tc>
        <w:tc>
          <w:tcPr>
            <w:tcW w:w="712" w:type="pct"/>
            <w:vAlign w:val="center"/>
          </w:tcPr>
          <w:p w14:paraId="4C7225EB" w14:textId="77777777" w:rsidR="00351CE9" w:rsidRPr="00831C2D" w:rsidRDefault="00351CE9" w:rsidP="001E3F71">
            <w:pPr>
              <w:spacing w:after="0" w:line="240" w:lineRule="auto"/>
              <w:jc w:val="both"/>
              <w:rPr>
                <w:rFonts w:ascii="Arial" w:hAnsi="Arial" w:cs="Arial"/>
                <w:sz w:val="20"/>
                <w:szCs w:val="20"/>
                <w:lang w:val="en-GB"/>
              </w:rPr>
            </w:pPr>
          </w:p>
        </w:tc>
        <w:tc>
          <w:tcPr>
            <w:tcW w:w="649" w:type="pct"/>
            <w:vAlign w:val="center"/>
          </w:tcPr>
          <w:p w14:paraId="52257FBD"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X</w:t>
            </w:r>
          </w:p>
        </w:tc>
      </w:tr>
      <w:tr w:rsidR="00351CE9" w:rsidRPr="00831C2D" w14:paraId="4E4C16B3" w14:textId="77777777" w:rsidTr="00C217B2">
        <w:trPr>
          <w:trHeight w:val="417"/>
          <w:jc w:val="center"/>
        </w:trPr>
        <w:tc>
          <w:tcPr>
            <w:tcW w:w="2839" w:type="pct"/>
            <w:shd w:val="clear" w:color="auto" w:fill="D9D9D9"/>
            <w:vAlign w:val="center"/>
          </w:tcPr>
          <w:p w14:paraId="0712792E"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Projektimi kryesor/projektimi i detajuar</w:t>
            </w:r>
          </w:p>
        </w:tc>
        <w:tc>
          <w:tcPr>
            <w:tcW w:w="800" w:type="pct"/>
            <w:vAlign w:val="center"/>
          </w:tcPr>
          <w:p w14:paraId="6ABF9C65" w14:textId="77777777" w:rsidR="00351CE9" w:rsidRPr="00831C2D" w:rsidRDefault="00351CE9" w:rsidP="001E3F71">
            <w:pPr>
              <w:spacing w:after="0" w:line="240" w:lineRule="auto"/>
              <w:jc w:val="both"/>
              <w:rPr>
                <w:rFonts w:ascii="Arial" w:hAnsi="Arial" w:cs="Arial"/>
                <w:sz w:val="20"/>
                <w:szCs w:val="20"/>
                <w:lang w:val="en-GB"/>
              </w:rPr>
            </w:pPr>
          </w:p>
        </w:tc>
        <w:tc>
          <w:tcPr>
            <w:tcW w:w="712" w:type="pct"/>
            <w:vAlign w:val="center"/>
          </w:tcPr>
          <w:p w14:paraId="53DFC1DB" w14:textId="77777777" w:rsidR="00351CE9" w:rsidRPr="00831C2D" w:rsidRDefault="00351CE9" w:rsidP="001E3F71">
            <w:pPr>
              <w:spacing w:after="0" w:line="240" w:lineRule="auto"/>
              <w:jc w:val="both"/>
              <w:rPr>
                <w:rFonts w:ascii="Arial" w:hAnsi="Arial" w:cs="Arial"/>
                <w:sz w:val="20"/>
                <w:szCs w:val="20"/>
                <w:lang w:val="en-GB"/>
              </w:rPr>
            </w:pPr>
          </w:p>
        </w:tc>
        <w:tc>
          <w:tcPr>
            <w:tcW w:w="649" w:type="pct"/>
            <w:vAlign w:val="center"/>
          </w:tcPr>
          <w:p w14:paraId="4A1CCF5E"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X</w:t>
            </w:r>
          </w:p>
        </w:tc>
      </w:tr>
      <w:tr w:rsidR="00351CE9" w:rsidRPr="00831C2D" w14:paraId="66FD48A5" w14:textId="77777777" w:rsidTr="00C217B2">
        <w:trPr>
          <w:trHeight w:val="417"/>
          <w:jc w:val="center"/>
        </w:trPr>
        <w:tc>
          <w:tcPr>
            <w:tcW w:w="2839" w:type="pct"/>
            <w:shd w:val="clear" w:color="auto" w:fill="D9D9D9"/>
            <w:vAlign w:val="center"/>
          </w:tcPr>
          <w:p w14:paraId="580FAACA"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Dokumentacioni i tenderit</w:t>
            </w:r>
          </w:p>
        </w:tc>
        <w:tc>
          <w:tcPr>
            <w:tcW w:w="800" w:type="pct"/>
            <w:vAlign w:val="center"/>
          </w:tcPr>
          <w:p w14:paraId="6C17F872" w14:textId="77777777" w:rsidR="00351CE9" w:rsidRPr="00831C2D" w:rsidRDefault="00351CE9" w:rsidP="001E3F71">
            <w:pPr>
              <w:spacing w:after="0" w:line="240" w:lineRule="auto"/>
              <w:jc w:val="both"/>
              <w:rPr>
                <w:rFonts w:ascii="Arial" w:hAnsi="Arial" w:cs="Arial"/>
                <w:sz w:val="20"/>
                <w:szCs w:val="20"/>
                <w:lang w:val="en-GB"/>
              </w:rPr>
            </w:pPr>
          </w:p>
        </w:tc>
        <w:tc>
          <w:tcPr>
            <w:tcW w:w="712" w:type="pct"/>
            <w:vAlign w:val="center"/>
          </w:tcPr>
          <w:p w14:paraId="6EA33149" w14:textId="77777777" w:rsidR="00351CE9" w:rsidRPr="00831C2D" w:rsidRDefault="00351CE9" w:rsidP="001E3F71">
            <w:pPr>
              <w:spacing w:after="0" w:line="240" w:lineRule="auto"/>
              <w:jc w:val="both"/>
              <w:rPr>
                <w:rFonts w:ascii="Arial" w:hAnsi="Arial" w:cs="Arial"/>
                <w:sz w:val="20"/>
                <w:szCs w:val="20"/>
                <w:lang w:val="en-GB"/>
              </w:rPr>
            </w:pPr>
          </w:p>
        </w:tc>
        <w:tc>
          <w:tcPr>
            <w:tcW w:w="649" w:type="pct"/>
            <w:vAlign w:val="center"/>
          </w:tcPr>
          <w:p w14:paraId="05A6B1BD"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X</w:t>
            </w:r>
          </w:p>
        </w:tc>
      </w:tr>
      <w:tr w:rsidR="00351CE9" w:rsidRPr="00831C2D" w14:paraId="0BCD0982" w14:textId="77777777" w:rsidTr="00C217B2">
        <w:trPr>
          <w:trHeight w:val="417"/>
          <w:jc w:val="center"/>
        </w:trPr>
        <w:tc>
          <w:tcPr>
            <w:tcW w:w="2839" w:type="pct"/>
            <w:shd w:val="clear" w:color="auto" w:fill="D9D9D9"/>
            <w:vAlign w:val="center"/>
          </w:tcPr>
          <w:p w14:paraId="1DD8C97F"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Lejet e ndërtimit dhe të tjera</w:t>
            </w:r>
          </w:p>
        </w:tc>
        <w:tc>
          <w:tcPr>
            <w:tcW w:w="800" w:type="pct"/>
            <w:vAlign w:val="center"/>
          </w:tcPr>
          <w:p w14:paraId="20B6C1AA" w14:textId="77777777" w:rsidR="00351CE9" w:rsidRPr="00831C2D" w:rsidRDefault="00351CE9" w:rsidP="001E3F71">
            <w:pPr>
              <w:spacing w:after="0" w:line="240" w:lineRule="auto"/>
              <w:jc w:val="both"/>
              <w:rPr>
                <w:rFonts w:ascii="Arial" w:hAnsi="Arial" w:cs="Arial"/>
                <w:sz w:val="20"/>
                <w:szCs w:val="20"/>
                <w:lang w:val="en-GB"/>
              </w:rPr>
            </w:pPr>
          </w:p>
        </w:tc>
        <w:tc>
          <w:tcPr>
            <w:tcW w:w="712" w:type="pct"/>
            <w:vAlign w:val="center"/>
          </w:tcPr>
          <w:p w14:paraId="1E3056E6" w14:textId="77777777" w:rsidR="00351CE9" w:rsidRPr="00831C2D" w:rsidRDefault="00351CE9" w:rsidP="001E3F71">
            <w:pPr>
              <w:spacing w:after="0" w:line="240" w:lineRule="auto"/>
              <w:jc w:val="both"/>
              <w:rPr>
                <w:rFonts w:ascii="Arial" w:hAnsi="Arial" w:cs="Arial"/>
                <w:sz w:val="20"/>
                <w:szCs w:val="20"/>
                <w:lang w:val="en-GB"/>
              </w:rPr>
            </w:pPr>
          </w:p>
        </w:tc>
        <w:tc>
          <w:tcPr>
            <w:tcW w:w="649" w:type="pct"/>
            <w:vAlign w:val="center"/>
          </w:tcPr>
          <w:p w14:paraId="3F827B9D"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X</w:t>
            </w:r>
          </w:p>
        </w:tc>
      </w:tr>
      <w:tr w:rsidR="00351CE9" w:rsidRPr="00831C2D" w14:paraId="0227F056" w14:textId="77777777" w:rsidTr="00C217B2">
        <w:trPr>
          <w:trHeight w:val="417"/>
          <w:jc w:val="center"/>
        </w:trPr>
        <w:tc>
          <w:tcPr>
            <w:tcW w:w="2839" w:type="pct"/>
            <w:shd w:val="clear" w:color="auto" w:fill="D9D9D9"/>
            <w:vAlign w:val="center"/>
          </w:tcPr>
          <w:p w14:paraId="53F2810A"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Kontrata e ndërtimit është nënshkruar</w:t>
            </w:r>
          </w:p>
        </w:tc>
        <w:tc>
          <w:tcPr>
            <w:tcW w:w="800" w:type="pct"/>
            <w:vAlign w:val="center"/>
          </w:tcPr>
          <w:p w14:paraId="194D3B0C" w14:textId="77777777" w:rsidR="00351CE9" w:rsidRPr="00831C2D" w:rsidRDefault="00351CE9" w:rsidP="001E3F71">
            <w:pPr>
              <w:spacing w:after="0" w:line="240" w:lineRule="auto"/>
              <w:jc w:val="both"/>
              <w:rPr>
                <w:rFonts w:ascii="Arial" w:hAnsi="Arial" w:cs="Arial"/>
                <w:sz w:val="20"/>
                <w:szCs w:val="20"/>
                <w:lang w:val="en-GB"/>
              </w:rPr>
            </w:pPr>
          </w:p>
        </w:tc>
        <w:tc>
          <w:tcPr>
            <w:tcW w:w="712" w:type="pct"/>
            <w:vAlign w:val="center"/>
          </w:tcPr>
          <w:p w14:paraId="42DEE9BD" w14:textId="77777777" w:rsidR="00351CE9" w:rsidRPr="00831C2D" w:rsidRDefault="00351CE9" w:rsidP="001E3F71">
            <w:pPr>
              <w:spacing w:after="0" w:line="240" w:lineRule="auto"/>
              <w:jc w:val="both"/>
              <w:rPr>
                <w:rFonts w:ascii="Arial" w:hAnsi="Arial" w:cs="Arial"/>
                <w:sz w:val="20"/>
                <w:szCs w:val="20"/>
                <w:lang w:val="en-GB"/>
              </w:rPr>
            </w:pPr>
          </w:p>
        </w:tc>
        <w:tc>
          <w:tcPr>
            <w:tcW w:w="649" w:type="pct"/>
            <w:vAlign w:val="center"/>
          </w:tcPr>
          <w:p w14:paraId="7CB9E234"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X</w:t>
            </w:r>
          </w:p>
        </w:tc>
      </w:tr>
    </w:tbl>
    <w:p w14:paraId="513BC811" w14:textId="77777777" w:rsidR="00351CE9" w:rsidRPr="00831C2D" w:rsidRDefault="00351CE9" w:rsidP="001E3F71">
      <w:pPr>
        <w:spacing w:after="120"/>
        <w:jc w:val="both"/>
        <w:rPr>
          <w:rFonts w:ascii="Arial" w:hAnsi="Arial" w:cs="Arial"/>
          <w:b/>
          <w:sz w:val="20"/>
          <w:szCs w:val="20"/>
          <w:lang w:val="en-GB"/>
        </w:rPr>
      </w:pPr>
    </w:p>
    <w:p w14:paraId="7D771030" w14:textId="77777777" w:rsidR="00351CE9" w:rsidRPr="00831C2D" w:rsidRDefault="00351CE9" w:rsidP="001E3F71">
      <w:pPr>
        <w:pStyle w:val="ListParagraph"/>
        <w:numPr>
          <w:ilvl w:val="0"/>
          <w:numId w:val="2"/>
        </w:numPr>
        <w:spacing w:after="120"/>
        <w:jc w:val="both"/>
        <w:rPr>
          <w:rFonts w:ascii="Arial" w:hAnsi="Arial" w:cs="Arial"/>
          <w:b/>
          <w:sz w:val="20"/>
          <w:szCs w:val="20"/>
        </w:rPr>
      </w:pPr>
      <w:r>
        <w:rPr>
          <w:rFonts w:ascii="Arial" w:hAnsi="Arial"/>
          <w:b/>
          <w:sz w:val="20"/>
        </w:rPr>
        <w:t>PËRCAKTIMI I BURIMIT TË FINANCIMIT</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160"/>
        <w:gridCol w:w="636"/>
        <w:gridCol w:w="3926"/>
        <w:gridCol w:w="529"/>
      </w:tblGrid>
      <w:tr w:rsidR="00351CE9" w:rsidRPr="00831C2D" w14:paraId="2AA759AF" w14:textId="77777777" w:rsidTr="00C217B2">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4F460" w14:textId="77777777" w:rsidR="00351CE9" w:rsidRPr="00831C2D" w:rsidRDefault="00351CE9" w:rsidP="001E3F71">
            <w:pPr>
              <w:spacing w:after="0" w:line="240" w:lineRule="auto"/>
              <w:jc w:val="both"/>
              <w:rPr>
                <w:rFonts w:ascii="Arial" w:hAnsi="Arial" w:cs="Arial"/>
                <w:b/>
                <w:sz w:val="20"/>
                <w:szCs w:val="20"/>
                <w:lang w:val="en-GB"/>
              </w:rPr>
            </w:pPr>
          </w:p>
        </w:tc>
        <w:tc>
          <w:tcPr>
            <w:tcW w:w="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FF94A" w14:textId="77777777" w:rsidR="00351CE9" w:rsidRPr="00831C2D" w:rsidRDefault="00351CE9" w:rsidP="001E3F71">
            <w:pPr>
              <w:spacing w:after="0" w:line="240" w:lineRule="auto"/>
              <w:jc w:val="both"/>
              <w:rPr>
                <w:rFonts w:ascii="Arial" w:hAnsi="Arial" w:cs="Arial"/>
                <w:b/>
                <w:sz w:val="20"/>
                <w:szCs w:val="20"/>
              </w:rPr>
            </w:pPr>
            <w:r>
              <w:rPr>
                <w:rFonts w:ascii="Arial" w:hAnsi="Arial"/>
                <w:b/>
                <w:sz w:val="20"/>
              </w:rPr>
              <w:t>Po</w:t>
            </w:r>
          </w:p>
        </w:tc>
        <w:tc>
          <w:tcPr>
            <w:tcW w:w="21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B73BC" w14:textId="77777777" w:rsidR="00351CE9" w:rsidRPr="00831C2D" w:rsidRDefault="00351CE9" w:rsidP="001E3F71">
            <w:pPr>
              <w:spacing w:after="0" w:line="240" w:lineRule="auto"/>
              <w:jc w:val="both"/>
              <w:rPr>
                <w:rFonts w:ascii="Arial" w:hAnsi="Arial" w:cs="Arial"/>
                <w:b/>
                <w:sz w:val="20"/>
                <w:szCs w:val="20"/>
              </w:rPr>
            </w:pPr>
            <w:r>
              <w:rPr>
                <w:rFonts w:ascii="Arial" w:hAnsi="Arial"/>
                <w:b/>
                <w:sz w:val="20"/>
              </w:rPr>
              <w:t>Arsyetimi</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F3C3B2" w14:textId="77777777" w:rsidR="00351CE9" w:rsidRPr="00831C2D" w:rsidRDefault="00351CE9" w:rsidP="001E3F71">
            <w:pPr>
              <w:spacing w:after="0" w:line="240" w:lineRule="auto"/>
              <w:jc w:val="both"/>
              <w:rPr>
                <w:rFonts w:ascii="Arial" w:hAnsi="Arial" w:cs="Arial"/>
                <w:b/>
                <w:sz w:val="20"/>
                <w:szCs w:val="20"/>
              </w:rPr>
            </w:pPr>
            <w:r>
              <w:rPr>
                <w:rFonts w:ascii="Arial" w:hAnsi="Arial"/>
                <w:b/>
                <w:sz w:val="20"/>
              </w:rPr>
              <w:t>Jo</w:t>
            </w:r>
          </w:p>
        </w:tc>
      </w:tr>
      <w:tr w:rsidR="00351CE9" w:rsidRPr="00831C2D" w14:paraId="01D3C0FD" w14:textId="77777777" w:rsidTr="00C217B2">
        <w:trPr>
          <w:trHeight w:val="26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71285621"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A e përmirëson projekti lidhjen?</w:t>
            </w:r>
          </w:p>
        </w:tc>
        <w:tc>
          <w:tcPr>
            <w:tcW w:w="344" w:type="pct"/>
            <w:tcBorders>
              <w:top w:val="single" w:sz="4" w:space="0" w:color="auto"/>
              <w:left w:val="single" w:sz="4" w:space="0" w:color="auto"/>
              <w:bottom w:val="single" w:sz="4" w:space="0" w:color="auto"/>
              <w:right w:val="single" w:sz="4" w:space="0" w:color="auto"/>
            </w:tcBorders>
            <w:vAlign w:val="center"/>
          </w:tcPr>
          <w:p w14:paraId="337D1BBC" w14:textId="77777777" w:rsidR="00351CE9" w:rsidRPr="00831C2D" w:rsidRDefault="00351CE9" w:rsidP="001E3F71">
            <w:pPr>
              <w:spacing w:after="0" w:line="240" w:lineRule="auto"/>
              <w:jc w:val="both"/>
              <w:rPr>
                <w:rFonts w:ascii="Arial" w:hAnsi="Arial" w:cs="Arial"/>
                <w:sz w:val="20"/>
                <w:szCs w:val="20"/>
                <w:lang w:val="en-GB"/>
              </w:rPr>
            </w:pPr>
          </w:p>
        </w:tc>
        <w:tc>
          <w:tcPr>
            <w:tcW w:w="2122" w:type="pct"/>
            <w:tcBorders>
              <w:top w:val="single" w:sz="4" w:space="0" w:color="auto"/>
              <w:left w:val="single" w:sz="4" w:space="0" w:color="auto"/>
              <w:bottom w:val="single" w:sz="4" w:space="0" w:color="auto"/>
              <w:right w:val="single" w:sz="4" w:space="0" w:color="auto"/>
            </w:tcBorders>
            <w:vAlign w:val="center"/>
          </w:tcPr>
          <w:p w14:paraId="619DDCED" w14:textId="77777777" w:rsidR="00351CE9" w:rsidRPr="00831C2D" w:rsidRDefault="00351CE9" w:rsidP="001E3F71">
            <w:pPr>
              <w:spacing w:after="0" w:line="240" w:lineRule="auto"/>
              <w:jc w:val="both"/>
              <w:rPr>
                <w:rFonts w:ascii="Arial" w:hAnsi="Arial" w:cs="Arial"/>
                <w:sz w:val="20"/>
                <w:szCs w:val="20"/>
                <w:lang w:val="en-GB"/>
              </w:rPr>
            </w:pPr>
          </w:p>
        </w:tc>
        <w:tc>
          <w:tcPr>
            <w:tcW w:w="286" w:type="pct"/>
            <w:tcBorders>
              <w:top w:val="single" w:sz="4" w:space="0" w:color="auto"/>
              <w:left w:val="single" w:sz="4" w:space="0" w:color="auto"/>
              <w:bottom w:val="single" w:sz="4" w:space="0" w:color="auto"/>
              <w:right w:val="single" w:sz="4" w:space="0" w:color="auto"/>
            </w:tcBorders>
            <w:vAlign w:val="center"/>
          </w:tcPr>
          <w:p w14:paraId="003163F1"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X</w:t>
            </w:r>
          </w:p>
        </w:tc>
      </w:tr>
      <w:tr w:rsidR="00351CE9" w:rsidRPr="00831C2D" w14:paraId="33B13AF4" w14:textId="77777777" w:rsidTr="00C217B2">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339F5260"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A ka projekti ndikim ndërkufitar apo në vendet e tjera të rajonit?</w:t>
            </w:r>
          </w:p>
        </w:tc>
        <w:tc>
          <w:tcPr>
            <w:tcW w:w="344" w:type="pct"/>
            <w:tcBorders>
              <w:top w:val="single" w:sz="4" w:space="0" w:color="auto"/>
              <w:left w:val="single" w:sz="4" w:space="0" w:color="auto"/>
              <w:bottom w:val="single" w:sz="4" w:space="0" w:color="auto"/>
              <w:right w:val="single" w:sz="4" w:space="0" w:color="auto"/>
            </w:tcBorders>
            <w:vAlign w:val="center"/>
          </w:tcPr>
          <w:p w14:paraId="0227F207" w14:textId="3BFE38FE" w:rsidR="00351CE9" w:rsidRPr="00831C2D" w:rsidRDefault="00504D80" w:rsidP="001E3F71">
            <w:pPr>
              <w:spacing w:after="0" w:line="240" w:lineRule="auto"/>
              <w:jc w:val="both"/>
              <w:rPr>
                <w:rFonts w:ascii="Arial" w:hAnsi="Arial" w:cs="Arial"/>
                <w:sz w:val="20"/>
                <w:szCs w:val="20"/>
              </w:rPr>
            </w:pPr>
            <w:r>
              <w:rPr>
                <w:rFonts w:ascii="Arial" w:hAnsi="Arial"/>
                <w:sz w:val="20"/>
              </w:rPr>
              <w:t>X</w:t>
            </w:r>
          </w:p>
        </w:tc>
        <w:tc>
          <w:tcPr>
            <w:tcW w:w="2122" w:type="pct"/>
            <w:tcBorders>
              <w:top w:val="single" w:sz="4" w:space="0" w:color="auto"/>
              <w:left w:val="single" w:sz="4" w:space="0" w:color="auto"/>
              <w:bottom w:val="single" w:sz="4" w:space="0" w:color="auto"/>
              <w:right w:val="single" w:sz="4" w:space="0" w:color="auto"/>
            </w:tcBorders>
            <w:vAlign w:val="center"/>
          </w:tcPr>
          <w:p w14:paraId="517C9CDE" w14:textId="3C38004B" w:rsidR="00351CE9" w:rsidRPr="00831C2D" w:rsidRDefault="00217882" w:rsidP="001E3F71">
            <w:pPr>
              <w:spacing w:after="0" w:line="240" w:lineRule="auto"/>
              <w:jc w:val="both"/>
              <w:rPr>
                <w:rFonts w:ascii="Arial" w:hAnsi="Arial" w:cs="Arial"/>
                <w:sz w:val="20"/>
                <w:szCs w:val="20"/>
              </w:rPr>
            </w:pPr>
            <w:r>
              <w:rPr>
                <w:rFonts w:ascii="Arial" w:hAnsi="Arial"/>
                <w:sz w:val="20"/>
              </w:rPr>
              <w:t>Nevoja për të reduktuar shfrytëzimin e minierave dhe përdorimin e burimeve natyrore, rekomandon integrimin e objekteve të menaxhimit të mbetjeve industriale (jo urbane) me vendet fqinje, me qëllim optimizimin e kostove dhe konkurrencën e ripërdorimit të produkteve përkatëse të ricikluara dhe/ose materialeve</w:t>
            </w:r>
          </w:p>
        </w:tc>
        <w:tc>
          <w:tcPr>
            <w:tcW w:w="286" w:type="pct"/>
            <w:tcBorders>
              <w:top w:val="single" w:sz="4" w:space="0" w:color="auto"/>
              <w:left w:val="single" w:sz="4" w:space="0" w:color="auto"/>
              <w:bottom w:val="single" w:sz="4" w:space="0" w:color="auto"/>
              <w:right w:val="single" w:sz="4" w:space="0" w:color="auto"/>
            </w:tcBorders>
            <w:vAlign w:val="center"/>
          </w:tcPr>
          <w:p w14:paraId="349ADA30" w14:textId="150D3BE5" w:rsidR="00351CE9" w:rsidRPr="00831C2D" w:rsidRDefault="00351CE9" w:rsidP="001E3F71">
            <w:pPr>
              <w:spacing w:after="0" w:line="240" w:lineRule="auto"/>
              <w:jc w:val="both"/>
              <w:rPr>
                <w:rFonts w:ascii="Arial" w:hAnsi="Arial" w:cs="Arial"/>
                <w:sz w:val="20"/>
                <w:szCs w:val="20"/>
                <w:lang w:val="en-GB"/>
              </w:rPr>
            </w:pPr>
          </w:p>
        </w:tc>
      </w:tr>
      <w:tr w:rsidR="00351CE9" w:rsidRPr="00831C2D" w14:paraId="4A51B9A3" w14:textId="77777777" w:rsidTr="00C217B2">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312F827A" w14:textId="77777777" w:rsidR="00351CE9" w:rsidRPr="00831C2D" w:rsidRDefault="00351CE9" w:rsidP="001E3F71">
            <w:pPr>
              <w:spacing w:after="0" w:line="240" w:lineRule="auto"/>
              <w:jc w:val="both"/>
              <w:rPr>
                <w:rFonts w:ascii="Arial" w:hAnsi="Arial" w:cs="Arial"/>
                <w:sz w:val="20"/>
                <w:szCs w:val="20"/>
              </w:rPr>
            </w:pPr>
            <w:r>
              <w:rPr>
                <w:rFonts w:ascii="Arial" w:hAnsi="Arial"/>
                <w:sz w:val="20"/>
              </w:rPr>
              <w:t>A mundet projekti në ndonjë mënyrë tjetër të caktohet si projekt rajonal?</w:t>
            </w:r>
          </w:p>
        </w:tc>
        <w:tc>
          <w:tcPr>
            <w:tcW w:w="344" w:type="pct"/>
            <w:tcBorders>
              <w:top w:val="single" w:sz="4" w:space="0" w:color="auto"/>
              <w:left w:val="single" w:sz="4" w:space="0" w:color="auto"/>
              <w:bottom w:val="single" w:sz="4" w:space="0" w:color="auto"/>
              <w:right w:val="single" w:sz="4" w:space="0" w:color="auto"/>
            </w:tcBorders>
            <w:vAlign w:val="center"/>
          </w:tcPr>
          <w:p w14:paraId="06AD4203" w14:textId="7329AB10" w:rsidR="00351CE9" w:rsidRPr="00831C2D" w:rsidRDefault="00351CE9" w:rsidP="001E3F71">
            <w:pPr>
              <w:spacing w:after="0" w:line="240" w:lineRule="auto"/>
              <w:jc w:val="both"/>
              <w:rPr>
                <w:rFonts w:ascii="Arial" w:hAnsi="Arial" w:cs="Arial"/>
                <w:sz w:val="20"/>
                <w:szCs w:val="20"/>
                <w:lang w:val="en-GB"/>
              </w:rPr>
            </w:pPr>
          </w:p>
        </w:tc>
        <w:tc>
          <w:tcPr>
            <w:tcW w:w="2122" w:type="pct"/>
            <w:tcBorders>
              <w:top w:val="single" w:sz="4" w:space="0" w:color="auto"/>
              <w:left w:val="single" w:sz="4" w:space="0" w:color="auto"/>
              <w:bottom w:val="single" w:sz="4" w:space="0" w:color="auto"/>
              <w:right w:val="single" w:sz="4" w:space="0" w:color="auto"/>
            </w:tcBorders>
            <w:vAlign w:val="center"/>
          </w:tcPr>
          <w:p w14:paraId="3FCA2FB4" w14:textId="41D71411" w:rsidR="00351CE9" w:rsidRPr="00831C2D" w:rsidRDefault="00351CE9" w:rsidP="001E3F71">
            <w:pPr>
              <w:spacing w:after="0" w:line="240" w:lineRule="auto"/>
              <w:jc w:val="both"/>
              <w:rPr>
                <w:rFonts w:ascii="Arial" w:hAnsi="Arial" w:cs="Arial"/>
                <w:sz w:val="20"/>
                <w:szCs w:val="20"/>
                <w:lang w:val="en-GB"/>
              </w:rPr>
            </w:pPr>
          </w:p>
        </w:tc>
        <w:tc>
          <w:tcPr>
            <w:tcW w:w="286" w:type="pct"/>
            <w:tcBorders>
              <w:top w:val="single" w:sz="4" w:space="0" w:color="auto"/>
              <w:left w:val="single" w:sz="4" w:space="0" w:color="auto"/>
              <w:bottom w:val="single" w:sz="4" w:space="0" w:color="auto"/>
              <w:right w:val="single" w:sz="4" w:space="0" w:color="auto"/>
            </w:tcBorders>
            <w:vAlign w:val="center"/>
          </w:tcPr>
          <w:p w14:paraId="4A94D239" w14:textId="20946B51" w:rsidR="00351CE9" w:rsidRPr="00831C2D" w:rsidRDefault="00DA247F" w:rsidP="001E3F71">
            <w:pPr>
              <w:spacing w:after="0" w:line="240" w:lineRule="auto"/>
              <w:jc w:val="both"/>
              <w:rPr>
                <w:rFonts w:ascii="Arial" w:hAnsi="Arial" w:cs="Arial"/>
                <w:sz w:val="20"/>
                <w:szCs w:val="20"/>
              </w:rPr>
            </w:pPr>
            <w:r>
              <w:rPr>
                <w:rFonts w:ascii="Arial" w:hAnsi="Arial"/>
                <w:sz w:val="20"/>
              </w:rPr>
              <w:t>X</w:t>
            </w:r>
          </w:p>
        </w:tc>
      </w:tr>
    </w:tbl>
    <w:p w14:paraId="23A5F606" w14:textId="22C527B5" w:rsidR="003F4ABE" w:rsidRPr="00831C2D" w:rsidRDefault="003F4ABE" w:rsidP="001E3F71">
      <w:pPr>
        <w:spacing w:after="160" w:line="259" w:lineRule="auto"/>
        <w:jc w:val="both"/>
        <w:rPr>
          <w:rFonts w:ascii="Arial" w:hAnsi="Arial" w:cs="Arial"/>
          <w:b/>
          <w:sz w:val="20"/>
          <w:szCs w:val="20"/>
          <w:lang w:val="en-GB"/>
        </w:rPr>
      </w:pPr>
    </w:p>
    <w:p w14:paraId="34FD2C9D" w14:textId="4D42F9BD" w:rsidR="00351CE9" w:rsidRDefault="00710C92" w:rsidP="001E3F71">
      <w:pPr>
        <w:pStyle w:val="ListParagraph"/>
        <w:numPr>
          <w:ilvl w:val="0"/>
          <w:numId w:val="2"/>
        </w:numPr>
        <w:spacing w:after="120"/>
        <w:jc w:val="both"/>
        <w:rPr>
          <w:rFonts w:ascii="Arial" w:hAnsi="Arial" w:cs="Arial"/>
          <w:b/>
          <w:sz w:val="20"/>
          <w:szCs w:val="20"/>
        </w:rPr>
      </w:pPr>
      <w:r>
        <w:rPr>
          <w:rFonts w:ascii="Arial" w:hAnsi="Arial"/>
          <w:b/>
          <w:sz w:val="20"/>
        </w:rPr>
        <w:t>PLANIFIKIMI I SHPENZIMEVE</w:t>
      </w:r>
    </w:p>
    <w:tbl>
      <w:tblPr>
        <w:tblW w:w="46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661"/>
        <w:gridCol w:w="661"/>
        <w:gridCol w:w="661"/>
        <w:gridCol w:w="1017"/>
        <w:gridCol w:w="1117"/>
        <w:gridCol w:w="1117"/>
        <w:gridCol w:w="1117"/>
        <w:gridCol w:w="661"/>
        <w:gridCol w:w="661"/>
      </w:tblGrid>
      <w:tr w:rsidR="009A431E" w:rsidRPr="00B06FA0" w14:paraId="1FEB8F2C" w14:textId="77777777" w:rsidTr="009A431E">
        <w:tc>
          <w:tcPr>
            <w:tcW w:w="689" w:type="pct"/>
            <w:shd w:val="clear" w:color="auto" w:fill="D9D9D9" w:themeFill="background1" w:themeFillShade="D9"/>
            <w:vAlign w:val="center"/>
          </w:tcPr>
          <w:p w14:paraId="5EB3CB01" w14:textId="77777777" w:rsidR="009A431E" w:rsidRPr="00B06FA0" w:rsidRDefault="009A431E" w:rsidP="00B06FA0">
            <w:pPr>
              <w:spacing w:line="260" w:lineRule="atLeast"/>
              <w:rPr>
                <w:rFonts w:ascii="Arial" w:eastAsia="Times New Roman" w:hAnsi="Arial" w:cs="Arial"/>
                <w:b/>
                <w:sz w:val="20"/>
                <w:szCs w:val="20"/>
                <w:lang w:val="en-GB"/>
              </w:rPr>
            </w:pPr>
          </w:p>
        </w:tc>
        <w:tc>
          <w:tcPr>
            <w:tcW w:w="372" w:type="pct"/>
            <w:shd w:val="clear" w:color="auto" w:fill="D9D9D9" w:themeFill="background1" w:themeFillShade="D9"/>
            <w:vAlign w:val="center"/>
          </w:tcPr>
          <w:p w14:paraId="112DFCDB" w14:textId="77777777" w:rsidR="009A431E" w:rsidRPr="00B06FA0" w:rsidRDefault="009A431E" w:rsidP="00B06FA0">
            <w:pPr>
              <w:spacing w:line="260" w:lineRule="atLeast"/>
              <w:rPr>
                <w:rFonts w:ascii="Arial" w:eastAsia="Times New Roman" w:hAnsi="Arial" w:cs="Arial"/>
                <w:b/>
                <w:sz w:val="20"/>
                <w:szCs w:val="20"/>
              </w:rPr>
            </w:pPr>
            <w:r>
              <w:rPr>
                <w:rFonts w:ascii="Arial" w:hAnsi="Arial"/>
                <w:b/>
                <w:sz w:val="20"/>
              </w:rPr>
              <w:t>2022</w:t>
            </w:r>
          </w:p>
        </w:tc>
        <w:tc>
          <w:tcPr>
            <w:tcW w:w="372" w:type="pct"/>
            <w:shd w:val="clear" w:color="auto" w:fill="D9D9D9" w:themeFill="background1" w:themeFillShade="D9"/>
            <w:vAlign w:val="center"/>
          </w:tcPr>
          <w:p w14:paraId="2C4A1F1F" w14:textId="77777777" w:rsidR="009A431E" w:rsidRPr="00B06FA0" w:rsidRDefault="009A431E" w:rsidP="00B06FA0">
            <w:pPr>
              <w:spacing w:line="260" w:lineRule="atLeast"/>
              <w:rPr>
                <w:rFonts w:ascii="Arial" w:eastAsia="Times New Roman" w:hAnsi="Arial" w:cs="Arial"/>
                <w:b/>
                <w:sz w:val="20"/>
                <w:szCs w:val="20"/>
              </w:rPr>
            </w:pPr>
            <w:r>
              <w:rPr>
                <w:rFonts w:ascii="Arial" w:hAnsi="Arial"/>
                <w:b/>
                <w:sz w:val="20"/>
              </w:rPr>
              <w:t>2023</w:t>
            </w:r>
          </w:p>
        </w:tc>
        <w:tc>
          <w:tcPr>
            <w:tcW w:w="372" w:type="pct"/>
            <w:shd w:val="clear" w:color="auto" w:fill="D9D9D9" w:themeFill="background1" w:themeFillShade="D9"/>
            <w:vAlign w:val="center"/>
          </w:tcPr>
          <w:p w14:paraId="3298BFA1" w14:textId="77777777" w:rsidR="009A431E" w:rsidRPr="00B06FA0" w:rsidRDefault="009A431E" w:rsidP="00B06FA0">
            <w:pPr>
              <w:spacing w:line="260" w:lineRule="atLeast"/>
              <w:rPr>
                <w:rFonts w:ascii="Arial" w:eastAsia="Times New Roman" w:hAnsi="Arial" w:cs="Arial"/>
                <w:b/>
                <w:sz w:val="20"/>
                <w:szCs w:val="20"/>
              </w:rPr>
            </w:pPr>
            <w:r>
              <w:rPr>
                <w:rFonts w:ascii="Arial" w:hAnsi="Arial"/>
                <w:b/>
                <w:sz w:val="20"/>
              </w:rPr>
              <w:t>2024</w:t>
            </w:r>
          </w:p>
        </w:tc>
        <w:tc>
          <w:tcPr>
            <w:tcW w:w="571" w:type="pct"/>
            <w:shd w:val="clear" w:color="auto" w:fill="D9D9D9" w:themeFill="background1" w:themeFillShade="D9"/>
            <w:vAlign w:val="center"/>
          </w:tcPr>
          <w:p w14:paraId="28FC5563" w14:textId="77777777" w:rsidR="009A431E" w:rsidRPr="00B06FA0" w:rsidRDefault="009A431E" w:rsidP="00B06FA0">
            <w:pPr>
              <w:spacing w:line="260" w:lineRule="atLeast"/>
              <w:rPr>
                <w:rFonts w:ascii="Arial" w:eastAsia="Times New Roman" w:hAnsi="Arial" w:cs="Arial"/>
                <w:b/>
                <w:sz w:val="20"/>
                <w:szCs w:val="20"/>
              </w:rPr>
            </w:pPr>
            <w:r>
              <w:rPr>
                <w:rFonts w:ascii="Arial" w:hAnsi="Arial"/>
                <w:b/>
                <w:sz w:val="20"/>
              </w:rPr>
              <w:t>2025</w:t>
            </w:r>
          </w:p>
        </w:tc>
        <w:tc>
          <w:tcPr>
            <w:tcW w:w="626" w:type="pct"/>
            <w:shd w:val="clear" w:color="auto" w:fill="D9D9D9" w:themeFill="background1" w:themeFillShade="D9"/>
            <w:vAlign w:val="center"/>
          </w:tcPr>
          <w:p w14:paraId="73647EE5" w14:textId="77777777" w:rsidR="009A431E" w:rsidRPr="00B06FA0" w:rsidRDefault="009A431E" w:rsidP="00B06FA0">
            <w:pPr>
              <w:spacing w:line="260" w:lineRule="atLeast"/>
              <w:rPr>
                <w:rFonts w:ascii="Arial" w:eastAsia="Times New Roman" w:hAnsi="Arial" w:cs="Arial"/>
                <w:b/>
                <w:sz w:val="20"/>
                <w:szCs w:val="20"/>
              </w:rPr>
            </w:pPr>
            <w:r>
              <w:rPr>
                <w:rFonts w:ascii="Arial" w:hAnsi="Arial"/>
                <w:b/>
                <w:sz w:val="20"/>
              </w:rPr>
              <w:t>2026</w:t>
            </w:r>
          </w:p>
        </w:tc>
        <w:tc>
          <w:tcPr>
            <w:tcW w:w="626" w:type="pct"/>
            <w:shd w:val="clear" w:color="auto" w:fill="D9D9D9" w:themeFill="background1" w:themeFillShade="D9"/>
            <w:vAlign w:val="center"/>
          </w:tcPr>
          <w:p w14:paraId="7164FF6A" w14:textId="77777777" w:rsidR="009A431E" w:rsidRPr="00B06FA0" w:rsidRDefault="009A431E" w:rsidP="00B06FA0">
            <w:pPr>
              <w:spacing w:line="260" w:lineRule="atLeast"/>
              <w:rPr>
                <w:rFonts w:ascii="Arial" w:eastAsia="Times New Roman" w:hAnsi="Arial" w:cs="Arial"/>
                <w:b/>
                <w:sz w:val="20"/>
                <w:szCs w:val="20"/>
              </w:rPr>
            </w:pPr>
            <w:r>
              <w:rPr>
                <w:rFonts w:ascii="Arial" w:hAnsi="Arial"/>
                <w:b/>
                <w:sz w:val="20"/>
              </w:rPr>
              <w:t>2027</w:t>
            </w:r>
          </w:p>
        </w:tc>
        <w:tc>
          <w:tcPr>
            <w:tcW w:w="626" w:type="pct"/>
            <w:shd w:val="clear" w:color="auto" w:fill="D9D9D9" w:themeFill="background1" w:themeFillShade="D9"/>
            <w:vAlign w:val="center"/>
          </w:tcPr>
          <w:p w14:paraId="4AA778D2" w14:textId="77777777" w:rsidR="009A431E" w:rsidRPr="00B06FA0" w:rsidRDefault="009A431E" w:rsidP="00B06FA0">
            <w:pPr>
              <w:spacing w:line="260" w:lineRule="atLeast"/>
              <w:rPr>
                <w:rFonts w:ascii="Arial" w:eastAsia="Times New Roman" w:hAnsi="Arial" w:cs="Arial"/>
                <w:b/>
                <w:sz w:val="20"/>
                <w:szCs w:val="20"/>
              </w:rPr>
            </w:pPr>
            <w:r>
              <w:rPr>
                <w:rFonts w:ascii="Arial" w:hAnsi="Arial"/>
                <w:b/>
                <w:sz w:val="20"/>
              </w:rPr>
              <w:t>2028</w:t>
            </w:r>
          </w:p>
        </w:tc>
        <w:tc>
          <w:tcPr>
            <w:tcW w:w="372" w:type="pct"/>
            <w:shd w:val="clear" w:color="auto" w:fill="D9D9D9" w:themeFill="background1" w:themeFillShade="D9"/>
            <w:vAlign w:val="center"/>
          </w:tcPr>
          <w:p w14:paraId="15D2FF1C" w14:textId="77777777" w:rsidR="009A431E" w:rsidRPr="00B06FA0" w:rsidRDefault="009A431E" w:rsidP="00B06FA0">
            <w:pPr>
              <w:spacing w:line="260" w:lineRule="atLeast"/>
              <w:rPr>
                <w:rFonts w:ascii="Arial" w:eastAsia="Times New Roman" w:hAnsi="Arial" w:cs="Arial"/>
                <w:b/>
                <w:sz w:val="20"/>
                <w:szCs w:val="20"/>
              </w:rPr>
            </w:pPr>
            <w:r>
              <w:rPr>
                <w:rFonts w:ascii="Arial" w:hAnsi="Arial"/>
                <w:b/>
                <w:sz w:val="20"/>
              </w:rPr>
              <w:t>2029</w:t>
            </w:r>
          </w:p>
        </w:tc>
        <w:tc>
          <w:tcPr>
            <w:tcW w:w="372" w:type="pct"/>
            <w:shd w:val="clear" w:color="auto" w:fill="D9D9D9" w:themeFill="background1" w:themeFillShade="D9"/>
            <w:vAlign w:val="center"/>
          </w:tcPr>
          <w:p w14:paraId="5A91A173" w14:textId="77777777" w:rsidR="009A431E" w:rsidRPr="00B06FA0" w:rsidRDefault="009A431E" w:rsidP="00B06FA0">
            <w:pPr>
              <w:spacing w:line="260" w:lineRule="atLeast"/>
              <w:rPr>
                <w:rFonts w:ascii="Arial" w:eastAsia="Times New Roman" w:hAnsi="Arial" w:cs="Arial"/>
                <w:b/>
                <w:sz w:val="20"/>
                <w:szCs w:val="20"/>
              </w:rPr>
            </w:pPr>
            <w:r>
              <w:rPr>
                <w:rFonts w:ascii="Arial" w:hAnsi="Arial"/>
                <w:b/>
                <w:sz w:val="20"/>
              </w:rPr>
              <w:t>2030</w:t>
            </w:r>
          </w:p>
        </w:tc>
      </w:tr>
      <w:tr w:rsidR="009A431E" w:rsidRPr="00B06FA0" w14:paraId="6D9F0929" w14:textId="77777777" w:rsidTr="009A431E">
        <w:trPr>
          <w:trHeight w:val="838"/>
        </w:trPr>
        <w:tc>
          <w:tcPr>
            <w:tcW w:w="689" w:type="pct"/>
            <w:shd w:val="clear" w:color="auto" w:fill="D9D9D9" w:themeFill="background1" w:themeFillShade="D9"/>
            <w:vAlign w:val="center"/>
          </w:tcPr>
          <w:p w14:paraId="2AE04F05" w14:textId="1B095F85" w:rsidR="009A431E" w:rsidRPr="00B06FA0" w:rsidRDefault="009A431E" w:rsidP="00710C92">
            <w:pPr>
              <w:spacing w:line="260" w:lineRule="atLeast"/>
              <w:rPr>
                <w:rFonts w:ascii="Arial" w:eastAsia="Times New Roman" w:hAnsi="Arial" w:cs="Arial"/>
                <w:b/>
                <w:sz w:val="20"/>
                <w:szCs w:val="20"/>
              </w:rPr>
            </w:pPr>
            <w:r>
              <w:rPr>
                <w:rFonts w:ascii="Arial" w:hAnsi="Arial"/>
                <w:b/>
                <w:sz w:val="20"/>
              </w:rPr>
              <w:t xml:space="preserve">Kostot (në </w:t>
            </w:r>
            <w:r w:rsidR="00710C92">
              <w:rPr>
                <w:rFonts w:ascii="Arial" w:hAnsi="Arial"/>
                <w:b/>
                <w:sz w:val="20"/>
              </w:rPr>
              <w:t xml:space="preserve">euro), nga </w:t>
            </w:r>
            <w:r>
              <w:rPr>
                <w:rFonts w:ascii="Arial" w:hAnsi="Arial"/>
                <w:b/>
                <w:sz w:val="20"/>
              </w:rPr>
              <w:t>të cilat:</w:t>
            </w:r>
          </w:p>
        </w:tc>
        <w:tc>
          <w:tcPr>
            <w:tcW w:w="372" w:type="pct"/>
            <w:shd w:val="clear" w:color="auto" w:fill="auto"/>
            <w:vAlign w:val="center"/>
          </w:tcPr>
          <w:p w14:paraId="397DE0DE" w14:textId="77777777" w:rsidR="009A431E" w:rsidRPr="00B06FA0" w:rsidRDefault="009A431E" w:rsidP="00B06FA0">
            <w:pPr>
              <w:spacing w:line="260" w:lineRule="atLeast"/>
              <w:rPr>
                <w:rFonts w:ascii="Arial" w:eastAsia="Times New Roman" w:hAnsi="Arial" w:cs="Arial"/>
                <w:b/>
                <w:sz w:val="18"/>
                <w:szCs w:val="18"/>
                <w:lang w:val="en-GB"/>
              </w:rPr>
            </w:pPr>
          </w:p>
        </w:tc>
        <w:tc>
          <w:tcPr>
            <w:tcW w:w="372" w:type="pct"/>
            <w:shd w:val="clear" w:color="auto" w:fill="auto"/>
            <w:vAlign w:val="center"/>
          </w:tcPr>
          <w:p w14:paraId="2D287353" w14:textId="77777777" w:rsidR="009A431E" w:rsidRPr="00B06FA0" w:rsidRDefault="009A431E" w:rsidP="00B06FA0">
            <w:pPr>
              <w:spacing w:line="260" w:lineRule="atLeast"/>
              <w:rPr>
                <w:rFonts w:ascii="Arial" w:eastAsia="Times New Roman" w:hAnsi="Arial" w:cs="Arial"/>
                <w:b/>
                <w:sz w:val="18"/>
                <w:szCs w:val="18"/>
                <w:lang w:val="en-GB"/>
              </w:rPr>
            </w:pPr>
          </w:p>
        </w:tc>
        <w:tc>
          <w:tcPr>
            <w:tcW w:w="372" w:type="pct"/>
            <w:shd w:val="clear" w:color="auto" w:fill="auto"/>
            <w:vAlign w:val="center"/>
          </w:tcPr>
          <w:p w14:paraId="03DD065B" w14:textId="409AE344" w:rsidR="009A431E" w:rsidRPr="00B06FA0" w:rsidRDefault="009A431E" w:rsidP="00B06FA0">
            <w:pPr>
              <w:spacing w:line="260" w:lineRule="atLeast"/>
              <w:jc w:val="center"/>
              <w:rPr>
                <w:rFonts w:ascii="Arial" w:eastAsia="Calibri" w:hAnsi="Arial" w:cs="Arial"/>
                <w:sz w:val="18"/>
                <w:szCs w:val="18"/>
                <w:lang w:val="en-GB"/>
              </w:rPr>
            </w:pPr>
          </w:p>
        </w:tc>
        <w:tc>
          <w:tcPr>
            <w:tcW w:w="571" w:type="pct"/>
            <w:shd w:val="clear" w:color="auto" w:fill="auto"/>
            <w:vAlign w:val="center"/>
          </w:tcPr>
          <w:p w14:paraId="5149844F" w14:textId="110D74F5" w:rsidR="009A431E" w:rsidRPr="00B06FA0" w:rsidRDefault="009A431E" w:rsidP="00B06FA0">
            <w:pPr>
              <w:spacing w:line="260" w:lineRule="atLeast"/>
              <w:jc w:val="center"/>
              <w:rPr>
                <w:rFonts w:ascii="Arial" w:eastAsia="Calibri" w:hAnsi="Arial" w:cs="Arial"/>
                <w:sz w:val="18"/>
                <w:szCs w:val="18"/>
                <w:lang w:val="en-GB"/>
              </w:rPr>
            </w:pPr>
          </w:p>
        </w:tc>
        <w:tc>
          <w:tcPr>
            <w:tcW w:w="626" w:type="pct"/>
            <w:shd w:val="clear" w:color="auto" w:fill="auto"/>
            <w:vAlign w:val="center"/>
          </w:tcPr>
          <w:p w14:paraId="0C65ADD5" w14:textId="4C4C98E5" w:rsidR="009A431E" w:rsidRPr="00B06FA0" w:rsidRDefault="009A431E" w:rsidP="00B06FA0">
            <w:pPr>
              <w:spacing w:line="260" w:lineRule="atLeast"/>
              <w:jc w:val="center"/>
              <w:rPr>
                <w:rFonts w:ascii="Arial" w:eastAsia="Calibri" w:hAnsi="Arial" w:cs="Arial"/>
                <w:sz w:val="18"/>
                <w:szCs w:val="18"/>
                <w:lang w:val="en-GB"/>
              </w:rPr>
            </w:pPr>
          </w:p>
        </w:tc>
        <w:tc>
          <w:tcPr>
            <w:tcW w:w="626" w:type="pct"/>
            <w:shd w:val="clear" w:color="auto" w:fill="auto"/>
            <w:vAlign w:val="center"/>
          </w:tcPr>
          <w:p w14:paraId="33CA83C5" w14:textId="31926461" w:rsidR="009A431E" w:rsidRPr="00B06FA0" w:rsidRDefault="009A431E" w:rsidP="00B06FA0">
            <w:pPr>
              <w:spacing w:line="260" w:lineRule="atLeast"/>
              <w:jc w:val="center"/>
              <w:rPr>
                <w:rFonts w:ascii="Arial" w:eastAsia="Calibri" w:hAnsi="Arial" w:cs="Arial"/>
                <w:sz w:val="18"/>
                <w:szCs w:val="18"/>
                <w:lang w:val="en-GB"/>
              </w:rPr>
            </w:pPr>
          </w:p>
        </w:tc>
        <w:tc>
          <w:tcPr>
            <w:tcW w:w="626" w:type="pct"/>
            <w:shd w:val="clear" w:color="auto" w:fill="auto"/>
            <w:vAlign w:val="center"/>
          </w:tcPr>
          <w:p w14:paraId="7B2DE9AA" w14:textId="77777777" w:rsidR="009A431E" w:rsidRPr="00B06FA0" w:rsidRDefault="009A431E" w:rsidP="00B06FA0">
            <w:pPr>
              <w:spacing w:line="260" w:lineRule="atLeast"/>
              <w:rPr>
                <w:rFonts w:ascii="Arial" w:eastAsia="Times New Roman" w:hAnsi="Arial" w:cs="Arial"/>
                <w:b/>
                <w:sz w:val="18"/>
                <w:szCs w:val="18"/>
                <w:lang w:val="en-GB"/>
              </w:rPr>
            </w:pPr>
          </w:p>
        </w:tc>
        <w:tc>
          <w:tcPr>
            <w:tcW w:w="372" w:type="pct"/>
            <w:shd w:val="clear" w:color="auto" w:fill="auto"/>
            <w:vAlign w:val="center"/>
          </w:tcPr>
          <w:p w14:paraId="2B6A1B71" w14:textId="77777777" w:rsidR="009A431E" w:rsidRPr="00B06FA0" w:rsidRDefault="009A431E" w:rsidP="00B06FA0">
            <w:pPr>
              <w:spacing w:line="260" w:lineRule="atLeast"/>
              <w:rPr>
                <w:rFonts w:ascii="Arial" w:eastAsia="Times New Roman" w:hAnsi="Arial" w:cs="Arial"/>
                <w:b/>
                <w:sz w:val="18"/>
                <w:szCs w:val="18"/>
                <w:lang w:val="en-GB"/>
              </w:rPr>
            </w:pPr>
          </w:p>
        </w:tc>
        <w:tc>
          <w:tcPr>
            <w:tcW w:w="372" w:type="pct"/>
            <w:shd w:val="clear" w:color="auto" w:fill="auto"/>
            <w:vAlign w:val="center"/>
          </w:tcPr>
          <w:p w14:paraId="20AB7B1F" w14:textId="77777777" w:rsidR="009A431E" w:rsidRPr="00B06FA0" w:rsidRDefault="009A431E" w:rsidP="00B06FA0">
            <w:pPr>
              <w:spacing w:line="260" w:lineRule="atLeast"/>
              <w:rPr>
                <w:rFonts w:ascii="Arial" w:eastAsia="Times New Roman" w:hAnsi="Arial" w:cs="Arial"/>
                <w:b/>
                <w:sz w:val="18"/>
                <w:szCs w:val="18"/>
                <w:lang w:val="en-GB"/>
              </w:rPr>
            </w:pPr>
          </w:p>
        </w:tc>
      </w:tr>
      <w:tr w:rsidR="009A431E" w:rsidRPr="00B06FA0" w14:paraId="1AC62146" w14:textId="77777777" w:rsidTr="009A431E">
        <w:tc>
          <w:tcPr>
            <w:tcW w:w="689" w:type="pct"/>
            <w:shd w:val="clear" w:color="auto" w:fill="D9D9D9" w:themeFill="background1" w:themeFillShade="D9"/>
            <w:vAlign w:val="center"/>
          </w:tcPr>
          <w:p w14:paraId="092F4CE1" w14:textId="77777777" w:rsidR="009A431E" w:rsidRPr="00B06FA0" w:rsidRDefault="009A431E" w:rsidP="00B06FA0">
            <w:pPr>
              <w:spacing w:line="260" w:lineRule="atLeast"/>
              <w:rPr>
                <w:rFonts w:ascii="Arial" w:eastAsia="Times New Roman" w:hAnsi="Arial" w:cs="Arial"/>
                <w:sz w:val="20"/>
                <w:szCs w:val="20"/>
              </w:rPr>
            </w:pPr>
            <w:r>
              <w:rPr>
                <w:rFonts w:ascii="Arial" w:hAnsi="Arial"/>
                <w:sz w:val="20"/>
              </w:rPr>
              <w:t>Përgatitja e projektit (TA)</w:t>
            </w:r>
          </w:p>
        </w:tc>
        <w:tc>
          <w:tcPr>
            <w:tcW w:w="372" w:type="pct"/>
            <w:shd w:val="clear" w:color="auto" w:fill="auto"/>
            <w:vAlign w:val="center"/>
          </w:tcPr>
          <w:p w14:paraId="159D10E7" w14:textId="77777777" w:rsidR="009A431E" w:rsidRPr="00B06FA0" w:rsidRDefault="009A431E" w:rsidP="00B06FA0">
            <w:pPr>
              <w:spacing w:line="260" w:lineRule="atLeast"/>
              <w:rPr>
                <w:rFonts w:ascii="Arial" w:eastAsia="Times New Roman" w:hAnsi="Arial" w:cs="Arial"/>
                <w:sz w:val="18"/>
                <w:szCs w:val="18"/>
                <w:lang w:val="en-GB"/>
              </w:rPr>
            </w:pPr>
          </w:p>
        </w:tc>
        <w:tc>
          <w:tcPr>
            <w:tcW w:w="372" w:type="pct"/>
            <w:shd w:val="clear" w:color="auto" w:fill="auto"/>
            <w:vAlign w:val="center"/>
          </w:tcPr>
          <w:p w14:paraId="459E3267" w14:textId="77777777" w:rsidR="009A431E" w:rsidRPr="00B06FA0" w:rsidRDefault="009A431E" w:rsidP="00B06FA0">
            <w:pPr>
              <w:spacing w:line="260" w:lineRule="atLeast"/>
              <w:rPr>
                <w:rFonts w:ascii="Arial" w:eastAsia="Times New Roman" w:hAnsi="Arial" w:cs="Arial"/>
                <w:sz w:val="18"/>
                <w:szCs w:val="18"/>
                <w:lang w:val="en-GB"/>
              </w:rPr>
            </w:pPr>
          </w:p>
        </w:tc>
        <w:tc>
          <w:tcPr>
            <w:tcW w:w="372" w:type="pct"/>
            <w:shd w:val="clear" w:color="auto" w:fill="auto"/>
            <w:vAlign w:val="center"/>
          </w:tcPr>
          <w:p w14:paraId="61007401" w14:textId="5821B940" w:rsidR="009A431E" w:rsidRPr="00B06FA0" w:rsidRDefault="009A431E" w:rsidP="00B06FA0">
            <w:pPr>
              <w:spacing w:line="260" w:lineRule="atLeast"/>
              <w:jc w:val="center"/>
              <w:rPr>
                <w:rFonts w:ascii="Arial" w:eastAsia="Calibri" w:hAnsi="Arial" w:cs="Arial"/>
                <w:sz w:val="18"/>
                <w:szCs w:val="18"/>
                <w:lang w:val="en-GB"/>
              </w:rPr>
            </w:pPr>
          </w:p>
        </w:tc>
        <w:tc>
          <w:tcPr>
            <w:tcW w:w="571" w:type="pct"/>
            <w:shd w:val="clear" w:color="auto" w:fill="auto"/>
            <w:vAlign w:val="center"/>
          </w:tcPr>
          <w:p w14:paraId="696F3B5A" w14:textId="35779779" w:rsidR="009A431E" w:rsidRPr="00B06FA0" w:rsidRDefault="009A431E" w:rsidP="00B06FA0">
            <w:pPr>
              <w:spacing w:line="260" w:lineRule="atLeast"/>
              <w:jc w:val="center"/>
              <w:rPr>
                <w:rFonts w:ascii="Arial" w:eastAsia="Calibri" w:hAnsi="Arial" w:cs="Arial"/>
                <w:sz w:val="18"/>
                <w:szCs w:val="18"/>
              </w:rPr>
            </w:pPr>
            <w:r>
              <w:rPr>
                <w:rFonts w:ascii="Arial" w:hAnsi="Arial"/>
                <w:sz w:val="18"/>
              </w:rPr>
              <w:t>3.990,000</w:t>
            </w:r>
          </w:p>
        </w:tc>
        <w:tc>
          <w:tcPr>
            <w:tcW w:w="626" w:type="pct"/>
            <w:shd w:val="clear" w:color="auto" w:fill="auto"/>
            <w:vAlign w:val="center"/>
          </w:tcPr>
          <w:p w14:paraId="6B44E899" w14:textId="665D0E67" w:rsidR="009A431E" w:rsidRPr="00B06FA0" w:rsidRDefault="009A431E" w:rsidP="00B06FA0">
            <w:pPr>
              <w:spacing w:line="260" w:lineRule="atLeast"/>
              <w:jc w:val="center"/>
              <w:rPr>
                <w:rFonts w:ascii="Arial" w:eastAsia="Calibri" w:hAnsi="Arial" w:cs="Arial"/>
                <w:sz w:val="18"/>
                <w:szCs w:val="18"/>
                <w:lang w:val="en-GB"/>
              </w:rPr>
            </w:pPr>
          </w:p>
        </w:tc>
        <w:tc>
          <w:tcPr>
            <w:tcW w:w="626" w:type="pct"/>
            <w:shd w:val="clear" w:color="auto" w:fill="auto"/>
            <w:vAlign w:val="center"/>
          </w:tcPr>
          <w:p w14:paraId="4D9C2DEB" w14:textId="1AFE84E0" w:rsidR="009A431E" w:rsidRPr="00B06FA0" w:rsidRDefault="009A431E" w:rsidP="00B06FA0">
            <w:pPr>
              <w:spacing w:line="260" w:lineRule="atLeast"/>
              <w:jc w:val="center"/>
              <w:rPr>
                <w:rFonts w:ascii="Arial" w:eastAsia="Calibri" w:hAnsi="Arial" w:cs="Arial"/>
                <w:sz w:val="18"/>
                <w:szCs w:val="18"/>
                <w:lang w:val="en-GB"/>
              </w:rPr>
            </w:pPr>
          </w:p>
        </w:tc>
        <w:tc>
          <w:tcPr>
            <w:tcW w:w="626" w:type="pct"/>
            <w:shd w:val="clear" w:color="auto" w:fill="auto"/>
            <w:vAlign w:val="center"/>
          </w:tcPr>
          <w:p w14:paraId="7B9A5F6B" w14:textId="77777777" w:rsidR="009A431E" w:rsidRPr="00B06FA0" w:rsidRDefault="009A431E" w:rsidP="00B06FA0">
            <w:pPr>
              <w:spacing w:line="260" w:lineRule="atLeast"/>
              <w:rPr>
                <w:rFonts w:ascii="Arial" w:eastAsia="Times New Roman" w:hAnsi="Arial" w:cs="Arial"/>
                <w:sz w:val="18"/>
                <w:szCs w:val="18"/>
                <w:lang w:val="en-GB"/>
              </w:rPr>
            </w:pPr>
          </w:p>
        </w:tc>
        <w:tc>
          <w:tcPr>
            <w:tcW w:w="372" w:type="pct"/>
            <w:shd w:val="clear" w:color="auto" w:fill="auto"/>
            <w:vAlign w:val="center"/>
          </w:tcPr>
          <w:p w14:paraId="6C4B7DE9" w14:textId="77777777" w:rsidR="009A431E" w:rsidRPr="00B06FA0" w:rsidRDefault="009A431E" w:rsidP="00B06FA0">
            <w:pPr>
              <w:spacing w:line="260" w:lineRule="atLeast"/>
              <w:rPr>
                <w:rFonts w:ascii="Arial" w:eastAsia="Times New Roman" w:hAnsi="Arial" w:cs="Arial"/>
                <w:sz w:val="18"/>
                <w:szCs w:val="18"/>
                <w:lang w:val="en-GB"/>
              </w:rPr>
            </w:pPr>
          </w:p>
        </w:tc>
        <w:tc>
          <w:tcPr>
            <w:tcW w:w="372" w:type="pct"/>
            <w:shd w:val="clear" w:color="auto" w:fill="auto"/>
            <w:vAlign w:val="center"/>
          </w:tcPr>
          <w:p w14:paraId="272A3F2B" w14:textId="77777777" w:rsidR="009A431E" w:rsidRPr="00B06FA0" w:rsidRDefault="009A431E" w:rsidP="00B06FA0">
            <w:pPr>
              <w:spacing w:line="260" w:lineRule="atLeast"/>
              <w:rPr>
                <w:rFonts w:ascii="Arial" w:eastAsia="Times New Roman" w:hAnsi="Arial" w:cs="Arial"/>
                <w:sz w:val="18"/>
                <w:szCs w:val="18"/>
                <w:lang w:val="en-GB"/>
              </w:rPr>
            </w:pPr>
          </w:p>
        </w:tc>
      </w:tr>
      <w:tr w:rsidR="009A431E" w:rsidRPr="00B06FA0" w14:paraId="710AA64E" w14:textId="77777777" w:rsidTr="009A431E">
        <w:tc>
          <w:tcPr>
            <w:tcW w:w="689" w:type="pct"/>
            <w:shd w:val="clear" w:color="auto" w:fill="D9D9D9" w:themeFill="background1" w:themeFillShade="D9"/>
            <w:vAlign w:val="center"/>
          </w:tcPr>
          <w:p w14:paraId="3DF74D4D" w14:textId="77777777" w:rsidR="009A431E" w:rsidRPr="00B06FA0" w:rsidRDefault="009A431E" w:rsidP="00B06FA0">
            <w:pPr>
              <w:spacing w:line="260" w:lineRule="atLeast"/>
              <w:rPr>
                <w:rFonts w:ascii="Arial" w:eastAsia="Times New Roman" w:hAnsi="Arial" w:cs="Arial"/>
                <w:sz w:val="20"/>
                <w:szCs w:val="20"/>
              </w:rPr>
            </w:pPr>
            <w:r>
              <w:rPr>
                <w:rFonts w:ascii="Arial" w:hAnsi="Arial"/>
                <w:sz w:val="20"/>
              </w:rPr>
              <w:t xml:space="preserve">Investimi </w:t>
            </w:r>
          </w:p>
        </w:tc>
        <w:tc>
          <w:tcPr>
            <w:tcW w:w="372" w:type="pct"/>
            <w:shd w:val="clear" w:color="auto" w:fill="auto"/>
            <w:vAlign w:val="center"/>
          </w:tcPr>
          <w:p w14:paraId="43FDA617" w14:textId="77777777" w:rsidR="009A431E" w:rsidRPr="00B06FA0" w:rsidRDefault="009A431E" w:rsidP="00B06FA0">
            <w:pPr>
              <w:spacing w:line="260" w:lineRule="atLeast"/>
              <w:rPr>
                <w:rFonts w:ascii="Arial" w:eastAsia="Times New Roman" w:hAnsi="Arial" w:cs="Arial"/>
                <w:sz w:val="18"/>
                <w:szCs w:val="18"/>
                <w:lang w:val="en-GB"/>
              </w:rPr>
            </w:pPr>
          </w:p>
        </w:tc>
        <w:tc>
          <w:tcPr>
            <w:tcW w:w="372" w:type="pct"/>
            <w:shd w:val="clear" w:color="auto" w:fill="auto"/>
            <w:vAlign w:val="center"/>
          </w:tcPr>
          <w:p w14:paraId="74D9A0B6" w14:textId="77777777" w:rsidR="009A431E" w:rsidRPr="00B06FA0" w:rsidRDefault="009A431E" w:rsidP="00B06FA0">
            <w:pPr>
              <w:spacing w:line="260" w:lineRule="atLeast"/>
              <w:rPr>
                <w:rFonts w:ascii="Arial" w:eastAsia="Times New Roman" w:hAnsi="Arial" w:cs="Arial"/>
                <w:sz w:val="18"/>
                <w:szCs w:val="18"/>
                <w:lang w:val="en-GB"/>
              </w:rPr>
            </w:pPr>
          </w:p>
        </w:tc>
        <w:tc>
          <w:tcPr>
            <w:tcW w:w="372" w:type="pct"/>
            <w:shd w:val="clear" w:color="auto" w:fill="auto"/>
            <w:vAlign w:val="center"/>
          </w:tcPr>
          <w:p w14:paraId="5BF75695" w14:textId="77777777" w:rsidR="009A431E" w:rsidRPr="00B06FA0" w:rsidRDefault="009A431E" w:rsidP="00B06FA0">
            <w:pPr>
              <w:spacing w:line="260" w:lineRule="atLeast"/>
              <w:jc w:val="center"/>
              <w:rPr>
                <w:rFonts w:ascii="Arial" w:eastAsia="Calibri" w:hAnsi="Arial" w:cs="Arial"/>
                <w:sz w:val="18"/>
                <w:szCs w:val="18"/>
                <w:lang w:val="en-GB"/>
              </w:rPr>
            </w:pPr>
          </w:p>
        </w:tc>
        <w:tc>
          <w:tcPr>
            <w:tcW w:w="571" w:type="pct"/>
            <w:shd w:val="clear" w:color="auto" w:fill="auto"/>
            <w:vAlign w:val="center"/>
          </w:tcPr>
          <w:p w14:paraId="3AC184B2" w14:textId="313C37BA" w:rsidR="009A431E" w:rsidRPr="00B06FA0" w:rsidRDefault="009A431E" w:rsidP="00B06FA0">
            <w:pPr>
              <w:spacing w:line="260" w:lineRule="atLeast"/>
              <w:jc w:val="center"/>
              <w:rPr>
                <w:rFonts w:ascii="Arial" w:eastAsia="Calibri" w:hAnsi="Arial" w:cs="Arial"/>
                <w:sz w:val="18"/>
                <w:szCs w:val="18"/>
                <w:lang w:val="en-GB"/>
              </w:rPr>
            </w:pPr>
          </w:p>
        </w:tc>
        <w:tc>
          <w:tcPr>
            <w:tcW w:w="626" w:type="pct"/>
            <w:shd w:val="clear" w:color="auto" w:fill="auto"/>
            <w:vAlign w:val="center"/>
          </w:tcPr>
          <w:p w14:paraId="2D0C7017" w14:textId="0F04B3A5" w:rsidR="009A431E" w:rsidRPr="00B06FA0" w:rsidRDefault="009A431E" w:rsidP="00B06FA0">
            <w:pPr>
              <w:spacing w:line="260" w:lineRule="atLeast"/>
              <w:jc w:val="center"/>
              <w:rPr>
                <w:rFonts w:ascii="Arial" w:eastAsia="Calibri" w:hAnsi="Arial" w:cs="Arial"/>
                <w:sz w:val="18"/>
                <w:szCs w:val="18"/>
              </w:rPr>
            </w:pPr>
            <w:r>
              <w:rPr>
                <w:rFonts w:ascii="Arial" w:hAnsi="Arial"/>
                <w:sz w:val="18"/>
              </w:rPr>
              <w:t>12,470.000</w:t>
            </w:r>
          </w:p>
        </w:tc>
        <w:tc>
          <w:tcPr>
            <w:tcW w:w="626" w:type="pct"/>
            <w:shd w:val="clear" w:color="auto" w:fill="auto"/>
          </w:tcPr>
          <w:p w14:paraId="5134EA83" w14:textId="2FB4CC63" w:rsidR="009A431E" w:rsidRPr="00B06FA0" w:rsidRDefault="009A431E" w:rsidP="00B06FA0">
            <w:pPr>
              <w:spacing w:line="260" w:lineRule="atLeast"/>
              <w:jc w:val="center"/>
              <w:rPr>
                <w:rFonts w:ascii="Arial" w:eastAsia="Calibri" w:hAnsi="Arial" w:cs="Arial"/>
                <w:sz w:val="18"/>
                <w:szCs w:val="18"/>
              </w:rPr>
            </w:pPr>
            <w:r>
              <w:rPr>
                <w:rFonts w:ascii="Arial" w:hAnsi="Arial"/>
                <w:sz w:val="18"/>
              </w:rPr>
              <w:t>12,470.000</w:t>
            </w:r>
          </w:p>
        </w:tc>
        <w:tc>
          <w:tcPr>
            <w:tcW w:w="626" w:type="pct"/>
            <w:shd w:val="clear" w:color="auto" w:fill="auto"/>
          </w:tcPr>
          <w:p w14:paraId="76157A5B" w14:textId="4611CD4D" w:rsidR="009A431E" w:rsidRPr="00B06FA0" w:rsidRDefault="009A431E" w:rsidP="00B06FA0">
            <w:pPr>
              <w:spacing w:line="260" w:lineRule="atLeast"/>
              <w:rPr>
                <w:rFonts w:ascii="Arial" w:eastAsia="Times New Roman" w:hAnsi="Arial" w:cs="Arial"/>
                <w:sz w:val="18"/>
                <w:szCs w:val="18"/>
              </w:rPr>
            </w:pPr>
            <w:r>
              <w:rPr>
                <w:rFonts w:ascii="Arial" w:hAnsi="Arial"/>
                <w:sz w:val="18"/>
              </w:rPr>
              <w:t>12,470.000</w:t>
            </w:r>
          </w:p>
        </w:tc>
        <w:tc>
          <w:tcPr>
            <w:tcW w:w="372" w:type="pct"/>
            <w:shd w:val="clear" w:color="auto" w:fill="auto"/>
            <w:vAlign w:val="center"/>
          </w:tcPr>
          <w:p w14:paraId="3103DBF0" w14:textId="77777777" w:rsidR="009A431E" w:rsidRPr="00B06FA0" w:rsidRDefault="009A431E" w:rsidP="00B06FA0">
            <w:pPr>
              <w:spacing w:line="260" w:lineRule="atLeast"/>
              <w:rPr>
                <w:rFonts w:ascii="Arial" w:eastAsia="Times New Roman" w:hAnsi="Arial" w:cs="Arial"/>
                <w:sz w:val="18"/>
                <w:szCs w:val="18"/>
                <w:lang w:val="en-GB"/>
              </w:rPr>
            </w:pPr>
          </w:p>
        </w:tc>
        <w:tc>
          <w:tcPr>
            <w:tcW w:w="372" w:type="pct"/>
            <w:shd w:val="clear" w:color="auto" w:fill="auto"/>
            <w:vAlign w:val="center"/>
          </w:tcPr>
          <w:p w14:paraId="7C1948CC" w14:textId="77777777" w:rsidR="009A431E" w:rsidRPr="00B06FA0" w:rsidRDefault="009A431E" w:rsidP="00B06FA0">
            <w:pPr>
              <w:spacing w:line="260" w:lineRule="atLeast"/>
              <w:rPr>
                <w:rFonts w:ascii="Arial" w:eastAsia="Times New Roman" w:hAnsi="Arial" w:cs="Arial"/>
                <w:sz w:val="18"/>
                <w:szCs w:val="18"/>
                <w:lang w:val="en-GB"/>
              </w:rPr>
            </w:pPr>
          </w:p>
        </w:tc>
      </w:tr>
    </w:tbl>
    <w:p w14:paraId="0C83E92E" w14:textId="6672BB4B" w:rsidR="00B06FA0" w:rsidRPr="00B06FA0" w:rsidRDefault="00B06FA0" w:rsidP="00B06FA0">
      <w:pPr>
        <w:spacing w:after="120"/>
        <w:jc w:val="both"/>
        <w:rPr>
          <w:rFonts w:ascii="Arial" w:hAnsi="Arial" w:cs="Arial"/>
          <w:b/>
          <w:sz w:val="20"/>
          <w:szCs w:val="20"/>
          <w:lang w:val="en-GB"/>
        </w:rPr>
      </w:pPr>
    </w:p>
    <w:p w14:paraId="1AF49E88" w14:textId="0E9CAFDB" w:rsidR="00351CE9" w:rsidRPr="00831C2D" w:rsidRDefault="00351CE9" w:rsidP="001E3F71">
      <w:pPr>
        <w:pStyle w:val="ListParagraph"/>
        <w:numPr>
          <w:ilvl w:val="0"/>
          <w:numId w:val="2"/>
        </w:numPr>
        <w:spacing w:after="120"/>
        <w:jc w:val="both"/>
        <w:rPr>
          <w:rFonts w:ascii="Arial" w:hAnsi="Arial" w:cs="Arial"/>
          <w:b/>
          <w:sz w:val="20"/>
          <w:szCs w:val="20"/>
        </w:rPr>
      </w:pPr>
      <w:r>
        <w:rPr>
          <w:rFonts w:ascii="Arial" w:hAnsi="Arial"/>
          <w:b/>
          <w:sz w:val="20"/>
        </w:rPr>
        <w:t>ASPEKTE TË TJERA</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820"/>
        <w:gridCol w:w="5530"/>
      </w:tblGrid>
      <w:tr w:rsidR="00351CE9" w:rsidRPr="00831C2D" w14:paraId="60F1CC01" w14:textId="77777777" w:rsidTr="00FC635E">
        <w:trPr>
          <w:trHeight w:val="964"/>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35729050" w14:textId="77777777" w:rsidR="00351CE9" w:rsidRPr="00831C2D" w:rsidRDefault="00351CE9" w:rsidP="001E3F71">
            <w:pPr>
              <w:spacing w:before="60" w:after="60" w:line="260" w:lineRule="atLeast"/>
              <w:jc w:val="both"/>
              <w:rPr>
                <w:rFonts w:ascii="Arial" w:hAnsi="Arial" w:cs="Arial"/>
                <w:sz w:val="20"/>
                <w:szCs w:val="20"/>
              </w:rPr>
            </w:pPr>
            <w:r>
              <w:rPr>
                <w:rFonts w:ascii="Arial" w:hAnsi="Arial"/>
                <w:sz w:val="20"/>
              </w:rPr>
              <w:t>A janë konsultuar IFN-të ose donatorë të tjerë për projektin? Kur? Cili ishte gjykimi i tyre?</w:t>
            </w:r>
          </w:p>
        </w:tc>
        <w:tc>
          <w:tcPr>
            <w:tcW w:w="2957" w:type="pct"/>
            <w:tcBorders>
              <w:top w:val="single" w:sz="4" w:space="0" w:color="auto"/>
              <w:left w:val="single" w:sz="4" w:space="0" w:color="auto"/>
              <w:bottom w:val="single" w:sz="4" w:space="0" w:color="auto"/>
              <w:right w:val="single" w:sz="4" w:space="0" w:color="auto"/>
            </w:tcBorders>
            <w:vAlign w:val="center"/>
          </w:tcPr>
          <w:p w14:paraId="1CB82F0D" w14:textId="63052206" w:rsidR="003427A1" w:rsidRPr="00FC635E" w:rsidRDefault="00FC635E" w:rsidP="00FC635E">
            <w:pPr>
              <w:spacing w:after="160" w:line="259" w:lineRule="auto"/>
            </w:pPr>
            <w:r>
              <w:rPr>
                <w:rFonts w:ascii="Arial" w:hAnsi="Arial"/>
                <w:sz w:val="20"/>
              </w:rPr>
              <w:t>Një takim konsultimi me donatorët u zhvillua më 23 janar 2024, ku IFN-të dhe donatorët e tjerë u ftuan të merrnin pjesë në një diskutim të përgjithshëm mbi projektet në sektorin e Mjedisit SPP përpara validimit dhe miratimit të tij.</w:t>
            </w:r>
          </w:p>
        </w:tc>
      </w:tr>
      <w:tr w:rsidR="00351CE9" w:rsidRPr="00831C2D" w14:paraId="5871547D" w14:textId="77777777" w:rsidTr="00C217B2">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372C2ABD" w14:textId="7BF2E782" w:rsidR="00351CE9" w:rsidRPr="00831C2D" w:rsidRDefault="00351CE9" w:rsidP="001E3F71">
            <w:pPr>
              <w:spacing w:before="60" w:after="60" w:line="260" w:lineRule="atLeast"/>
              <w:jc w:val="both"/>
              <w:rPr>
                <w:rFonts w:ascii="Arial" w:hAnsi="Arial" w:cs="Arial"/>
                <w:sz w:val="20"/>
                <w:szCs w:val="20"/>
              </w:rPr>
            </w:pPr>
            <w:r>
              <w:rPr>
                <w:rFonts w:ascii="Arial" w:hAnsi="Arial"/>
                <w:sz w:val="20"/>
              </w:rPr>
              <w:lastRenderedPageBreak/>
              <w:t xml:space="preserve">Mbështetja ekzistuese </w:t>
            </w:r>
            <w:r w:rsidR="00AF7C41">
              <w:rPr>
                <w:rFonts w:ascii="Arial" w:hAnsi="Arial"/>
                <w:sz w:val="20"/>
              </w:rPr>
              <w:t>e BE-së ose WBIF</w:t>
            </w:r>
            <w:r>
              <w:rPr>
                <w:rFonts w:ascii="Arial" w:hAnsi="Arial"/>
                <w:sz w:val="20"/>
              </w:rPr>
              <w:t xml:space="preserve"> (TA): shuma, qëllimi</w:t>
            </w:r>
          </w:p>
        </w:tc>
        <w:tc>
          <w:tcPr>
            <w:tcW w:w="2957" w:type="pct"/>
            <w:tcBorders>
              <w:top w:val="single" w:sz="4" w:space="0" w:color="auto"/>
              <w:left w:val="single" w:sz="4" w:space="0" w:color="auto"/>
              <w:bottom w:val="single" w:sz="4" w:space="0" w:color="auto"/>
              <w:right w:val="single" w:sz="4" w:space="0" w:color="auto"/>
            </w:tcBorders>
            <w:vAlign w:val="center"/>
          </w:tcPr>
          <w:p w14:paraId="34706F79" w14:textId="41F43688" w:rsidR="00351CE9" w:rsidRPr="00831C2D" w:rsidRDefault="00831C2D" w:rsidP="001E3F71">
            <w:pPr>
              <w:spacing w:before="60" w:after="60" w:line="260" w:lineRule="atLeast"/>
              <w:jc w:val="both"/>
              <w:rPr>
                <w:rFonts w:ascii="Arial" w:hAnsi="Arial" w:cs="Arial"/>
                <w:sz w:val="20"/>
                <w:szCs w:val="20"/>
              </w:rPr>
            </w:pPr>
            <w:r>
              <w:rPr>
                <w:rFonts w:ascii="Arial" w:hAnsi="Arial"/>
                <w:sz w:val="20"/>
              </w:rPr>
              <w:t>Po. Plani i Menaxhimit të MNRr për Kosovën është zhvilluar në kuadër të TA-së të ofruar nga BERZH dhe pjesërisht i financuar nga KIBP.</w:t>
            </w:r>
          </w:p>
        </w:tc>
        <w:bookmarkStart w:id="8" w:name="_GoBack"/>
        <w:bookmarkEnd w:id="8"/>
      </w:tr>
      <w:tr w:rsidR="00351CE9" w:rsidRPr="00831C2D" w14:paraId="12BEF4FF" w14:textId="77777777" w:rsidTr="00C217B2">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0EC32FF5" w14:textId="77777777" w:rsidR="00351CE9" w:rsidRPr="00831C2D" w:rsidRDefault="00351CE9" w:rsidP="001E3F71">
            <w:pPr>
              <w:spacing w:before="60" w:after="60" w:line="260" w:lineRule="atLeast"/>
              <w:jc w:val="both"/>
              <w:rPr>
                <w:rFonts w:ascii="Arial" w:hAnsi="Arial" w:cs="Arial"/>
                <w:sz w:val="20"/>
                <w:szCs w:val="20"/>
              </w:rPr>
            </w:pPr>
            <w:r>
              <w:rPr>
                <w:rFonts w:ascii="Arial" w:hAnsi="Arial"/>
                <w:sz w:val="20"/>
              </w:rPr>
              <w:t>A është konsultuar Ministria e Financave për projektin? Përshkruani reagimet.</w:t>
            </w:r>
          </w:p>
        </w:tc>
        <w:tc>
          <w:tcPr>
            <w:tcW w:w="2957" w:type="pct"/>
            <w:tcBorders>
              <w:top w:val="single" w:sz="4" w:space="0" w:color="auto"/>
              <w:left w:val="single" w:sz="4" w:space="0" w:color="auto"/>
              <w:bottom w:val="single" w:sz="4" w:space="0" w:color="auto"/>
              <w:right w:val="single" w:sz="4" w:space="0" w:color="auto"/>
            </w:tcBorders>
            <w:vAlign w:val="center"/>
          </w:tcPr>
          <w:p w14:paraId="711376BC" w14:textId="64B6FA85" w:rsidR="00351CE9" w:rsidRPr="00831C2D" w:rsidRDefault="00831C2D" w:rsidP="001E3F71">
            <w:pPr>
              <w:spacing w:before="60" w:after="60" w:line="260" w:lineRule="atLeast"/>
              <w:jc w:val="both"/>
              <w:rPr>
                <w:rFonts w:ascii="Arial" w:hAnsi="Arial" w:cs="Arial"/>
                <w:sz w:val="20"/>
                <w:szCs w:val="20"/>
                <w:highlight w:val="yellow"/>
              </w:rPr>
            </w:pPr>
            <w:r>
              <w:rPr>
                <w:rFonts w:ascii="Arial" w:hAnsi="Arial"/>
                <w:sz w:val="20"/>
              </w:rPr>
              <w:t xml:space="preserve">Po, ata e kanë miratuar projektin. </w:t>
            </w:r>
          </w:p>
        </w:tc>
      </w:tr>
      <w:tr w:rsidR="00351CE9" w:rsidRPr="00831C2D" w14:paraId="690E85E7" w14:textId="77777777" w:rsidTr="00C217B2">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42C9A74A" w14:textId="77777777" w:rsidR="00351CE9" w:rsidRPr="00831C2D" w:rsidRDefault="00351CE9" w:rsidP="001E3F71">
            <w:pPr>
              <w:spacing w:before="60" w:after="60" w:line="260" w:lineRule="atLeast"/>
              <w:jc w:val="both"/>
              <w:rPr>
                <w:rFonts w:ascii="Arial" w:hAnsi="Arial" w:cs="Arial"/>
                <w:sz w:val="20"/>
                <w:szCs w:val="20"/>
              </w:rPr>
            </w:pPr>
            <w:r>
              <w:rPr>
                <w:rFonts w:ascii="Arial" w:hAnsi="Arial"/>
                <w:sz w:val="20"/>
              </w:rPr>
              <w:t>A gjeneron projekti të ardhura nga përdoruesit fundorë?</w:t>
            </w:r>
          </w:p>
        </w:tc>
        <w:tc>
          <w:tcPr>
            <w:tcW w:w="2957" w:type="pct"/>
            <w:tcBorders>
              <w:top w:val="single" w:sz="4" w:space="0" w:color="auto"/>
              <w:left w:val="single" w:sz="4" w:space="0" w:color="auto"/>
              <w:bottom w:val="single" w:sz="4" w:space="0" w:color="auto"/>
              <w:right w:val="single" w:sz="4" w:space="0" w:color="auto"/>
            </w:tcBorders>
            <w:vAlign w:val="center"/>
          </w:tcPr>
          <w:p w14:paraId="4D2394C1" w14:textId="3773B060" w:rsidR="00351CE9" w:rsidRPr="00831C2D" w:rsidRDefault="00351CE9" w:rsidP="001E3F71">
            <w:pPr>
              <w:spacing w:before="60" w:after="60" w:line="260" w:lineRule="atLeast"/>
              <w:jc w:val="both"/>
              <w:rPr>
                <w:rFonts w:ascii="Arial" w:hAnsi="Arial" w:cs="Arial"/>
                <w:sz w:val="20"/>
                <w:szCs w:val="20"/>
              </w:rPr>
            </w:pPr>
            <w:r>
              <w:rPr>
                <w:rFonts w:ascii="Arial" w:hAnsi="Arial"/>
                <w:sz w:val="20"/>
              </w:rPr>
              <w:t>Po (sipas parimit “ndotësi paguan”).</w:t>
            </w:r>
          </w:p>
        </w:tc>
      </w:tr>
      <w:tr w:rsidR="00351CE9" w:rsidRPr="00831C2D" w14:paraId="313FA27E" w14:textId="77777777" w:rsidTr="00C217B2">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6D33EE4B" w14:textId="77777777" w:rsidR="00351CE9" w:rsidRPr="00831C2D" w:rsidRDefault="00351CE9" w:rsidP="001E3F71">
            <w:pPr>
              <w:spacing w:before="60" w:after="60" w:line="260" w:lineRule="atLeast"/>
              <w:jc w:val="both"/>
              <w:rPr>
                <w:rFonts w:ascii="Arial" w:hAnsi="Arial" w:cs="Arial"/>
                <w:sz w:val="20"/>
                <w:szCs w:val="20"/>
              </w:rPr>
            </w:pPr>
            <w:r>
              <w:rPr>
                <w:rFonts w:ascii="Arial" w:hAnsi="Arial"/>
                <w:sz w:val="20"/>
              </w:rPr>
              <w:t>Përshkrimi i ekipit të projektit për zbatim</w:t>
            </w:r>
          </w:p>
        </w:tc>
        <w:tc>
          <w:tcPr>
            <w:tcW w:w="2957" w:type="pct"/>
            <w:tcBorders>
              <w:top w:val="single" w:sz="4" w:space="0" w:color="auto"/>
              <w:left w:val="single" w:sz="4" w:space="0" w:color="auto"/>
              <w:bottom w:val="single" w:sz="4" w:space="0" w:color="auto"/>
              <w:right w:val="single" w:sz="4" w:space="0" w:color="auto"/>
            </w:tcBorders>
            <w:vAlign w:val="center"/>
          </w:tcPr>
          <w:p w14:paraId="7C49AB5A" w14:textId="6C4217F5" w:rsidR="00351CE9" w:rsidRPr="00831C2D" w:rsidRDefault="00351CE9" w:rsidP="001E3F71">
            <w:pPr>
              <w:spacing w:before="60" w:after="60" w:line="260" w:lineRule="atLeast"/>
              <w:jc w:val="both"/>
              <w:rPr>
                <w:rFonts w:ascii="Arial" w:hAnsi="Arial" w:cs="Arial"/>
                <w:sz w:val="20"/>
                <w:szCs w:val="20"/>
              </w:rPr>
            </w:pPr>
            <w:r>
              <w:rPr>
                <w:rFonts w:ascii="Arial" w:hAnsi="Arial"/>
                <w:sz w:val="20"/>
              </w:rPr>
              <w:t>MMPHI do të krijojë një NjZP për këtë projekt.</w:t>
            </w:r>
          </w:p>
        </w:tc>
      </w:tr>
    </w:tbl>
    <w:p w14:paraId="529EA721" w14:textId="28D03965" w:rsidR="00F5168C" w:rsidRPr="00831C2D" w:rsidRDefault="00F5168C" w:rsidP="001E3F71">
      <w:pPr>
        <w:spacing w:after="0" w:line="240" w:lineRule="auto"/>
        <w:jc w:val="both"/>
        <w:rPr>
          <w:rFonts w:ascii="Arial" w:hAnsi="Arial" w:cs="Arial"/>
          <w:b/>
          <w:sz w:val="20"/>
          <w:szCs w:val="20"/>
          <w:lang w:val="en-GB"/>
        </w:rPr>
      </w:pPr>
    </w:p>
    <w:p w14:paraId="0248C138" w14:textId="14B0E465" w:rsidR="009A431E" w:rsidRPr="009A431E" w:rsidRDefault="009A431E" w:rsidP="009A431E">
      <w:pPr>
        <w:rPr>
          <w:lang w:val="en-GB"/>
        </w:rPr>
      </w:pPr>
    </w:p>
    <w:sectPr w:rsidR="009A431E" w:rsidRPr="009A431E" w:rsidSect="006F0391">
      <w:pgSz w:w="12240" w:h="15840"/>
      <w:pgMar w:top="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9E0E4" w14:textId="77777777" w:rsidR="004707FA" w:rsidRDefault="004707FA" w:rsidP="00B16BC5">
      <w:pPr>
        <w:spacing w:after="0" w:line="240" w:lineRule="auto"/>
      </w:pPr>
      <w:r>
        <w:separator/>
      </w:r>
    </w:p>
  </w:endnote>
  <w:endnote w:type="continuationSeparator" w:id="0">
    <w:p w14:paraId="75D2CF3B" w14:textId="77777777" w:rsidR="004707FA" w:rsidRDefault="004707FA" w:rsidP="00B16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Sem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DA85F" w14:textId="77777777" w:rsidR="004707FA" w:rsidRDefault="004707FA" w:rsidP="00B16BC5">
      <w:pPr>
        <w:spacing w:after="0" w:line="240" w:lineRule="auto"/>
      </w:pPr>
      <w:r>
        <w:separator/>
      </w:r>
    </w:p>
  </w:footnote>
  <w:footnote w:type="continuationSeparator" w:id="0">
    <w:p w14:paraId="1BED8A5B" w14:textId="77777777" w:rsidR="004707FA" w:rsidRDefault="004707FA" w:rsidP="00B16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21FE3"/>
    <w:multiLevelType w:val="hybridMultilevel"/>
    <w:tmpl w:val="20363A6E"/>
    <w:lvl w:ilvl="0" w:tplc="94D41A48">
      <w:start w:val="1"/>
      <w:numFmt w:val="decimal"/>
      <w:lvlText w:val="R%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E3FCC"/>
    <w:multiLevelType w:val="multilevel"/>
    <w:tmpl w:val="4C06E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927C31"/>
    <w:multiLevelType w:val="hybridMultilevel"/>
    <w:tmpl w:val="2E90B4BA"/>
    <w:lvl w:ilvl="0" w:tplc="08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9C0364"/>
    <w:multiLevelType w:val="hybridMultilevel"/>
    <w:tmpl w:val="26C0D990"/>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7D0915"/>
    <w:multiLevelType w:val="hybridMultilevel"/>
    <w:tmpl w:val="388A990A"/>
    <w:lvl w:ilvl="0" w:tplc="04090005">
      <w:start w:val="1"/>
      <w:numFmt w:val="bullet"/>
      <w:lvlText w:val=""/>
      <w:lvlJc w:val="left"/>
      <w:pPr>
        <w:ind w:left="720" w:hanging="360"/>
      </w:pPr>
      <w:rPr>
        <w:rFonts w:ascii="Wingdings" w:hAnsi="Wingdings"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E9"/>
    <w:rsid w:val="0002270F"/>
    <w:rsid w:val="00033A0B"/>
    <w:rsid w:val="00043F34"/>
    <w:rsid w:val="0004751E"/>
    <w:rsid w:val="0006458D"/>
    <w:rsid w:val="000650FE"/>
    <w:rsid w:val="00066FA8"/>
    <w:rsid w:val="00067077"/>
    <w:rsid w:val="00074220"/>
    <w:rsid w:val="000776D9"/>
    <w:rsid w:val="00080CE2"/>
    <w:rsid w:val="000911AA"/>
    <w:rsid w:val="0010192E"/>
    <w:rsid w:val="00127A41"/>
    <w:rsid w:val="00127E37"/>
    <w:rsid w:val="00137897"/>
    <w:rsid w:val="001424BC"/>
    <w:rsid w:val="00156015"/>
    <w:rsid w:val="0017050C"/>
    <w:rsid w:val="0017547F"/>
    <w:rsid w:val="0017745F"/>
    <w:rsid w:val="001B7E1C"/>
    <w:rsid w:val="001C0963"/>
    <w:rsid w:val="001C7202"/>
    <w:rsid w:val="001D6AF9"/>
    <w:rsid w:val="001E3F71"/>
    <w:rsid w:val="001E71E8"/>
    <w:rsid w:val="001F0DF1"/>
    <w:rsid w:val="001F79AB"/>
    <w:rsid w:val="00200170"/>
    <w:rsid w:val="002072E7"/>
    <w:rsid w:val="00217882"/>
    <w:rsid w:val="00235921"/>
    <w:rsid w:val="0023688A"/>
    <w:rsid w:val="002372CF"/>
    <w:rsid w:val="002447A5"/>
    <w:rsid w:val="00262B23"/>
    <w:rsid w:val="002831C6"/>
    <w:rsid w:val="00286E70"/>
    <w:rsid w:val="0028727A"/>
    <w:rsid w:val="0028785D"/>
    <w:rsid w:val="00295C69"/>
    <w:rsid w:val="002962A4"/>
    <w:rsid w:val="002A1453"/>
    <w:rsid w:val="002A446F"/>
    <w:rsid w:val="002C2802"/>
    <w:rsid w:val="002D134C"/>
    <w:rsid w:val="002D30FB"/>
    <w:rsid w:val="002E0A52"/>
    <w:rsid w:val="002E5CFE"/>
    <w:rsid w:val="00300217"/>
    <w:rsid w:val="00326689"/>
    <w:rsid w:val="00334B04"/>
    <w:rsid w:val="00337134"/>
    <w:rsid w:val="00340170"/>
    <w:rsid w:val="003427A1"/>
    <w:rsid w:val="00343E7D"/>
    <w:rsid w:val="00351CE9"/>
    <w:rsid w:val="003520C8"/>
    <w:rsid w:val="00360D4D"/>
    <w:rsid w:val="00365B5D"/>
    <w:rsid w:val="0036723A"/>
    <w:rsid w:val="003815FF"/>
    <w:rsid w:val="00381785"/>
    <w:rsid w:val="003B3ACD"/>
    <w:rsid w:val="003C0210"/>
    <w:rsid w:val="003D570B"/>
    <w:rsid w:val="003E3451"/>
    <w:rsid w:val="003F4ABE"/>
    <w:rsid w:val="003F5127"/>
    <w:rsid w:val="004047CF"/>
    <w:rsid w:val="004261C1"/>
    <w:rsid w:val="0043302D"/>
    <w:rsid w:val="004450FE"/>
    <w:rsid w:val="00467025"/>
    <w:rsid w:val="004707FA"/>
    <w:rsid w:val="00474C59"/>
    <w:rsid w:val="00477BAE"/>
    <w:rsid w:val="00484DD4"/>
    <w:rsid w:val="004A461C"/>
    <w:rsid w:val="004B39E9"/>
    <w:rsid w:val="004B6C3C"/>
    <w:rsid w:val="004C094D"/>
    <w:rsid w:val="004D3993"/>
    <w:rsid w:val="004D424A"/>
    <w:rsid w:val="004E25FD"/>
    <w:rsid w:val="004E59E7"/>
    <w:rsid w:val="004E61D6"/>
    <w:rsid w:val="004E701D"/>
    <w:rsid w:val="00504B2F"/>
    <w:rsid w:val="00504D80"/>
    <w:rsid w:val="00511F81"/>
    <w:rsid w:val="005147A1"/>
    <w:rsid w:val="00516884"/>
    <w:rsid w:val="005414B7"/>
    <w:rsid w:val="005502DC"/>
    <w:rsid w:val="0055037F"/>
    <w:rsid w:val="005511C6"/>
    <w:rsid w:val="005601FE"/>
    <w:rsid w:val="005626CA"/>
    <w:rsid w:val="0057368E"/>
    <w:rsid w:val="005779E8"/>
    <w:rsid w:val="00580EC1"/>
    <w:rsid w:val="00581435"/>
    <w:rsid w:val="005A216A"/>
    <w:rsid w:val="005A7A89"/>
    <w:rsid w:val="005B007D"/>
    <w:rsid w:val="005C063D"/>
    <w:rsid w:val="005C61B3"/>
    <w:rsid w:val="005E3E42"/>
    <w:rsid w:val="005F02AC"/>
    <w:rsid w:val="006107A7"/>
    <w:rsid w:val="0061343B"/>
    <w:rsid w:val="00627E61"/>
    <w:rsid w:val="0064415E"/>
    <w:rsid w:val="00644560"/>
    <w:rsid w:val="006451D3"/>
    <w:rsid w:val="00657B31"/>
    <w:rsid w:val="00677A6D"/>
    <w:rsid w:val="00680E3B"/>
    <w:rsid w:val="00693421"/>
    <w:rsid w:val="006A2E4C"/>
    <w:rsid w:val="006D4BAF"/>
    <w:rsid w:val="006D5F7B"/>
    <w:rsid w:val="006E732C"/>
    <w:rsid w:val="006F0391"/>
    <w:rsid w:val="007071F8"/>
    <w:rsid w:val="0071088D"/>
    <w:rsid w:val="00710C92"/>
    <w:rsid w:val="0071353F"/>
    <w:rsid w:val="0071520C"/>
    <w:rsid w:val="00716571"/>
    <w:rsid w:val="00727CA8"/>
    <w:rsid w:val="007303AD"/>
    <w:rsid w:val="00750567"/>
    <w:rsid w:val="00754AF4"/>
    <w:rsid w:val="0077305B"/>
    <w:rsid w:val="0077787D"/>
    <w:rsid w:val="00780284"/>
    <w:rsid w:val="007929D2"/>
    <w:rsid w:val="00794492"/>
    <w:rsid w:val="007A0460"/>
    <w:rsid w:val="007A08C5"/>
    <w:rsid w:val="007B08D1"/>
    <w:rsid w:val="007C4B13"/>
    <w:rsid w:val="007C5482"/>
    <w:rsid w:val="007D046D"/>
    <w:rsid w:val="007D0A95"/>
    <w:rsid w:val="007E227B"/>
    <w:rsid w:val="007F52B7"/>
    <w:rsid w:val="008302A2"/>
    <w:rsid w:val="00831C2D"/>
    <w:rsid w:val="00843A26"/>
    <w:rsid w:val="0086172F"/>
    <w:rsid w:val="008634B5"/>
    <w:rsid w:val="008634F0"/>
    <w:rsid w:val="0086599B"/>
    <w:rsid w:val="00870296"/>
    <w:rsid w:val="00870B1B"/>
    <w:rsid w:val="008801A8"/>
    <w:rsid w:val="008A5D49"/>
    <w:rsid w:val="008B4432"/>
    <w:rsid w:val="008E2AAC"/>
    <w:rsid w:val="008E5A24"/>
    <w:rsid w:val="008F5B30"/>
    <w:rsid w:val="00915928"/>
    <w:rsid w:val="00940551"/>
    <w:rsid w:val="00943D9B"/>
    <w:rsid w:val="009658B2"/>
    <w:rsid w:val="00967733"/>
    <w:rsid w:val="0097614D"/>
    <w:rsid w:val="00983B8C"/>
    <w:rsid w:val="009A431E"/>
    <w:rsid w:val="009B091A"/>
    <w:rsid w:val="009B1474"/>
    <w:rsid w:val="009B2A30"/>
    <w:rsid w:val="009B52B6"/>
    <w:rsid w:val="009C334D"/>
    <w:rsid w:val="009E1860"/>
    <w:rsid w:val="009E72FB"/>
    <w:rsid w:val="009E74A0"/>
    <w:rsid w:val="00A064F0"/>
    <w:rsid w:val="00A875B7"/>
    <w:rsid w:val="00A97894"/>
    <w:rsid w:val="00AB2AB0"/>
    <w:rsid w:val="00AF1B8E"/>
    <w:rsid w:val="00AF40F0"/>
    <w:rsid w:val="00AF7C41"/>
    <w:rsid w:val="00B06FA0"/>
    <w:rsid w:val="00B115FF"/>
    <w:rsid w:val="00B16BC5"/>
    <w:rsid w:val="00B27647"/>
    <w:rsid w:val="00B304B3"/>
    <w:rsid w:val="00B30CE1"/>
    <w:rsid w:val="00B41D1C"/>
    <w:rsid w:val="00B61B10"/>
    <w:rsid w:val="00B62B5A"/>
    <w:rsid w:val="00B740B4"/>
    <w:rsid w:val="00B77798"/>
    <w:rsid w:val="00B8097E"/>
    <w:rsid w:val="00B8646D"/>
    <w:rsid w:val="00B965BF"/>
    <w:rsid w:val="00BA0B16"/>
    <w:rsid w:val="00BA3A48"/>
    <w:rsid w:val="00BA7FD6"/>
    <w:rsid w:val="00BB3AD8"/>
    <w:rsid w:val="00BC5176"/>
    <w:rsid w:val="00BD0EAF"/>
    <w:rsid w:val="00BD799E"/>
    <w:rsid w:val="00BE1729"/>
    <w:rsid w:val="00BE4672"/>
    <w:rsid w:val="00C10B46"/>
    <w:rsid w:val="00C13636"/>
    <w:rsid w:val="00C14719"/>
    <w:rsid w:val="00C1604A"/>
    <w:rsid w:val="00C217B2"/>
    <w:rsid w:val="00C21A03"/>
    <w:rsid w:val="00C366CF"/>
    <w:rsid w:val="00C4576B"/>
    <w:rsid w:val="00C51D21"/>
    <w:rsid w:val="00C624FC"/>
    <w:rsid w:val="00C77CF6"/>
    <w:rsid w:val="00C802EA"/>
    <w:rsid w:val="00C828FE"/>
    <w:rsid w:val="00C94628"/>
    <w:rsid w:val="00CB34DA"/>
    <w:rsid w:val="00CB583A"/>
    <w:rsid w:val="00CD07C7"/>
    <w:rsid w:val="00CE0610"/>
    <w:rsid w:val="00D2078F"/>
    <w:rsid w:val="00D315E1"/>
    <w:rsid w:val="00D359FA"/>
    <w:rsid w:val="00D42AB1"/>
    <w:rsid w:val="00D4606D"/>
    <w:rsid w:val="00D5660D"/>
    <w:rsid w:val="00D631D0"/>
    <w:rsid w:val="00D73E9D"/>
    <w:rsid w:val="00D85121"/>
    <w:rsid w:val="00D953D0"/>
    <w:rsid w:val="00DA1182"/>
    <w:rsid w:val="00DA247F"/>
    <w:rsid w:val="00DA59DB"/>
    <w:rsid w:val="00DF5DB1"/>
    <w:rsid w:val="00E02067"/>
    <w:rsid w:val="00E06B9D"/>
    <w:rsid w:val="00E13CCA"/>
    <w:rsid w:val="00E37E62"/>
    <w:rsid w:val="00E404D4"/>
    <w:rsid w:val="00E4521C"/>
    <w:rsid w:val="00E531D1"/>
    <w:rsid w:val="00E610FA"/>
    <w:rsid w:val="00E6547A"/>
    <w:rsid w:val="00EA02A4"/>
    <w:rsid w:val="00EB4B79"/>
    <w:rsid w:val="00EB77F0"/>
    <w:rsid w:val="00EC1C0F"/>
    <w:rsid w:val="00ED0580"/>
    <w:rsid w:val="00ED1656"/>
    <w:rsid w:val="00EE5774"/>
    <w:rsid w:val="00EF0E1D"/>
    <w:rsid w:val="00F02ADA"/>
    <w:rsid w:val="00F24179"/>
    <w:rsid w:val="00F30A8E"/>
    <w:rsid w:val="00F33859"/>
    <w:rsid w:val="00F4616D"/>
    <w:rsid w:val="00F46ECA"/>
    <w:rsid w:val="00F5168C"/>
    <w:rsid w:val="00F57448"/>
    <w:rsid w:val="00F7378F"/>
    <w:rsid w:val="00FC635E"/>
    <w:rsid w:val="00FD5930"/>
    <w:rsid w:val="00FF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DDC1"/>
  <w15:docId w15:val="{9F887B2C-23DE-4C41-A5DE-11636433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CE9"/>
    <w:pPr>
      <w:spacing w:after="200" w:line="276" w:lineRule="auto"/>
    </w:pPr>
  </w:style>
  <w:style w:type="paragraph" w:styleId="Heading1">
    <w:name w:val="heading 1"/>
    <w:aliases w:val="~SectionHeading"/>
    <w:basedOn w:val="Normal"/>
    <w:next w:val="Normal"/>
    <w:link w:val="Heading1Char"/>
    <w:uiPriority w:val="9"/>
    <w:qFormat/>
    <w:rsid w:val="00351CE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9"/>
    <w:rsid w:val="00351CE9"/>
    <w:rPr>
      <w:rFonts w:asciiTheme="majorHAnsi" w:eastAsiaTheme="majorEastAsia" w:hAnsiTheme="majorHAnsi" w:cstheme="majorBidi"/>
      <w:b/>
      <w:bCs/>
      <w:color w:val="2E74B5" w:themeColor="accent1" w:themeShade="BF"/>
      <w:sz w:val="28"/>
      <w:szCs w:val="28"/>
      <w:lang w:val="sq-AL"/>
    </w:rPr>
  </w:style>
  <w:style w:type="character" w:styleId="Hyperlink">
    <w:name w:val="Hyperlink"/>
    <w:basedOn w:val="DefaultParagraphFont"/>
    <w:uiPriority w:val="99"/>
    <w:unhideWhenUsed/>
    <w:rsid w:val="00351CE9"/>
    <w:rPr>
      <w:color w:val="0563C1" w:themeColor="hyperlink"/>
      <w:u w:val="single"/>
    </w:rPr>
  </w:style>
  <w:style w:type="paragraph" w:styleId="ListParagraph">
    <w:name w:val="List Paragraph"/>
    <w:basedOn w:val="Normal"/>
    <w:link w:val="ListParagraphChar"/>
    <w:uiPriority w:val="34"/>
    <w:qFormat/>
    <w:rsid w:val="00351CE9"/>
    <w:pPr>
      <w:ind w:left="720"/>
      <w:contextualSpacing/>
    </w:pPr>
  </w:style>
  <w:style w:type="character" w:customStyle="1" w:styleId="ListParagraphChar">
    <w:name w:val="List Paragraph Char"/>
    <w:link w:val="ListParagraph"/>
    <w:uiPriority w:val="34"/>
    <w:rsid w:val="00351CE9"/>
    <w:rPr>
      <w:lang w:val="sq-AL"/>
    </w:rPr>
  </w:style>
  <w:style w:type="paragraph" w:styleId="Caption">
    <w:name w:val="caption"/>
    <w:aliases w:val="~Caption"/>
    <w:basedOn w:val="Normal"/>
    <w:next w:val="Normal"/>
    <w:link w:val="CaptionChar"/>
    <w:unhideWhenUsed/>
    <w:qFormat/>
    <w:rsid w:val="00351CE9"/>
    <w:pPr>
      <w:spacing w:line="240" w:lineRule="auto"/>
    </w:pPr>
    <w:rPr>
      <w:b/>
      <w:bCs/>
      <w:color w:val="5B9BD5" w:themeColor="accent1"/>
      <w:sz w:val="18"/>
      <w:szCs w:val="18"/>
    </w:rPr>
  </w:style>
  <w:style w:type="character" w:customStyle="1" w:styleId="CaptionChar">
    <w:name w:val="Caption Char"/>
    <w:aliases w:val="~Caption Char"/>
    <w:link w:val="Caption"/>
    <w:rsid w:val="00351CE9"/>
    <w:rPr>
      <w:b/>
      <w:bCs/>
      <w:color w:val="5B9BD5" w:themeColor="accent1"/>
      <w:sz w:val="18"/>
      <w:szCs w:val="18"/>
      <w:lang w:val="sq-AL"/>
    </w:rPr>
  </w:style>
  <w:style w:type="paragraph" w:styleId="Title">
    <w:name w:val="Title"/>
    <w:basedOn w:val="Normal"/>
    <w:next w:val="Normal"/>
    <w:link w:val="TitleChar"/>
    <w:uiPriority w:val="10"/>
    <w:qFormat/>
    <w:rsid w:val="00351CE9"/>
    <w:pPr>
      <w:pBdr>
        <w:bottom w:val="single" w:sz="8" w:space="4" w:color="5B9BD5"/>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TitleChar">
    <w:name w:val="Title Char"/>
    <w:basedOn w:val="DefaultParagraphFont"/>
    <w:link w:val="Title"/>
    <w:uiPriority w:val="10"/>
    <w:rsid w:val="00351CE9"/>
    <w:rPr>
      <w:rFonts w:ascii="Calibri Light" w:eastAsia="Times New Roman" w:hAnsi="Calibri Light" w:cs="Times New Roman"/>
      <w:color w:val="323E4F"/>
      <w:spacing w:val="5"/>
      <w:sz w:val="52"/>
      <w:szCs w:val="52"/>
      <w:lang w:val="sq-AL"/>
    </w:rPr>
  </w:style>
  <w:style w:type="character" w:customStyle="1" w:styleId="hps">
    <w:name w:val="hps"/>
    <w:basedOn w:val="DefaultParagraphFont"/>
    <w:rsid w:val="00351CE9"/>
  </w:style>
  <w:style w:type="paragraph" w:customStyle="1" w:styleId="Default">
    <w:name w:val="Default"/>
    <w:rsid w:val="00351C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
    <w:name w:val="st"/>
    <w:rsid w:val="00351CE9"/>
  </w:style>
  <w:style w:type="table" w:customStyle="1" w:styleId="GridTable1Light-Accent512">
    <w:name w:val="Grid Table 1 Light - Accent 512"/>
    <w:basedOn w:val="TableNormal"/>
    <w:uiPriority w:val="46"/>
    <w:rsid w:val="00351CE9"/>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351CE9"/>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3">
    <w:name w:val="Grid Table 1 Light - Accent 513"/>
    <w:basedOn w:val="TableNormal"/>
    <w:uiPriority w:val="46"/>
    <w:rsid w:val="00351CE9"/>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E37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E62"/>
    <w:rPr>
      <w:rFonts w:ascii="Segoe UI" w:hAnsi="Segoe UI" w:cs="Segoe UI"/>
      <w:sz w:val="18"/>
      <w:szCs w:val="18"/>
      <w:lang w:val="sq-AL"/>
    </w:rPr>
  </w:style>
  <w:style w:type="character" w:styleId="CommentReference">
    <w:name w:val="annotation reference"/>
    <w:basedOn w:val="DefaultParagraphFont"/>
    <w:uiPriority w:val="99"/>
    <w:semiHidden/>
    <w:unhideWhenUsed/>
    <w:rsid w:val="00B77798"/>
    <w:rPr>
      <w:sz w:val="16"/>
      <w:szCs w:val="16"/>
    </w:rPr>
  </w:style>
  <w:style w:type="paragraph" w:styleId="CommentText">
    <w:name w:val="annotation text"/>
    <w:basedOn w:val="Normal"/>
    <w:link w:val="CommentTextChar"/>
    <w:uiPriority w:val="99"/>
    <w:semiHidden/>
    <w:unhideWhenUsed/>
    <w:rsid w:val="00B77798"/>
    <w:pPr>
      <w:spacing w:line="240" w:lineRule="auto"/>
    </w:pPr>
    <w:rPr>
      <w:sz w:val="20"/>
      <w:szCs w:val="20"/>
    </w:rPr>
  </w:style>
  <w:style w:type="character" w:customStyle="1" w:styleId="CommentTextChar">
    <w:name w:val="Comment Text Char"/>
    <w:basedOn w:val="DefaultParagraphFont"/>
    <w:link w:val="CommentText"/>
    <w:uiPriority w:val="99"/>
    <w:semiHidden/>
    <w:rsid w:val="00B77798"/>
    <w:rPr>
      <w:sz w:val="20"/>
      <w:szCs w:val="20"/>
      <w:lang w:val="sq-AL"/>
    </w:rPr>
  </w:style>
  <w:style w:type="paragraph" w:styleId="CommentSubject">
    <w:name w:val="annotation subject"/>
    <w:basedOn w:val="CommentText"/>
    <w:next w:val="CommentText"/>
    <w:link w:val="CommentSubjectChar"/>
    <w:uiPriority w:val="99"/>
    <w:semiHidden/>
    <w:unhideWhenUsed/>
    <w:rsid w:val="00B77798"/>
    <w:rPr>
      <w:b/>
      <w:bCs/>
    </w:rPr>
  </w:style>
  <w:style w:type="character" w:customStyle="1" w:styleId="CommentSubjectChar">
    <w:name w:val="Comment Subject Char"/>
    <w:basedOn w:val="CommentTextChar"/>
    <w:link w:val="CommentSubject"/>
    <w:uiPriority w:val="99"/>
    <w:semiHidden/>
    <w:rsid w:val="00B77798"/>
    <w:rPr>
      <w:b/>
      <w:bCs/>
      <w:sz w:val="20"/>
      <w:szCs w:val="20"/>
      <w:lang w:val="sq-AL"/>
    </w:rPr>
  </w:style>
  <w:style w:type="paragraph" w:styleId="Header">
    <w:name w:val="header"/>
    <w:basedOn w:val="Normal"/>
    <w:link w:val="HeaderChar"/>
    <w:uiPriority w:val="99"/>
    <w:unhideWhenUsed/>
    <w:rsid w:val="00B16B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16BC5"/>
    <w:rPr>
      <w:lang w:val="sq-AL"/>
    </w:rPr>
  </w:style>
  <w:style w:type="paragraph" w:styleId="Footer">
    <w:name w:val="footer"/>
    <w:basedOn w:val="Normal"/>
    <w:link w:val="FooterChar"/>
    <w:uiPriority w:val="99"/>
    <w:unhideWhenUsed/>
    <w:rsid w:val="00B16B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B16BC5"/>
    <w:rPr>
      <w:lang w:val="sq-AL"/>
    </w:rPr>
  </w:style>
  <w:style w:type="character" w:customStyle="1" w:styleId="A4">
    <w:name w:val="A4"/>
    <w:uiPriority w:val="99"/>
    <w:rsid w:val="00870B1B"/>
    <w:rPr>
      <w:rFonts w:cs="Acumin Pro Semibold"/>
      <w:b/>
      <w:bCs/>
      <w:color w:val="3A393B"/>
      <w:sz w:val="18"/>
      <w:szCs w:val="18"/>
    </w:rPr>
  </w:style>
  <w:style w:type="paragraph" w:styleId="BodyText">
    <w:name w:val="Body Text"/>
    <w:basedOn w:val="Normal"/>
    <w:link w:val="BodyTextChar"/>
    <w:uiPriority w:val="1"/>
    <w:qFormat/>
    <w:rsid w:val="0017547F"/>
    <w:pPr>
      <w:widowControl w:val="0"/>
      <w:spacing w:after="0" w:line="240" w:lineRule="auto"/>
      <w:ind w:left="471" w:hanging="35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547F"/>
    <w:rPr>
      <w:rFonts w:ascii="Times New Roman" w:eastAsia="Times New Roman" w:hAnsi="Times New Roman" w:cs="Times New Roman"/>
      <w:sz w:val="24"/>
      <w:szCs w:val="24"/>
    </w:rPr>
  </w:style>
  <w:style w:type="table" w:styleId="TableGrid">
    <w:name w:val="Table Grid"/>
    <w:basedOn w:val="TableNormal"/>
    <w:uiPriority w:val="39"/>
    <w:rsid w:val="00367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41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409795">
      <w:bodyDiv w:val="1"/>
      <w:marLeft w:val="0"/>
      <w:marRight w:val="0"/>
      <w:marTop w:val="0"/>
      <w:marBottom w:val="0"/>
      <w:divBdr>
        <w:top w:val="none" w:sz="0" w:space="0" w:color="auto"/>
        <w:left w:val="none" w:sz="0" w:space="0" w:color="auto"/>
        <w:bottom w:val="none" w:sz="0" w:space="0" w:color="auto"/>
        <w:right w:val="none" w:sz="0" w:space="0" w:color="auto"/>
      </w:divBdr>
    </w:div>
    <w:div w:id="105770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ije.tahiri@rks-gov.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dullah.pirce@rks-gov.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valon.prebreza@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2810</Words>
  <Characters>16020</Characters>
  <Application>Microsoft Office Word</Application>
  <DocSecurity>0</DocSecurity>
  <Lines>133</Lines>
  <Paragraphs>37</Paragraphs>
  <ScaleCrop>false</ScaleCrop>
  <HeadingPairs>
    <vt:vector size="6" baseType="variant">
      <vt:variant>
        <vt:lpstr>Title</vt:lpstr>
      </vt:variant>
      <vt:variant>
        <vt:i4>1</vt:i4>
      </vt:variant>
      <vt:variant>
        <vt:lpstr>Titolo</vt:lpstr>
      </vt:variant>
      <vt:variant>
        <vt:i4>1</vt:i4>
      </vt:variant>
      <vt:variant>
        <vt:lpstr>Intestazioni</vt:lpstr>
      </vt:variant>
      <vt:variant>
        <vt:i4>3</vt:i4>
      </vt:variant>
    </vt:vector>
  </HeadingPairs>
  <TitlesOfParts>
    <vt:vector size="5" baseType="lpstr">
      <vt:lpstr/>
      <vt:lpstr/>
      <vt:lpstr>Part One</vt:lpstr>
      <vt:lpstr/>
      <vt:lpstr>Part Two</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Shkipe Deda</dc:creator>
  <cp:lastModifiedBy>Tringe Sokoli</cp:lastModifiedBy>
  <cp:revision>22</cp:revision>
  <dcterms:created xsi:type="dcterms:W3CDTF">2024-07-24T13:39:00Z</dcterms:created>
  <dcterms:modified xsi:type="dcterms:W3CDTF">2024-10-28T13:05:00Z</dcterms:modified>
</cp:coreProperties>
</file>