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108F" w14:textId="77777777" w:rsidR="00FC644F" w:rsidRPr="00BF5650" w:rsidRDefault="00170C0C" w:rsidP="003E5EFC">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15E92667" w14:textId="77777777" w:rsidR="00DA5F0A" w:rsidRPr="00BF5650"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2C72F8FD" w14:textId="77777777" w:rsidR="0074067A" w:rsidRPr="00BF5650" w:rsidRDefault="0074067A" w:rsidP="00E377E2">
      <w:pPr>
        <w:pStyle w:val="ListParagraph"/>
        <w:numPr>
          <w:ilvl w:val="0"/>
          <w:numId w:val="2"/>
        </w:numPr>
        <w:spacing w:before="200" w:after="120"/>
        <w:rPr>
          <w:rFonts w:cs="Arial"/>
          <w:b/>
          <w:szCs w:val="20"/>
        </w:rPr>
      </w:pPr>
      <w:r>
        <w:rPr>
          <w:b/>
          <w:bCs/>
        </w:rPr>
        <w:t>INFORMACIONE TË PËRGJITHSHME</w:t>
      </w:r>
    </w:p>
    <w:tbl>
      <w:tblPr>
        <w:tblW w:w="4947" w:type="pct"/>
        <w:jc w:val="center"/>
        <w:tblLook w:val="01E0" w:firstRow="1" w:lastRow="1" w:firstColumn="1" w:lastColumn="1" w:noHBand="0" w:noVBand="0"/>
      </w:tblPr>
      <w:tblGrid>
        <w:gridCol w:w="3928"/>
        <w:gridCol w:w="5863"/>
      </w:tblGrid>
      <w:tr w:rsidR="007128F1" w:rsidRPr="00BF5650" w14:paraId="2D8FADF9"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51C6C4E5" w14:textId="77777777" w:rsidR="007128F1" w:rsidRPr="00BF5650" w:rsidRDefault="007128F1" w:rsidP="007128F1">
            <w:pPr>
              <w:spacing w:before="60" w:after="60" w:line="260" w:lineRule="atLeast"/>
              <w:rPr>
                <w:rFonts w:ascii="Arial" w:hAnsi="Arial" w:cs="Arial"/>
                <w:b/>
                <w:bCs/>
                <w:sz w:val="20"/>
                <w:szCs w:val="20"/>
              </w:rPr>
            </w:pPr>
            <w:r>
              <w:rPr>
                <w:rFonts w:ascii="Arial" w:hAnsi="Arial"/>
                <w:b/>
                <w:sz w:val="20"/>
              </w:rPr>
              <w:t>Titulli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517C6DDE" w14:textId="18487B94" w:rsidR="007128F1" w:rsidRPr="00BF5650" w:rsidRDefault="007E272C" w:rsidP="007128F1">
            <w:pPr>
              <w:spacing w:before="60" w:after="60" w:line="260" w:lineRule="atLeast"/>
              <w:rPr>
                <w:rFonts w:ascii="Arial" w:hAnsi="Arial" w:cs="Arial"/>
                <w:sz w:val="20"/>
                <w:szCs w:val="20"/>
              </w:rPr>
            </w:pPr>
            <w:r>
              <w:rPr>
                <w:rFonts w:ascii="Arial" w:hAnsi="Arial"/>
                <w:sz w:val="20"/>
              </w:rPr>
              <w:t>Impianti për trajtimin e ujërave të zeza në Podujevë</w:t>
            </w:r>
          </w:p>
        </w:tc>
      </w:tr>
      <w:tr w:rsidR="007128F1" w:rsidRPr="00BF5650" w14:paraId="7680AF70"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C11F881"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Sektori</w:t>
            </w:r>
          </w:p>
        </w:tc>
        <w:tc>
          <w:tcPr>
            <w:tcW w:w="2994" w:type="pct"/>
            <w:tcBorders>
              <w:top w:val="single" w:sz="4" w:space="0" w:color="auto"/>
              <w:left w:val="single" w:sz="4" w:space="0" w:color="auto"/>
              <w:bottom w:val="single" w:sz="4" w:space="0" w:color="auto"/>
              <w:right w:val="single" w:sz="4" w:space="0" w:color="auto"/>
            </w:tcBorders>
            <w:vAlign w:val="center"/>
          </w:tcPr>
          <w:p w14:paraId="58775EE7" w14:textId="009CA122" w:rsidR="007128F1" w:rsidRPr="00BF5650" w:rsidRDefault="007E272C" w:rsidP="007128F1">
            <w:pPr>
              <w:spacing w:before="60" w:after="60" w:line="260" w:lineRule="atLeast"/>
              <w:rPr>
                <w:rFonts w:ascii="Arial" w:hAnsi="Arial" w:cs="Arial"/>
                <w:sz w:val="20"/>
                <w:szCs w:val="20"/>
              </w:rPr>
            </w:pPr>
            <w:r>
              <w:rPr>
                <w:rFonts w:ascii="Arial" w:hAnsi="Arial"/>
                <w:sz w:val="20"/>
              </w:rPr>
              <w:t xml:space="preserve">Mjedisi </w:t>
            </w:r>
          </w:p>
        </w:tc>
      </w:tr>
      <w:tr w:rsidR="007128F1" w:rsidRPr="00BF5650" w14:paraId="4B358FFC"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1D74EA1"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Nënsektori* (shih listën në faqen e fundit)</w:t>
            </w:r>
          </w:p>
        </w:tc>
        <w:tc>
          <w:tcPr>
            <w:tcW w:w="2994" w:type="pct"/>
            <w:tcBorders>
              <w:top w:val="single" w:sz="4" w:space="0" w:color="auto"/>
              <w:left w:val="single" w:sz="4" w:space="0" w:color="auto"/>
              <w:bottom w:val="single" w:sz="4" w:space="0" w:color="auto"/>
              <w:right w:val="single" w:sz="4" w:space="0" w:color="auto"/>
            </w:tcBorders>
            <w:vAlign w:val="center"/>
          </w:tcPr>
          <w:p w14:paraId="7BF0428A" w14:textId="77777777" w:rsidR="007128F1" w:rsidRPr="00BF5650" w:rsidRDefault="007E272C" w:rsidP="007128F1">
            <w:pPr>
              <w:spacing w:before="60" w:after="60" w:line="260" w:lineRule="atLeast"/>
              <w:rPr>
                <w:rFonts w:ascii="Arial" w:hAnsi="Arial" w:cs="Arial"/>
                <w:sz w:val="20"/>
                <w:szCs w:val="20"/>
              </w:rPr>
            </w:pPr>
            <w:r>
              <w:rPr>
                <w:rFonts w:ascii="Arial" w:hAnsi="Arial"/>
                <w:sz w:val="20"/>
              </w:rPr>
              <w:t>Sistemi i kanalizimit se bashku me trajtimin</w:t>
            </w:r>
          </w:p>
        </w:tc>
      </w:tr>
      <w:tr w:rsidR="007128F1" w:rsidRPr="00BF5650" w14:paraId="2D49B72A"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0E18718"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Përfituesi/propozuesi kryesor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470887AC" w14:textId="77777777" w:rsidR="007128F1" w:rsidRPr="00BF5650" w:rsidRDefault="007E272C" w:rsidP="007128F1">
            <w:pPr>
              <w:spacing w:before="60" w:after="60" w:line="260" w:lineRule="atLeast"/>
              <w:rPr>
                <w:rFonts w:ascii="Arial" w:hAnsi="Arial" w:cs="Arial"/>
                <w:sz w:val="20"/>
                <w:szCs w:val="20"/>
              </w:rPr>
            </w:pPr>
            <w:r>
              <w:rPr>
                <w:rFonts w:ascii="Arial" w:hAnsi="Arial"/>
                <w:sz w:val="20"/>
              </w:rPr>
              <w:t>KRU Prishtina sh.a.</w:t>
            </w:r>
          </w:p>
        </w:tc>
      </w:tr>
      <w:tr w:rsidR="007128F1" w:rsidRPr="00BF5650" w14:paraId="41085187"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08C8CA0"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2994" w:type="pct"/>
            <w:tcBorders>
              <w:top w:val="single" w:sz="4" w:space="0" w:color="auto"/>
              <w:left w:val="single" w:sz="4" w:space="0" w:color="auto"/>
              <w:bottom w:val="single" w:sz="4" w:space="0" w:color="auto"/>
              <w:right w:val="single" w:sz="4" w:space="0" w:color="auto"/>
            </w:tcBorders>
            <w:vAlign w:val="center"/>
          </w:tcPr>
          <w:p w14:paraId="1AFB9824" w14:textId="77777777" w:rsidR="007128F1" w:rsidRPr="00BF5650" w:rsidRDefault="007E272C" w:rsidP="007128F1">
            <w:pPr>
              <w:spacing w:before="60" w:after="60" w:line="260" w:lineRule="atLeast"/>
              <w:rPr>
                <w:rFonts w:ascii="Arial" w:hAnsi="Arial" w:cs="Arial"/>
                <w:sz w:val="20"/>
                <w:szCs w:val="20"/>
              </w:rPr>
            </w:pPr>
            <w:r>
              <w:rPr>
                <w:rFonts w:ascii="Arial" w:hAnsi="Arial"/>
                <w:sz w:val="20"/>
              </w:rPr>
              <w:t>KRU Prishtina sh.a.</w:t>
            </w:r>
          </w:p>
        </w:tc>
      </w:tr>
      <w:tr w:rsidR="007128F1" w:rsidRPr="00BF5650" w14:paraId="0579210A"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72C8793"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Vendndodhja/Harta</w:t>
            </w:r>
          </w:p>
        </w:tc>
        <w:tc>
          <w:tcPr>
            <w:tcW w:w="2994" w:type="pct"/>
            <w:tcBorders>
              <w:top w:val="single" w:sz="4" w:space="0" w:color="auto"/>
              <w:left w:val="single" w:sz="4" w:space="0" w:color="auto"/>
              <w:bottom w:val="single" w:sz="4" w:space="0" w:color="auto"/>
              <w:right w:val="single" w:sz="4" w:space="0" w:color="auto"/>
            </w:tcBorders>
            <w:vAlign w:val="center"/>
          </w:tcPr>
          <w:p w14:paraId="025A02F3" w14:textId="77777777" w:rsidR="00046717" w:rsidRPr="00BF5650" w:rsidRDefault="00046717" w:rsidP="007128F1">
            <w:pPr>
              <w:spacing w:before="60" w:after="60" w:line="260" w:lineRule="atLeast"/>
              <w:rPr>
                <w:rFonts w:ascii="Arial" w:hAnsi="Arial" w:cs="Arial"/>
                <w:sz w:val="20"/>
                <w:szCs w:val="20"/>
              </w:rPr>
            </w:pPr>
            <w:r>
              <w:rPr>
                <w:rFonts w:ascii="Arial" w:hAnsi="Arial"/>
                <w:noProof/>
                <w:sz w:val="20"/>
                <w:lang w:val="en-US"/>
              </w:rPr>
              <w:drawing>
                <wp:inline distT="0" distB="0" distL="0" distR="0" wp14:anchorId="6B7B9C67" wp14:editId="002C1674">
                  <wp:extent cx="1819275" cy="1871720"/>
                  <wp:effectExtent l="0" t="0" r="0" b="0"/>
                  <wp:docPr id="134453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0329" cy="1903669"/>
                          </a:xfrm>
                          <a:prstGeom prst="rect">
                            <a:avLst/>
                          </a:prstGeom>
                          <a:noFill/>
                        </pic:spPr>
                      </pic:pic>
                    </a:graphicData>
                  </a:graphic>
                </wp:inline>
              </w:drawing>
            </w:r>
          </w:p>
          <w:p w14:paraId="522FD129" w14:textId="77777777" w:rsidR="00046717" w:rsidRPr="00BF5650" w:rsidRDefault="00046717" w:rsidP="007128F1">
            <w:pPr>
              <w:spacing w:before="60" w:after="60" w:line="260" w:lineRule="atLeast"/>
              <w:rPr>
                <w:rFonts w:ascii="Arial" w:hAnsi="Arial" w:cs="Arial"/>
                <w:sz w:val="20"/>
                <w:szCs w:val="20"/>
              </w:rPr>
            </w:pPr>
          </w:p>
          <w:p w14:paraId="0F77E42C" w14:textId="77777777" w:rsidR="007128F1" w:rsidRPr="00BF5650" w:rsidRDefault="00046717" w:rsidP="007128F1">
            <w:pPr>
              <w:spacing w:before="60" w:after="60" w:line="260" w:lineRule="atLeast"/>
              <w:rPr>
                <w:rFonts w:ascii="Arial" w:hAnsi="Arial" w:cs="Arial"/>
                <w:sz w:val="20"/>
                <w:szCs w:val="20"/>
              </w:rPr>
            </w:pPr>
            <w:r>
              <w:rPr>
                <w:rFonts w:ascii="Arial" w:hAnsi="Arial"/>
                <w:noProof/>
                <w:sz w:val="20"/>
                <w:lang w:val="en-US"/>
              </w:rPr>
              <w:drawing>
                <wp:inline distT="0" distB="0" distL="0" distR="0" wp14:anchorId="36661D82" wp14:editId="0686D501">
                  <wp:extent cx="1828800" cy="1938655"/>
                  <wp:effectExtent l="0" t="0" r="0" b="4445"/>
                  <wp:docPr id="31055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938655"/>
                          </a:xfrm>
                          <a:prstGeom prst="rect">
                            <a:avLst/>
                          </a:prstGeom>
                          <a:noFill/>
                        </pic:spPr>
                      </pic:pic>
                    </a:graphicData>
                  </a:graphic>
                </wp:inline>
              </w:drawing>
            </w:r>
          </w:p>
        </w:tc>
      </w:tr>
      <w:tr w:rsidR="007128F1" w:rsidRPr="00BF5650" w14:paraId="5374815D"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2F520D4"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Investimi total i parashikuar:</w:t>
            </w:r>
          </w:p>
          <w:p w14:paraId="342C59DB" w14:textId="30484052" w:rsidR="00E70673" w:rsidRPr="00E70673" w:rsidRDefault="007128F1" w:rsidP="00E70673">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r w:rsidR="00E70673" w:rsidRPr="00E70673">
              <w:rPr>
                <w:rFonts w:ascii="Arial" w:hAnsi="Arial"/>
                <w:sz w:val="20"/>
              </w:rPr>
              <w:t xml:space="preserve"> </w:t>
            </w:r>
          </w:p>
          <w:p w14:paraId="247FEDD1" w14:textId="77777777" w:rsidR="00E70673" w:rsidRPr="003D1869" w:rsidRDefault="00E70673" w:rsidP="00E70673">
            <w:pPr>
              <w:numPr>
                <w:ilvl w:val="0"/>
                <w:numId w:val="3"/>
              </w:numPr>
              <w:spacing w:before="60" w:after="60"/>
              <w:ind w:left="223" w:hanging="223"/>
              <w:jc w:val="both"/>
              <w:rPr>
                <w:rFonts w:ascii="Arial" w:hAnsi="Arial" w:cs="Arial"/>
                <w:bCs/>
                <w:sz w:val="20"/>
                <w:szCs w:val="20"/>
              </w:rPr>
            </w:pPr>
            <w:r>
              <w:rPr>
                <w:rFonts w:ascii="Arial" w:hAnsi="Arial"/>
                <w:sz w:val="20"/>
              </w:rPr>
              <w:t>Punimet ndërtimore</w:t>
            </w:r>
          </w:p>
          <w:p w14:paraId="18D122C9" w14:textId="5AD33ACC" w:rsidR="007128F1" w:rsidRPr="00BF5650" w:rsidRDefault="00E70673" w:rsidP="00E70673">
            <w:pPr>
              <w:numPr>
                <w:ilvl w:val="0"/>
                <w:numId w:val="3"/>
              </w:numPr>
              <w:spacing w:before="60" w:after="60" w:line="260" w:lineRule="atLeast"/>
              <w:ind w:left="223" w:hanging="223"/>
              <w:rPr>
                <w:rFonts w:ascii="Arial" w:hAnsi="Arial" w:cs="Arial"/>
                <w:bCs/>
                <w:sz w:val="20"/>
                <w:szCs w:val="20"/>
              </w:rPr>
            </w:pPr>
            <w:r>
              <w:rPr>
                <w:rFonts w:ascii="Arial" w:hAnsi="Arial"/>
                <w:sz w:val="20"/>
              </w:rPr>
              <w:t>Mbikëqyrja</w:t>
            </w:r>
          </w:p>
        </w:tc>
        <w:tc>
          <w:tcPr>
            <w:tcW w:w="2994" w:type="pct"/>
            <w:tcBorders>
              <w:top w:val="single" w:sz="4" w:space="0" w:color="auto"/>
              <w:left w:val="single" w:sz="4" w:space="0" w:color="auto"/>
              <w:bottom w:val="single" w:sz="4" w:space="0" w:color="auto"/>
              <w:right w:val="single" w:sz="4" w:space="0" w:color="auto"/>
            </w:tcBorders>
            <w:vAlign w:val="center"/>
          </w:tcPr>
          <w:p w14:paraId="1E2948A5" w14:textId="73415CC0" w:rsidR="008E11C1" w:rsidRPr="00BF5650" w:rsidRDefault="008E11C1" w:rsidP="008E11C1">
            <w:pPr>
              <w:spacing w:before="60" w:after="60" w:line="260" w:lineRule="atLeast"/>
              <w:rPr>
                <w:rFonts w:ascii="Arial" w:hAnsi="Arial" w:cs="Arial"/>
                <w:bCs/>
                <w:sz w:val="20"/>
                <w:szCs w:val="20"/>
              </w:rPr>
            </w:pPr>
            <w:r>
              <w:rPr>
                <w:rFonts w:ascii="Arial" w:hAnsi="Arial"/>
                <w:sz w:val="20"/>
              </w:rPr>
              <w:t>Investimi total i parashikuar: 42,041,000 EUR</w:t>
            </w:r>
          </w:p>
          <w:p w14:paraId="2C18C718" w14:textId="77777777" w:rsidR="008748BB" w:rsidRPr="00BF5650" w:rsidRDefault="008748BB" w:rsidP="008647E4">
            <w:pPr>
              <w:spacing w:before="60" w:after="60" w:line="260" w:lineRule="atLeast"/>
              <w:rPr>
                <w:rFonts w:ascii="Arial" w:hAnsi="Arial" w:cs="Arial"/>
                <w:bCs/>
                <w:sz w:val="20"/>
                <w:szCs w:val="20"/>
              </w:rPr>
            </w:pPr>
          </w:p>
          <w:p w14:paraId="57FA67CB" w14:textId="2E82F041" w:rsidR="003C0434" w:rsidRPr="00BF5650" w:rsidRDefault="008748BB" w:rsidP="008647E4">
            <w:pPr>
              <w:spacing w:before="60" w:after="60" w:line="260" w:lineRule="atLeast"/>
              <w:rPr>
                <w:rFonts w:ascii="Arial" w:hAnsi="Arial" w:cs="Arial"/>
                <w:bCs/>
                <w:sz w:val="20"/>
                <w:szCs w:val="20"/>
              </w:rPr>
            </w:pPr>
            <w:r>
              <w:rPr>
                <w:rFonts w:ascii="Arial" w:hAnsi="Arial"/>
                <w:sz w:val="20"/>
              </w:rPr>
              <w:t>Bashkëpunimi Teknik: 2,100,000.00</w:t>
            </w:r>
          </w:p>
          <w:p w14:paraId="006835EB" w14:textId="7B774834" w:rsidR="00D36ADA" w:rsidRPr="00BF5650" w:rsidRDefault="003C0434" w:rsidP="00E377E2">
            <w:pPr>
              <w:pStyle w:val="ListParagraph"/>
              <w:numPr>
                <w:ilvl w:val="0"/>
                <w:numId w:val="7"/>
              </w:numPr>
              <w:spacing w:before="60" w:after="60" w:line="260" w:lineRule="atLeast"/>
              <w:rPr>
                <w:rFonts w:cs="Arial"/>
                <w:bCs/>
                <w:szCs w:val="20"/>
              </w:rPr>
            </w:pPr>
            <w:r>
              <w:t>Mbështetja e prokurimit, inxhinierisë dhe zbatimit: 1.800.000,00</w:t>
            </w:r>
          </w:p>
          <w:p w14:paraId="74E0B10B" w14:textId="62ED477A" w:rsidR="008748BB" w:rsidRPr="008C28F7" w:rsidRDefault="00522374" w:rsidP="008E11C1">
            <w:pPr>
              <w:pStyle w:val="ListParagraph"/>
              <w:numPr>
                <w:ilvl w:val="0"/>
                <w:numId w:val="7"/>
              </w:numPr>
              <w:spacing w:before="60" w:after="60" w:line="260" w:lineRule="atLeast"/>
              <w:rPr>
                <w:rFonts w:cs="Arial"/>
                <w:bCs/>
                <w:szCs w:val="20"/>
              </w:rPr>
            </w:pPr>
            <w:r>
              <w:t>Programi i Zhvillimit të Korporatës: 300,000.00</w:t>
            </w:r>
          </w:p>
          <w:p w14:paraId="3C7D1AA2" w14:textId="0602F79B" w:rsidR="008E11C1" w:rsidRPr="00BF5650" w:rsidRDefault="008748BB" w:rsidP="008E11C1">
            <w:pPr>
              <w:spacing w:before="60" w:after="60" w:line="260" w:lineRule="atLeast"/>
              <w:rPr>
                <w:rFonts w:ascii="Arial" w:hAnsi="Arial" w:cs="Arial"/>
                <w:bCs/>
                <w:sz w:val="20"/>
                <w:szCs w:val="20"/>
              </w:rPr>
            </w:pPr>
            <w:r>
              <w:rPr>
                <w:rFonts w:ascii="Arial" w:hAnsi="Arial"/>
                <w:sz w:val="20"/>
              </w:rPr>
              <w:t>Investimi kapital: 39,941,000.00</w:t>
            </w:r>
          </w:p>
          <w:p w14:paraId="02C6398D" w14:textId="642F46B9" w:rsidR="008748BB" w:rsidRPr="00BF5650" w:rsidRDefault="008748BB" w:rsidP="00E377E2">
            <w:pPr>
              <w:pStyle w:val="ListParagraph"/>
              <w:numPr>
                <w:ilvl w:val="0"/>
                <w:numId w:val="7"/>
              </w:numPr>
              <w:spacing w:before="60" w:after="60" w:line="260" w:lineRule="atLeast"/>
              <w:rPr>
                <w:rFonts w:cs="Arial"/>
                <w:bCs/>
                <w:szCs w:val="20"/>
              </w:rPr>
            </w:pPr>
            <w:r>
              <w:t>Ndërtimi i ITUZ Podujevë 13,530,000.00</w:t>
            </w:r>
          </w:p>
          <w:p w14:paraId="27F9C580" w14:textId="38A41A9D" w:rsidR="008748BB" w:rsidRPr="00BF5650" w:rsidRDefault="008748BB" w:rsidP="00E377E2">
            <w:pPr>
              <w:pStyle w:val="ListParagraph"/>
              <w:numPr>
                <w:ilvl w:val="0"/>
                <w:numId w:val="7"/>
              </w:numPr>
              <w:spacing w:before="60" w:after="60" w:line="260" w:lineRule="atLeast"/>
              <w:rPr>
                <w:rFonts w:cs="Arial"/>
                <w:bCs/>
                <w:szCs w:val="20"/>
              </w:rPr>
            </w:pPr>
            <w:r>
              <w:t>Ndërtimi i kolektorëve të kanalizimeve: 20,680,000.00</w:t>
            </w:r>
          </w:p>
          <w:p w14:paraId="3F7EC123" w14:textId="0FF11BEB" w:rsidR="008748BB" w:rsidRPr="00BF5650" w:rsidRDefault="008748BB" w:rsidP="00E377E2">
            <w:pPr>
              <w:pStyle w:val="ListParagraph"/>
              <w:numPr>
                <w:ilvl w:val="0"/>
                <w:numId w:val="7"/>
              </w:numPr>
              <w:spacing w:before="60" w:after="60" w:line="260" w:lineRule="atLeast"/>
              <w:rPr>
                <w:rFonts w:cs="Arial"/>
                <w:bCs/>
                <w:szCs w:val="20"/>
              </w:rPr>
            </w:pPr>
            <w:r>
              <w:t>Pajisjet e mirëmbajtjes: 1,100,000.00</w:t>
            </w:r>
          </w:p>
          <w:p w14:paraId="087012EE" w14:textId="09A310B4" w:rsidR="008748BB" w:rsidRPr="00BF5650" w:rsidRDefault="008748BB" w:rsidP="00E377E2">
            <w:pPr>
              <w:pStyle w:val="ListParagraph"/>
              <w:numPr>
                <w:ilvl w:val="0"/>
                <w:numId w:val="7"/>
              </w:numPr>
              <w:spacing w:before="60" w:after="60" w:line="260" w:lineRule="atLeast"/>
              <w:rPr>
                <w:rFonts w:cs="Arial"/>
                <w:bCs/>
                <w:szCs w:val="20"/>
              </w:rPr>
            </w:pPr>
            <w:r>
              <w:t>Ndërtimi i ITUZ-së Fshati: 1,000,000.00</w:t>
            </w:r>
          </w:p>
          <w:p w14:paraId="60D75C0C" w14:textId="5A5AFAA6" w:rsidR="008748BB" w:rsidRPr="00BF5650" w:rsidRDefault="008748BB" w:rsidP="00E377E2">
            <w:pPr>
              <w:pStyle w:val="ListParagraph"/>
              <w:numPr>
                <w:ilvl w:val="0"/>
                <w:numId w:val="7"/>
              </w:numPr>
              <w:spacing w:before="60" w:after="60" w:line="260" w:lineRule="atLeast"/>
              <w:rPr>
                <w:rFonts w:cs="Arial"/>
                <w:bCs/>
                <w:szCs w:val="20"/>
              </w:rPr>
            </w:pPr>
            <w:r>
              <w:t>Kontigjencat 10%: 3,631,000.00</w:t>
            </w:r>
          </w:p>
          <w:p w14:paraId="67E2CDFB" w14:textId="77777777" w:rsidR="008748BB" w:rsidRPr="00BF5650" w:rsidRDefault="008748BB" w:rsidP="008E11C1">
            <w:pPr>
              <w:spacing w:before="60" w:after="60" w:line="260" w:lineRule="atLeast"/>
              <w:rPr>
                <w:rFonts w:ascii="Arial" w:hAnsi="Arial" w:cs="Arial"/>
                <w:bCs/>
                <w:sz w:val="20"/>
                <w:szCs w:val="20"/>
                <w:highlight w:val="yellow"/>
              </w:rPr>
            </w:pPr>
          </w:p>
          <w:p w14:paraId="6E8A8746" w14:textId="06E34BB1" w:rsidR="003044B3" w:rsidRPr="00BF5650" w:rsidRDefault="003044B3" w:rsidP="008E11C1">
            <w:pPr>
              <w:spacing w:before="60" w:after="60" w:line="260" w:lineRule="atLeast"/>
              <w:rPr>
                <w:rFonts w:ascii="Arial" w:hAnsi="Arial" w:cs="Arial"/>
                <w:sz w:val="20"/>
                <w:szCs w:val="20"/>
              </w:rPr>
            </w:pPr>
          </w:p>
        </w:tc>
      </w:tr>
      <w:tr w:rsidR="007128F1" w:rsidRPr="00BF5650" w14:paraId="545AE6E0"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793AD38" w14:textId="77777777" w:rsidR="007128F1" w:rsidRPr="00BF5650" w:rsidRDefault="007128F1" w:rsidP="007128F1">
            <w:pPr>
              <w:spacing w:before="60" w:after="60" w:line="260" w:lineRule="atLeast"/>
              <w:rPr>
                <w:rFonts w:ascii="Arial" w:hAnsi="Arial" w:cs="Arial"/>
                <w:b/>
                <w:sz w:val="20"/>
                <w:szCs w:val="20"/>
              </w:rPr>
            </w:pPr>
            <w:r>
              <w:rPr>
                <w:rFonts w:ascii="Arial" w:hAnsi="Arial"/>
                <w:b/>
                <w:sz w:val="20"/>
              </w:rPr>
              <w:lastRenderedPageBreak/>
              <w:t>Personi përgjegjës ose i autorizuar për kontakt:</w:t>
            </w:r>
          </w:p>
        </w:tc>
        <w:tc>
          <w:tcPr>
            <w:tcW w:w="2994" w:type="pct"/>
            <w:tcBorders>
              <w:top w:val="single" w:sz="4" w:space="0" w:color="auto"/>
              <w:left w:val="single" w:sz="4" w:space="0" w:color="auto"/>
              <w:bottom w:val="single" w:sz="4" w:space="0" w:color="auto"/>
              <w:right w:val="single" w:sz="4" w:space="0" w:color="auto"/>
            </w:tcBorders>
            <w:shd w:val="clear" w:color="auto" w:fill="auto"/>
            <w:vAlign w:val="center"/>
          </w:tcPr>
          <w:p w14:paraId="51840BED" w14:textId="175669EC" w:rsidR="00096724" w:rsidRPr="008C28F7" w:rsidRDefault="00096724" w:rsidP="007128F1">
            <w:pPr>
              <w:spacing w:before="60" w:after="60" w:line="260" w:lineRule="atLeast"/>
              <w:rPr>
                <w:rFonts w:ascii="Arial" w:hAnsi="Arial" w:cs="Arial"/>
                <w:sz w:val="20"/>
                <w:szCs w:val="20"/>
              </w:rPr>
            </w:pPr>
            <w:r>
              <w:rPr>
                <w:rFonts w:ascii="Arial" w:hAnsi="Arial"/>
                <w:sz w:val="20"/>
              </w:rPr>
              <w:t>Arsim Fetahu</w:t>
            </w:r>
          </w:p>
          <w:p w14:paraId="37690E6B" w14:textId="46F57486" w:rsidR="007128F1" w:rsidRPr="00BF5650" w:rsidRDefault="00096724" w:rsidP="007128F1">
            <w:pPr>
              <w:spacing w:before="60" w:after="60" w:line="260" w:lineRule="atLeast"/>
              <w:rPr>
                <w:rFonts w:ascii="Arial" w:hAnsi="Arial" w:cs="Arial"/>
                <w:b/>
                <w:sz w:val="20"/>
                <w:szCs w:val="20"/>
              </w:rPr>
            </w:pPr>
            <w:r>
              <w:rPr>
                <w:rFonts w:ascii="Arial" w:hAnsi="Arial"/>
                <w:sz w:val="20"/>
              </w:rPr>
              <w:t>Anita Hajredini</w:t>
            </w:r>
          </w:p>
        </w:tc>
      </w:tr>
      <w:tr w:rsidR="007128F1" w:rsidRPr="00BF5650" w14:paraId="0351B6E7"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E580E92"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Emri – Pozita:</w:t>
            </w:r>
          </w:p>
        </w:tc>
        <w:tc>
          <w:tcPr>
            <w:tcW w:w="2994" w:type="pct"/>
            <w:tcBorders>
              <w:top w:val="single" w:sz="4" w:space="0" w:color="auto"/>
              <w:left w:val="single" w:sz="4" w:space="0" w:color="auto"/>
              <w:bottom w:val="single" w:sz="4" w:space="0" w:color="auto"/>
              <w:right w:val="single" w:sz="4" w:space="0" w:color="auto"/>
            </w:tcBorders>
            <w:vAlign w:val="center"/>
          </w:tcPr>
          <w:p w14:paraId="124394BE" w14:textId="19B1A2A1" w:rsidR="00096724" w:rsidRPr="00BF5650" w:rsidRDefault="00096724" w:rsidP="007128F1">
            <w:pPr>
              <w:spacing w:before="60" w:after="60" w:line="260" w:lineRule="atLeast"/>
              <w:rPr>
                <w:rFonts w:ascii="Arial" w:hAnsi="Arial" w:cs="Arial"/>
                <w:sz w:val="20"/>
                <w:szCs w:val="20"/>
              </w:rPr>
            </w:pPr>
            <w:r>
              <w:rPr>
                <w:rFonts w:ascii="Arial" w:hAnsi="Arial"/>
                <w:sz w:val="20"/>
              </w:rPr>
              <w:t>Arsim Fetahu – KShE i KRU “Prishtina” sh.a.</w:t>
            </w:r>
          </w:p>
          <w:p w14:paraId="5333BFCB" w14:textId="692A2E6A" w:rsidR="007128F1" w:rsidRPr="00BF5650" w:rsidRDefault="00B7005D" w:rsidP="007128F1">
            <w:pPr>
              <w:spacing w:before="60" w:after="60" w:line="260" w:lineRule="atLeast"/>
              <w:rPr>
                <w:rFonts w:ascii="Arial" w:hAnsi="Arial" w:cs="Arial"/>
                <w:sz w:val="20"/>
                <w:szCs w:val="20"/>
              </w:rPr>
            </w:pPr>
            <w:r>
              <w:rPr>
                <w:rFonts w:ascii="Arial" w:hAnsi="Arial"/>
                <w:sz w:val="20"/>
              </w:rPr>
              <w:t>Anita Hajredini - Koordinatore për Projekte Kapitale, KRU Prishtina sh.a.</w:t>
            </w:r>
          </w:p>
        </w:tc>
      </w:tr>
      <w:tr w:rsidR="007128F1" w:rsidRPr="00BF5650" w14:paraId="240CA457"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0E25B76"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Adresa e emailit - Telefoni:</w:t>
            </w:r>
          </w:p>
        </w:tc>
        <w:tc>
          <w:tcPr>
            <w:tcW w:w="2994" w:type="pct"/>
            <w:tcBorders>
              <w:top w:val="single" w:sz="4" w:space="0" w:color="auto"/>
              <w:left w:val="single" w:sz="4" w:space="0" w:color="auto"/>
              <w:bottom w:val="single" w:sz="4" w:space="0" w:color="auto"/>
              <w:right w:val="single" w:sz="4" w:space="0" w:color="auto"/>
            </w:tcBorders>
            <w:vAlign w:val="center"/>
          </w:tcPr>
          <w:p w14:paraId="218025AB" w14:textId="7214C73D" w:rsidR="00096724" w:rsidRPr="00BF5650" w:rsidRDefault="00913261" w:rsidP="007128F1">
            <w:pPr>
              <w:spacing w:before="60" w:after="60" w:line="260" w:lineRule="atLeast"/>
              <w:rPr>
                <w:rFonts w:ascii="Arial" w:hAnsi="Arial" w:cs="Arial"/>
                <w:sz w:val="20"/>
                <w:szCs w:val="20"/>
              </w:rPr>
            </w:pPr>
            <w:hyperlink r:id="rId10" w:history="1">
              <w:r w:rsidR="006226FE">
                <w:rPr>
                  <w:rStyle w:val="Hyperlink"/>
                  <w:rFonts w:ascii="Arial" w:hAnsi="Arial"/>
                  <w:sz w:val="20"/>
                </w:rPr>
                <w:t>arsim.fetahu@kru-prishtina.com</w:t>
              </w:r>
            </w:hyperlink>
            <w:r w:rsidR="006226FE">
              <w:rPr>
                <w:rFonts w:ascii="Arial" w:hAnsi="Arial"/>
                <w:sz w:val="20"/>
              </w:rPr>
              <w:t xml:space="preserve"> </w:t>
            </w:r>
          </w:p>
          <w:p w14:paraId="36DBA9C4" w14:textId="4A81CB1D" w:rsidR="007128F1" w:rsidRPr="00BF5650" w:rsidRDefault="00913261" w:rsidP="007128F1">
            <w:pPr>
              <w:spacing w:before="60" w:after="60" w:line="260" w:lineRule="atLeast"/>
              <w:rPr>
                <w:rFonts w:ascii="Arial" w:hAnsi="Arial" w:cs="Arial"/>
                <w:sz w:val="20"/>
                <w:szCs w:val="20"/>
              </w:rPr>
            </w:pPr>
            <w:hyperlink r:id="rId11" w:history="1">
              <w:r w:rsidR="006226FE">
                <w:rPr>
                  <w:rStyle w:val="Hyperlink"/>
                  <w:rFonts w:ascii="Arial" w:hAnsi="Arial"/>
                  <w:sz w:val="20"/>
                </w:rPr>
                <w:t>anita.hajredini@kru-prishtina.com</w:t>
              </w:r>
            </w:hyperlink>
            <w:r w:rsidR="006226FE">
              <w:rPr>
                <w:rFonts w:ascii="Arial" w:hAnsi="Arial"/>
                <w:sz w:val="20"/>
              </w:rPr>
              <w:t xml:space="preserve"> </w:t>
            </w:r>
          </w:p>
        </w:tc>
      </w:tr>
    </w:tbl>
    <w:p w14:paraId="140952CF" w14:textId="77777777" w:rsidR="0074067A" w:rsidRPr="00BF5650" w:rsidRDefault="0074067A" w:rsidP="0074067A">
      <w:pPr>
        <w:pStyle w:val="ListParagraph"/>
        <w:spacing w:before="200" w:after="120"/>
        <w:ind w:left="340"/>
        <w:jc w:val="both"/>
        <w:rPr>
          <w:rFonts w:cs="Arial"/>
          <w:b/>
          <w:szCs w:val="20"/>
        </w:rPr>
      </w:pPr>
    </w:p>
    <w:p w14:paraId="44BA8154" w14:textId="77777777" w:rsidR="0083451C" w:rsidRPr="00BF5650" w:rsidRDefault="0074067A" w:rsidP="00E377E2">
      <w:pPr>
        <w:pStyle w:val="ListParagraph"/>
        <w:numPr>
          <w:ilvl w:val="0"/>
          <w:numId w:val="2"/>
        </w:numPr>
        <w:spacing w:before="200" w:after="120"/>
        <w:jc w:val="both"/>
        <w:rPr>
          <w:rFonts w:cs="Arial"/>
          <w:b/>
          <w:szCs w:val="20"/>
        </w:rPr>
      </w:pPr>
      <w:r>
        <w:rPr>
          <w:b/>
        </w:rPr>
        <w:t>PËRSHKRIMI I PROJEKTIT</w:t>
      </w:r>
    </w:p>
    <w:tbl>
      <w:tblPr>
        <w:tblW w:w="4947" w:type="pct"/>
        <w:tblInd w:w="108" w:type="dxa"/>
        <w:tblLook w:val="01E0" w:firstRow="1" w:lastRow="1" w:firstColumn="1" w:lastColumn="1" w:noHBand="0" w:noVBand="0"/>
      </w:tblPr>
      <w:tblGrid>
        <w:gridCol w:w="3938"/>
        <w:gridCol w:w="5853"/>
      </w:tblGrid>
      <w:tr w:rsidR="007128F1" w:rsidRPr="00BF5650" w14:paraId="5BC245CC"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2003AD9"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04A4B83C" w14:textId="3EE0B30B" w:rsidR="00046717" w:rsidRPr="00BF5650" w:rsidRDefault="00046717" w:rsidP="00F40511">
            <w:pPr>
              <w:spacing w:before="60" w:after="60" w:line="260" w:lineRule="atLeast"/>
              <w:jc w:val="both"/>
              <w:rPr>
                <w:rFonts w:ascii="Arial" w:hAnsi="Arial" w:cs="Arial"/>
                <w:bCs/>
                <w:sz w:val="20"/>
                <w:szCs w:val="20"/>
              </w:rPr>
            </w:pPr>
            <w:r>
              <w:rPr>
                <w:rFonts w:ascii="Arial" w:hAnsi="Arial"/>
                <w:sz w:val="20"/>
              </w:rPr>
              <w:t xml:space="preserve">Projekti synon të: </w:t>
            </w:r>
          </w:p>
          <w:p w14:paraId="3E3C89DF" w14:textId="77777777" w:rsidR="00046717" w:rsidRPr="00BF5650" w:rsidRDefault="00046717" w:rsidP="00F40511">
            <w:pPr>
              <w:spacing w:before="60" w:after="60" w:line="260" w:lineRule="atLeast"/>
              <w:jc w:val="both"/>
              <w:rPr>
                <w:rFonts w:ascii="Arial" w:hAnsi="Arial" w:cs="Arial"/>
                <w:bCs/>
                <w:sz w:val="20"/>
                <w:szCs w:val="20"/>
              </w:rPr>
            </w:pPr>
            <w:r>
              <w:rPr>
                <w:rFonts w:ascii="Arial" w:hAnsi="Arial"/>
                <w:sz w:val="20"/>
              </w:rPr>
              <w:t>- Sigurojë ndikim të konsiderueshëm pozitiv në shëndetin publik përmes përmirësimit të grumbullimit dhe trajtimit të ujërave të zeza në Komunën e Podujevës,</w:t>
            </w:r>
          </w:p>
          <w:p w14:paraId="33821311" w14:textId="5795028F" w:rsidR="00046717" w:rsidRPr="00BF5650" w:rsidRDefault="00046717" w:rsidP="00F40511">
            <w:pPr>
              <w:spacing w:before="60" w:after="60" w:line="260" w:lineRule="atLeast"/>
              <w:jc w:val="both"/>
              <w:rPr>
                <w:rFonts w:ascii="Arial" w:hAnsi="Arial" w:cs="Arial"/>
                <w:bCs/>
                <w:sz w:val="20"/>
                <w:szCs w:val="20"/>
              </w:rPr>
            </w:pPr>
            <w:r>
              <w:rPr>
                <w:rFonts w:ascii="Arial" w:hAnsi="Arial"/>
                <w:sz w:val="20"/>
              </w:rPr>
              <w:t xml:space="preserve">- Kontribuojë në plotësimin e nevojave të ardhshme të Kosovës për pajtueshmëri me legjislacionin mjedisor të KE-së, në veçanti Direktivën e KE-së për trajtimin e ujërave të zeza urbane dhe procesin e para-anëtarësimit të Kosovës, dhe, </w:t>
            </w:r>
          </w:p>
          <w:p w14:paraId="5FAF1B96" w14:textId="4D344D3A" w:rsidR="00046717" w:rsidRPr="00BF5650" w:rsidRDefault="00046717" w:rsidP="00F40511">
            <w:pPr>
              <w:spacing w:before="60" w:after="60" w:line="260" w:lineRule="atLeast"/>
              <w:jc w:val="both"/>
              <w:rPr>
                <w:rFonts w:ascii="Arial" w:hAnsi="Arial" w:cs="Arial"/>
                <w:bCs/>
                <w:sz w:val="20"/>
                <w:szCs w:val="20"/>
              </w:rPr>
            </w:pPr>
            <w:r>
              <w:rPr>
                <w:rFonts w:ascii="Arial" w:hAnsi="Arial"/>
                <w:sz w:val="20"/>
              </w:rPr>
              <w:t>- Largojë ndotjen serioze nga lumenjtë urban dhe në rrjedhën e poshtme dhe të ruajë burimet e ujit të pijshëm dhe cilësisë mjedisore të rrjedhave të lumenjve.</w:t>
            </w:r>
          </w:p>
        </w:tc>
      </w:tr>
      <w:tr w:rsidR="007128F1" w:rsidRPr="00BF5650" w14:paraId="1EEFD299"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6FC8A10" w14:textId="77777777" w:rsidR="007128F1" w:rsidRPr="00BF5650" w:rsidRDefault="007128F1" w:rsidP="007128F1">
            <w:pPr>
              <w:spacing w:before="60" w:after="60" w:line="260" w:lineRule="atLeast"/>
              <w:rPr>
                <w:rFonts w:ascii="Arial" w:hAnsi="Arial" w:cs="Arial"/>
                <w:bCs/>
                <w:sz w:val="20"/>
                <w:szCs w:val="20"/>
              </w:rPr>
            </w:pPr>
            <w:r>
              <w:rPr>
                <w:rFonts w:ascii="Arial" w:hAnsi="Arial"/>
                <w:sz w:val="20"/>
              </w:rPr>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61495151" w14:textId="784DB33D" w:rsidR="007128F1" w:rsidRPr="00BF5650" w:rsidRDefault="00046717" w:rsidP="00F40511">
            <w:pPr>
              <w:spacing w:before="60" w:after="60" w:line="260" w:lineRule="atLeast"/>
              <w:jc w:val="both"/>
              <w:rPr>
                <w:rFonts w:ascii="Arial" w:hAnsi="Arial" w:cs="Arial"/>
                <w:bCs/>
                <w:sz w:val="20"/>
                <w:szCs w:val="20"/>
              </w:rPr>
            </w:pPr>
            <w:r>
              <w:rPr>
                <w:rFonts w:ascii="Arial" w:hAnsi="Arial"/>
                <w:sz w:val="20"/>
              </w:rPr>
              <w:t>Ndërtimi i Impiantit të Trajtimit të Ujërave të Zeza dhe përmirësimi i infrastrukturës më pastaj do të sjellë përfitim dhe përmirësim të kushteve të jetesës për 81,500 qytetarët e zonës së projektit, me qasje në shërbimet e largimit të ujërave të zeza duke reduktuar rrezikun nga përmbytjet, ndotjen e burimeve ujore që përdoren për pije dhe parandalimin e shkarkimit të drejtpërdrejtë të ujërave të zeza në lumin Llap, në drejtim të lumit Sitnica, i cili bashkohet me Ibrin në Mitrovicë dhe rrjedhimisht rrjedh në veri në Moravë dhe eventualisht në Danub në Serbi, me ndikim ndërkufitar.</w:t>
            </w:r>
          </w:p>
          <w:p w14:paraId="128F4FA9" w14:textId="64201818" w:rsidR="00046717" w:rsidRPr="00BF5650" w:rsidRDefault="00046717" w:rsidP="00F40511">
            <w:pPr>
              <w:spacing w:before="60" w:after="60" w:line="260" w:lineRule="atLeast"/>
              <w:jc w:val="both"/>
              <w:rPr>
                <w:rFonts w:ascii="Arial" w:hAnsi="Arial" w:cs="Arial"/>
                <w:bCs/>
                <w:sz w:val="20"/>
                <w:szCs w:val="20"/>
              </w:rPr>
            </w:pPr>
            <w:r>
              <w:rPr>
                <w:rFonts w:ascii="Arial" w:hAnsi="Arial"/>
                <w:sz w:val="20"/>
              </w:rPr>
              <w:t xml:space="preserve">Projekti pritet të çojë në mbrojtjen e burimeve ujore sipërfaqësore dhe nëntokësore dhe përshtatjen ndaj ndryshimeve klimatike, duke reduktuar ndikimin negativ të shkarkimeve të ujërave të zeza dhe si i tillë nuk pritet të ketë ndonjë ndikim të rëndësishëm negativ. Projekti pritet të përmirësojë cilësinë e jetës për rreth 81,500 banorë në zonën e shërbimit, duke kontribuar në një reduktim të rrezikut shëndetësor dhe duke ofruar kështu një ndikim të rëndësishëm pozitiv në shëndetin publik.   Ai gjithashtu do të adresojë problemet e kontaminimit të ujërave nëntokësore dhe sipërfaqësore, si dhe kanalizimet e dobëta, duke përmirësuar kështu cilësinë e ujit të pijes. </w:t>
            </w:r>
          </w:p>
        </w:tc>
      </w:tr>
      <w:tr w:rsidR="007128F1" w:rsidRPr="00BF5650" w14:paraId="74BCC8FB" w14:textId="77777777" w:rsidTr="00461BD8">
        <w:trPr>
          <w:trHeight w:val="1031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16F0701" w14:textId="55A8B6A6" w:rsidR="007128F1" w:rsidRPr="00BF5650" w:rsidRDefault="007128F1" w:rsidP="0010415D">
            <w:pPr>
              <w:spacing w:before="60" w:after="60" w:line="260" w:lineRule="atLeast"/>
              <w:rPr>
                <w:rFonts w:ascii="Arial" w:hAnsi="Arial" w:cs="Arial"/>
                <w:bCs/>
                <w:sz w:val="20"/>
                <w:szCs w:val="20"/>
              </w:rPr>
            </w:pPr>
            <w:r>
              <w:rPr>
                <w:rFonts w:ascii="Arial" w:hAnsi="Arial"/>
                <w:sz w:val="20"/>
              </w:rPr>
              <w:lastRenderedPageBreak/>
              <w:t xml:space="preserve">Përshkrimi i përgjithshëm </w:t>
            </w:r>
          </w:p>
        </w:tc>
        <w:tc>
          <w:tcPr>
            <w:tcW w:w="2989" w:type="pct"/>
            <w:tcBorders>
              <w:top w:val="single" w:sz="4" w:space="0" w:color="auto"/>
              <w:left w:val="single" w:sz="4" w:space="0" w:color="auto"/>
              <w:bottom w:val="single" w:sz="4" w:space="0" w:color="auto"/>
              <w:right w:val="single" w:sz="4" w:space="0" w:color="auto"/>
            </w:tcBorders>
          </w:tcPr>
          <w:p w14:paraId="4B6C9FE2" w14:textId="3E49447C" w:rsidR="00046717" w:rsidRPr="00BF5650" w:rsidRDefault="00046717" w:rsidP="00046717">
            <w:pPr>
              <w:spacing w:before="60" w:after="60" w:line="260" w:lineRule="atLeast"/>
              <w:jc w:val="both"/>
              <w:rPr>
                <w:rFonts w:ascii="Arial" w:hAnsi="Arial" w:cs="Arial"/>
                <w:bCs/>
                <w:sz w:val="20"/>
                <w:szCs w:val="20"/>
              </w:rPr>
            </w:pPr>
            <w:r>
              <w:rPr>
                <w:rFonts w:ascii="Arial" w:hAnsi="Arial"/>
                <w:sz w:val="20"/>
              </w:rPr>
              <w:t>Komuna e Podujevës ka 81,500 banorë të ndarë në 74 vendbanime, zona urbane 16,468 rurale 65,046. Furnizohet me ujë të pijes nga Rezervuari i Albanikut nëpërmjet liqenit të Batllavës dhe nga pusi i tij, shërbimet i ofron Ujësjellësi Rajonal “Prishtina” sh.a.</w:t>
            </w:r>
          </w:p>
          <w:p w14:paraId="213E77F2" w14:textId="4B3E606D" w:rsidR="0003198D" w:rsidRPr="00BF5650" w:rsidRDefault="0003198D" w:rsidP="0003198D">
            <w:pPr>
              <w:spacing w:before="60" w:after="60" w:line="260" w:lineRule="atLeast"/>
              <w:jc w:val="both"/>
              <w:rPr>
                <w:rFonts w:ascii="Arial" w:hAnsi="Arial" w:cs="Arial"/>
                <w:bCs/>
                <w:sz w:val="20"/>
                <w:szCs w:val="20"/>
              </w:rPr>
            </w:pPr>
            <w:r>
              <w:rPr>
                <w:rFonts w:ascii="Arial" w:hAnsi="Arial"/>
                <w:sz w:val="20"/>
              </w:rPr>
              <w:t xml:space="preserve">Komuna e Podujevës nuk ka trajtim të ujërave të zeza, dhe ujërat e zeza derdhen direkt në rrjedhat e ujit, duke ndikuar jo vetëm në shëndetin e banorëve të zonës, por edhe të atyre përgjatë rrjedhave ujore. Siç qëndron, të gjitha ujërat e zeza të patrajtuara nga Komuna e Podujevës derdhen në lumin Sitnica, i cili bashkohet me Ibrin në Mitrovicë dhe rrjedhimisht rrjedh në veri në Moravë dhe përfundimisht në Danub në Serbi, duke shkaktuar ndikim të madh negativ në shëndetin publik si dhe në flora dhe fauna e përrenjve të lumit. </w:t>
            </w:r>
          </w:p>
          <w:p w14:paraId="748C4665" w14:textId="0B72E505" w:rsidR="0003198D" w:rsidRPr="00BF5650" w:rsidRDefault="0003198D" w:rsidP="0003198D">
            <w:pPr>
              <w:spacing w:before="60" w:after="60" w:line="260" w:lineRule="atLeast"/>
              <w:jc w:val="both"/>
              <w:rPr>
                <w:rFonts w:ascii="Arial" w:hAnsi="Arial" w:cs="Arial"/>
                <w:bCs/>
                <w:sz w:val="20"/>
                <w:szCs w:val="20"/>
              </w:rPr>
            </w:pPr>
            <w:r>
              <w:rPr>
                <w:rFonts w:ascii="Arial" w:hAnsi="Arial"/>
                <w:sz w:val="20"/>
              </w:rPr>
              <w:t>Duke marrë parasysh gjendjen ekzistuese dhe implikimet e vazhdueshme të ndryshimeve klimatike, ekziston një nevojë e madhe që KRU dhe Komuna e Podujevës, e cila është zona e dytë më e madhe e funksionimit të KRU, për të trajtuar këtë rrezik të madh shëndetësor dhe mjedisor. Përveç kësaj, kjo është një kërkesë e rëndësishme për procesin e para-anëtarësimit të Kosovës dhe përputhshmërinë me legjislacionin e BE-së për shëndetin dhe mjedisin.</w:t>
            </w:r>
          </w:p>
          <w:p w14:paraId="44757578" w14:textId="2BFCE105" w:rsidR="00046717" w:rsidRPr="00BF5650" w:rsidRDefault="00046717" w:rsidP="00046717">
            <w:pPr>
              <w:spacing w:before="60" w:after="60" w:line="260" w:lineRule="atLeast"/>
              <w:jc w:val="both"/>
              <w:rPr>
                <w:rFonts w:ascii="Arial" w:hAnsi="Arial" w:cs="Arial"/>
                <w:bCs/>
                <w:sz w:val="20"/>
                <w:szCs w:val="20"/>
              </w:rPr>
            </w:pPr>
            <w:r>
              <w:rPr>
                <w:rFonts w:ascii="Arial" w:hAnsi="Arial"/>
                <w:sz w:val="20"/>
              </w:rPr>
              <w:t xml:space="preserve">Infrastruktura ekzistuese e kanalizimit të qytetit të Podujevës është rreth 40 km në gjatësi të përgjithshme dhe me vjetërsi deri në 30 vjet. Është projektuar si sistem i veçantë, pjesa qendrore funksionon si e ndarë, por në mungesë të sistemit të ujërave të stuhisë, pjesa tjetër e qytetit funksionon si sistem i kombinuar. Zona rurale përmban 73 vendbanime/fshatra të vendosura brenda kësaj zone shërbimi, vetëm 47 vendbanime (65%) me sistem kanalizimi me tubacione me mbulim shërbimi mesatarisht 85%. </w:t>
            </w:r>
          </w:p>
          <w:p w14:paraId="69286245" w14:textId="77777777" w:rsidR="00046717" w:rsidRPr="00BF5650" w:rsidRDefault="00046717" w:rsidP="00046717">
            <w:pPr>
              <w:spacing w:before="60" w:after="60" w:line="260" w:lineRule="atLeast"/>
              <w:jc w:val="both"/>
              <w:rPr>
                <w:rFonts w:ascii="Arial" w:hAnsi="Arial" w:cs="Arial"/>
                <w:bCs/>
                <w:sz w:val="20"/>
                <w:szCs w:val="20"/>
              </w:rPr>
            </w:pPr>
            <w:r>
              <w:rPr>
                <w:rFonts w:ascii="Arial" w:hAnsi="Arial"/>
                <w:sz w:val="20"/>
              </w:rPr>
              <w:t>26 vendbanimet e mbetura, të vendosura përgjithësisht në periferi të vendbanimit, mbështeten në objektet sanitare në vend, ose i hedhin ujërat e zeza direkt në përrenj. Duke qenë se gropat e tilla septike prodhohen privatisht, nuk plotësojnë asnjë kërkesë dhe zbrazja bëhet nga fermerët me iniciativë private.</w:t>
            </w:r>
          </w:p>
          <w:p w14:paraId="1BA35527" w14:textId="77777777" w:rsidR="007128F1" w:rsidRPr="00BF5650" w:rsidRDefault="00046717" w:rsidP="00046717">
            <w:pPr>
              <w:spacing w:before="60" w:after="60" w:line="260" w:lineRule="atLeast"/>
              <w:jc w:val="both"/>
              <w:rPr>
                <w:rFonts w:ascii="Arial" w:hAnsi="Arial" w:cs="Arial"/>
                <w:bCs/>
                <w:sz w:val="20"/>
                <w:szCs w:val="20"/>
              </w:rPr>
            </w:pPr>
            <w:r>
              <w:rPr>
                <w:rFonts w:ascii="Arial" w:hAnsi="Arial"/>
                <w:sz w:val="20"/>
              </w:rPr>
              <w:t>Sistemi funksionon si sistem i kombinuar me dalje të ndryshme në lumenj/përrenj.  Në kuadër të Komunës së Podujevës nuk ekziston asnjë ITUZ komunale.</w:t>
            </w:r>
          </w:p>
          <w:p w14:paraId="7C91F396" w14:textId="77777777" w:rsidR="00461BD8" w:rsidRPr="00BF5650" w:rsidRDefault="00461BD8" w:rsidP="00046717">
            <w:pPr>
              <w:spacing w:before="60" w:after="60" w:line="260" w:lineRule="atLeast"/>
              <w:jc w:val="both"/>
              <w:rPr>
                <w:rFonts w:ascii="Arial" w:hAnsi="Arial" w:cs="Arial"/>
                <w:bCs/>
                <w:sz w:val="20"/>
                <w:szCs w:val="20"/>
              </w:rPr>
            </w:pPr>
          </w:p>
          <w:p w14:paraId="48EF5525" w14:textId="5B4837CF" w:rsidR="00461BD8" w:rsidRPr="00BF5650" w:rsidRDefault="00461BD8" w:rsidP="00046717">
            <w:pPr>
              <w:spacing w:before="60" w:after="60" w:line="260" w:lineRule="atLeast"/>
              <w:jc w:val="both"/>
              <w:rPr>
                <w:rFonts w:ascii="Arial" w:hAnsi="Arial" w:cs="Arial"/>
                <w:bCs/>
                <w:sz w:val="20"/>
                <w:szCs w:val="20"/>
              </w:rPr>
            </w:pPr>
            <w:r>
              <w:rPr>
                <w:rFonts w:ascii="Arial" w:hAnsi="Arial"/>
                <w:sz w:val="20"/>
              </w:rPr>
              <w:t>Komponentët e projektit janë:</w:t>
            </w:r>
          </w:p>
          <w:p w14:paraId="51612F85" w14:textId="77777777" w:rsidR="00461BD8" w:rsidRPr="00BF5650" w:rsidRDefault="00461BD8" w:rsidP="00461BD8">
            <w:pPr>
              <w:spacing w:before="60" w:after="60" w:line="260" w:lineRule="atLeast"/>
              <w:jc w:val="both"/>
              <w:rPr>
                <w:rFonts w:ascii="Arial" w:hAnsi="Arial" w:cs="Arial"/>
                <w:bCs/>
                <w:sz w:val="20"/>
                <w:szCs w:val="20"/>
              </w:rPr>
            </w:pPr>
          </w:p>
          <w:p w14:paraId="5C84DFF1" w14:textId="2301668C" w:rsidR="00461BD8" w:rsidRPr="00BF5650" w:rsidRDefault="00461BD8" w:rsidP="00E377E2">
            <w:pPr>
              <w:pStyle w:val="ListParagraph"/>
              <w:numPr>
                <w:ilvl w:val="0"/>
                <w:numId w:val="5"/>
              </w:numPr>
              <w:spacing w:before="60" w:after="60" w:line="260" w:lineRule="atLeast"/>
              <w:jc w:val="both"/>
              <w:rPr>
                <w:rFonts w:cs="Arial"/>
                <w:bCs/>
                <w:szCs w:val="20"/>
              </w:rPr>
            </w:pPr>
            <w:r>
              <w:t xml:space="preserve">Bashkëpunimi Teknik (prokurim, inxhinieri dhe zbatim) </w:t>
            </w:r>
          </w:p>
          <w:p w14:paraId="70901908" w14:textId="77777777" w:rsidR="00461BD8" w:rsidRPr="00BF5650" w:rsidRDefault="00461BD8" w:rsidP="00461BD8">
            <w:pPr>
              <w:spacing w:before="60" w:after="60" w:line="260" w:lineRule="atLeast"/>
              <w:jc w:val="both"/>
              <w:rPr>
                <w:rFonts w:ascii="Arial" w:hAnsi="Arial" w:cs="Arial"/>
                <w:bCs/>
                <w:sz w:val="20"/>
                <w:szCs w:val="20"/>
              </w:rPr>
            </w:pPr>
          </w:p>
          <w:p w14:paraId="3660F2EE" w14:textId="07A18A6D" w:rsidR="00461BD8" w:rsidRPr="00BF5650" w:rsidRDefault="00461BD8" w:rsidP="00E377E2">
            <w:pPr>
              <w:pStyle w:val="ListParagraph"/>
              <w:numPr>
                <w:ilvl w:val="0"/>
                <w:numId w:val="5"/>
              </w:numPr>
              <w:spacing w:before="60" w:after="60" w:line="260" w:lineRule="atLeast"/>
              <w:jc w:val="both"/>
              <w:rPr>
                <w:rFonts w:cs="Arial"/>
                <w:bCs/>
                <w:szCs w:val="20"/>
              </w:rPr>
            </w:pPr>
            <w:r>
              <w:t>Investimi kapital:</w:t>
            </w:r>
          </w:p>
          <w:p w14:paraId="75D726BE" w14:textId="35FC11FC" w:rsidR="00461BD8" w:rsidRPr="00BF5650" w:rsidRDefault="00461BD8" w:rsidP="00E377E2">
            <w:pPr>
              <w:pStyle w:val="ListParagraph"/>
              <w:numPr>
                <w:ilvl w:val="0"/>
                <w:numId w:val="6"/>
              </w:numPr>
              <w:spacing w:before="60" w:after="60" w:line="260" w:lineRule="atLeast"/>
              <w:jc w:val="both"/>
              <w:rPr>
                <w:rFonts w:cs="Arial"/>
                <w:bCs/>
                <w:szCs w:val="20"/>
              </w:rPr>
            </w:pPr>
            <w:r>
              <w:t xml:space="preserve">Ndërtimi i ITUZ Podujevë </w:t>
            </w:r>
          </w:p>
          <w:p w14:paraId="59F6425B" w14:textId="224ACFA2" w:rsidR="00461BD8" w:rsidRPr="00BF5650" w:rsidRDefault="00461BD8" w:rsidP="00E377E2">
            <w:pPr>
              <w:pStyle w:val="ListParagraph"/>
              <w:numPr>
                <w:ilvl w:val="0"/>
                <w:numId w:val="6"/>
              </w:numPr>
              <w:spacing w:before="60" w:after="60" w:line="260" w:lineRule="atLeast"/>
              <w:jc w:val="both"/>
              <w:rPr>
                <w:rFonts w:cs="Arial"/>
                <w:bCs/>
                <w:szCs w:val="20"/>
              </w:rPr>
            </w:pPr>
            <w:r>
              <w:t>Ndërtimi i kolektorëve të kanalizimeve</w:t>
            </w:r>
          </w:p>
          <w:p w14:paraId="575C764C" w14:textId="2B0C4096" w:rsidR="00461BD8" w:rsidRPr="00BF5650" w:rsidRDefault="00461BD8" w:rsidP="00E377E2">
            <w:pPr>
              <w:pStyle w:val="ListParagraph"/>
              <w:numPr>
                <w:ilvl w:val="0"/>
                <w:numId w:val="6"/>
              </w:numPr>
              <w:spacing w:before="60" w:after="60" w:line="260" w:lineRule="atLeast"/>
              <w:jc w:val="both"/>
              <w:rPr>
                <w:rFonts w:cs="Arial"/>
                <w:bCs/>
                <w:szCs w:val="20"/>
              </w:rPr>
            </w:pPr>
            <w:r>
              <w:t>Pajisjet e mirëmbajtjes:</w:t>
            </w:r>
          </w:p>
          <w:p w14:paraId="11332844" w14:textId="10167FF4" w:rsidR="00461BD8" w:rsidRPr="00BF5650" w:rsidRDefault="00461BD8" w:rsidP="00E377E2">
            <w:pPr>
              <w:pStyle w:val="ListParagraph"/>
              <w:numPr>
                <w:ilvl w:val="0"/>
                <w:numId w:val="6"/>
              </w:numPr>
              <w:spacing w:before="60" w:after="60" w:line="260" w:lineRule="atLeast"/>
              <w:jc w:val="both"/>
              <w:rPr>
                <w:rFonts w:cs="Arial"/>
                <w:bCs/>
                <w:szCs w:val="20"/>
              </w:rPr>
            </w:pPr>
            <w:r>
              <w:t>Ndërtimi i ITUZ-së Fshati</w:t>
            </w:r>
          </w:p>
          <w:p w14:paraId="39AE749F" w14:textId="6FCB70A7" w:rsidR="00461BD8" w:rsidRPr="00BF5650" w:rsidRDefault="00461BD8" w:rsidP="00461BD8">
            <w:pPr>
              <w:pStyle w:val="ListParagraph"/>
              <w:spacing w:before="60" w:after="60" w:line="260" w:lineRule="atLeast"/>
              <w:jc w:val="both"/>
              <w:rPr>
                <w:rFonts w:cs="Arial"/>
                <w:bCs/>
                <w:szCs w:val="20"/>
              </w:rPr>
            </w:pPr>
          </w:p>
        </w:tc>
      </w:tr>
    </w:tbl>
    <w:p w14:paraId="0977417E" w14:textId="77777777" w:rsidR="007128F1" w:rsidRPr="00BF5650" w:rsidRDefault="007128F1" w:rsidP="007128F1">
      <w:pPr>
        <w:pStyle w:val="ListParagraph"/>
        <w:spacing w:before="200" w:after="120"/>
        <w:ind w:left="340"/>
        <w:jc w:val="both"/>
        <w:rPr>
          <w:rFonts w:cs="Arial"/>
          <w:b/>
          <w:szCs w:val="20"/>
        </w:rPr>
      </w:pPr>
    </w:p>
    <w:p w14:paraId="3F183F70" w14:textId="4C7B45E4" w:rsidR="006F1611" w:rsidRPr="00BF5650" w:rsidRDefault="0010415D" w:rsidP="00E377E2">
      <w:pPr>
        <w:pStyle w:val="ListParagraph"/>
        <w:numPr>
          <w:ilvl w:val="0"/>
          <w:numId w:val="2"/>
        </w:numPr>
        <w:spacing w:line="240" w:lineRule="auto"/>
        <w:rPr>
          <w:rFonts w:cs="Arial"/>
          <w:b/>
        </w:rPr>
      </w:pPr>
      <w:r>
        <w:rPr>
          <w:b/>
        </w:rPr>
        <w:t>KUALIFIKU</w:t>
      </w:r>
      <w:r w:rsidR="0074067A">
        <w:rPr>
          <w:b/>
        </w:rPr>
        <w:t>ESHMËRIA</w:t>
      </w:r>
    </w:p>
    <w:p w14:paraId="20467C2A" w14:textId="77777777" w:rsidR="004F09D0" w:rsidRPr="00BF5650" w:rsidRDefault="004F09D0" w:rsidP="00825D59">
      <w:pPr>
        <w:spacing w:line="240" w:lineRule="auto"/>
        <w:rPr>
          <w:rFonts w:ascii="Arial" w:hAnsi="Arial" w:cs="Arial"/>
          <w:b/>
        </w:rPr>
      </w:pPr>
    </w:p>
    <w:tbl>
      <w:tblPr>
        <w:tblW w:w="4947" w:type="pct"/>
        <w:tblInd w:w="108" w:type="dxa"/>
        <w:tblLook w:val="01E0" w:firstRow="1" w:lastRow="1" w:firstColumn="1" w:lastColumn="1" w:noHBand="0" w:noVBand="0"/>
      </w:tblPr>
      <w:tblGrid>
        <w:gridCol w:w="2358"/>
        <w:gridCol w:w="7433"/>
      </w:tblGrid>
      <w:tr w:rsidR="004F09D0" w:rsidRPr="00BF5650" w14:paraId="48B44D3A" w14:textId="77777777" w:rsidTr="004F09D0">
        <w:trPr>
          <w:trHeight w:val="346"/>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60DE1" w14:textId="2AB95ACE" w:rsidR="004F09D0" w:rsidRPr="00BF5650" w:rsidRDefault="004F09D0" w:rsidP="0010415D">
            <w:pPr>
              <w:spacing w:after="0" w:line="240" w:lineRule="auto"/>
              <w:jc w:val="both"/>
              <w:rPr>
                <w:rFonts w:ascii="Arial" w:hAnsi="Arial" w:cs="Arial"/>
                <w:sz w:val="20"/>
                <w:szCs w:val="20"/>
              </w:rPr>
            </w:pPr>
            <w:r>
              <w:rPr>
                <w:rFonts w:ascii="Arial" w:hAnsi="Arial"/>
                <w:sz w:val="20"/>
              </w:rPr>
              <w:lastRenderedPageBreak/>
              <w:t>Koherenc</w:t>
            </w:r>
            <w:r w:rsidR="0010415D">
              <w:rPr>
                <w:rFonts w:ascii="Arial" w:hAnsi="Arial"/>
                <w:sz w:val="20"/>
              </w:rPr>
              <w:t>a</w:t>
            </w:r>
            <w:r>
              <w:rPr>
                <w:rFonts w:ascii="Arial" w:hAnsi="Arial"/>
                <w:sz w:val="20"/>
              </w:rPr>
              <w:t xml:space="preserve"> me politikat dhe strategjitë e vlefshme të BE-së </w:t>
            </w:r>
          </w:p>
        </w:tc>
        <w:tc>
          <w:tcPr>
            <w:tcW w:w="3796" w:type="pct"/>
            <w:tcBorders>
              <w:top w:val="single" w:sz="4" w:space="0" w:color="auto"/>
              <w:left w:val="single" w:sz="4" w:space="0" w:color="auto"/>
              <w:bottom w:val="single" w:sz="4" w:space="0" w:color="auto"/>
              <w:right w:val="single" w:sz="4" w:space="0" w:color="auto"/>
            </w:tcBorders>
            <w:vAlign w:val="center"/>
          </w:tcPr>
          <w:p w14:paraId="281F5A8A" w14:textId="77777777" w:rsidR="004F09D0" w:rsidRPr="00BF5650" w:rsidRDefault="004F09D0">
            <w:pPr>
              <w:jc w:val="both"/>
              <w:rPr>
                <w:rFonts w:ascii="Arial" w:hAnsi="Arial" w:cs="Arial"/>
                <w:sz w:val="20"/>
                <w:szCs w:val="20"/>
              </w:rPr>
            </w:pPr>
            <w:r>
              <w:rPr>
                <w:rFonts w:ascii="Arial" w:hAnsi="Arial"/>
                <w:b/>
                <w:sz w:val="20"/>
              </w:rPr>
              <w:t>Direktiva për trajtimin e ujërave të zeza urbane 2019/904</w:t>
            </w:r>
            <w:r>
              <w:rPr>
                <w:rFonts w:ascii="Arial" w:hAnsi="Arial"/>
                <w:sz w:val="20"/>
              </w:rPr>
              <w:t xml:space="preserve"> – Qëllimi i direktivës është të mbrojë mjedisin dhe shëndetin publik duke siguruar që ujërat e zeza urbane të trajtohen siç duhet përpara se të derdhen në lumenj, liqene dhe ujëra bregdetare. Direktiva kërkon që shtetet anëtare të BE-së të krijojnë një sistem lejesh për shkarkimin e ujërave të zeza dhe të sigurojnë që të gjitha ujërat e zeza të grumbullohen dhe trajtohen në përputhje me standarde të caktuara.</w:t>
            </w:r>
          </w:p>
          <w:p w14:paraId="397779CA" w14:textId="004C3F08" w:rsidR="004F09D0" w:rsidRPr="00BF5650" w:rsidRDefault="004F09D0">
            <w:pPr>
              <w:jc w:val="both"/>
              <w:rPr>
                <w:rFonts w:ascii="Arial" w:hAnsi="Arial" w:cs="Arial"/>
                <w:sz w:val="20"/>
                <w:szCs w:val="20"/>
              </w:rPr>
            </w:pPr>
            <w:r>
              <w:rPr>
                <w:rFonts w:ascii="Arial" w:hAnsi="Arial"/>
                <w:sz w:val="20"/>
              </w:rPr>
              <w:t>Sipas direktivës, të gjitha zonat urbane me një popullsi ekuivalente prej më shumë se 2,000 banorë duhet të kenë një impiant për trajtimin e ujërave të zeza që plotëson disa kërkesa teknike. Direktiva përcakton gjithashtu standarde për cilësinë e ujërave të zeza të trajtuara dhe monitorimin e shkarkimeve.</w:t>
            </w:r>
          </w:p>
          <w:p w14:paraId="37880BAE" w14:textId="77777777" w:rsidR="004F09D0" w:rsidRPr="00BF5650" w:rsidRDefault="004F09D0">
            <w:pPr>
              <w:jc w:val="both"/>
              <w:rPr>
                <w:rFonts w:ascii="Arial" w:hAnsi="Arial" w:cs="Arial"/>
                <w:sz w:val="20"/>
                <w:szCs w:val="20"/>
              </w:rPr>
            </w:pPr>
            <w:r>
              <w:rPr>
                <w:rFonts w:ascii="Arial" w:hAnsi="Arial"/>
                <w:b/>
                <w:sz w:val="20"/>
              </w:rPr>
              <w:t xml:space="preserve">Instrumenti për Asistencën e Para-Aderimit (IPA III) </w:t>
            </w:r>
            <w:r>
              <w:rPr>
                <w:rFonts w:ascii="Arial" w:hAnsi="Arial"/>
                <w:sz w:val="20"/>
              </w:rPr>
              <w:t>Korniza e Programit për periudhën 2021-2027</w:t>
            </w:r>
          </w:p>
          <w:p w14:paraId="7934EF1E" w14:textId="77777777" w:rsidR="004F09D0" w:rsidRPr="00BF5650" w:rsidRDefault="004F09D0">
            <w:pPr>
              <w:jc w:val="both"/>
              <w:rPr>
                <w:rFonts w:ascii="Arial" w:hAnsi="Arial" w:cs="Arial"/>
                <w:sz w:val="20"/>
                <w:szCs w:val="20"/>
              </w:rPr>
            </w:pPr>
            <w:r>
              <w:rPr>
                <w:rFonts w:ascii="Arial" w:hAnsi="Arial"/>
                <w:b/>
                <w:sz w:val="20"/>
              </w:rPr>
              <w:t>Dritarja 3</w:t>
            </w:r>
            <w:r>
              <w:rPr>
                <w:rFonts w:ascii="Arial" w:hAnsi="Arial"/>
                <w:sz w:val="20"/>
              </w:rPr>
              <w:t xml:space="preserve">: Agjenda e gjelbër dhe lidhshmëria e qëndrueshme </w:t>
            </w:r>
          </w:p>
          <w:p w14:paraId="1AA171AD" w14:textId="2E25A563" w:rsidR="004F09D0" w:rsidRPr="00BF5650" w:rsidRDefault="004F09D0">
            <w:pPr>
              <w:jc w:val="both"/>
              <w:rPr>
                <w:rFonts w:ascii="Arial" w:hAnsi="Arial" w:cs="Arial"/>
                <w:b/>
                <w:bCs/>
                <w:sz w:val="20"/>
                <w:szCs w:val="20"/>
                <w:highlight w:val="yellow"/>
              </w:rPr>
            </w:pPr>
            <w:r>
              <w:rPr>
                <w:rFonts w:ascii="Arial" w:hAnsi="Arial"/>
                <w:b/>
                <w:sz w:val="20"/>
              </w:rPr>
              <w:t>Prioriteti tematik 1</w:t>
            </w:r>
            <w:r>
              <w:rPr>
                <w:rFonts w:ascii="Arial" w:hAnsi="Arial"/>
                <w:sz w:val="20"/>
              </w:rPr>
              <w:t xml:space="preserve">: Mjedisi dhe ndryshimi klimatik </w:t>
            </w:r>
          </w:p>
          <w:p w14:paraId="5D9348C0" w14:textId="58F68A55" w:rsidR="00E5346A" w:rsidRPr="00BF5650" w:rsidRDefault="004F09D0">
            <w:pPr>
              <w:jc w:val="both"/>
              <w:rPr>
                <w:rFonts w:ascii="Arial" w:hAnsi="Arial" w:cs="Arial"/>
                <w:b/>
                <w:bCs/>
                <w:sz w:val="20"/>
                <w:szCs w:val="20"/>
              </w:rPr>
            </w:pPr>
            <w:r>
              <w:rPr>
                <w:rFonts w:ascii="Arial" w:hAnsi="Arial"/>
                <w:b/>
                <w:sz w:val="20"/>
              </w:rPr>
              <w:t>Plan ekonomik dhe investues për Ballkanin Perëndimor 2021-2027</w:t>
            </w:r>
            <w:r>
              <w:rPr>
                <w:rFonts w:ascii="Arial" w:hAnsi="Arial"/>
                <w:color w:val="000000"/>
                <w:sz w:val="20"/>
              </w:rPr>
              <w:t xml:space="preserve"> </w:t>
            </w:r>
          </w:p>
          <w:p w14:paraId="387D7A4C" w14:textId="36C4FAF8" w:rsidR="004F09D0" w:rsidRPr="00BF5650" w:rsidRDefault="00E5346A">
            <w:pPr>
              <w:jc w:val="both"/>
              <w:rPr>
                <w:rFonts w:ascii="Arial" w:eastAsiaTheme="minorHAnsi" w:hAnsi="Arial" w:cs="Arial"/>
                <w:bCs/>
                <w:color w:val="000000"/>
                <w:sz w:val="20"/>
                <w:szCs w:val="20"/>
              </w:rPr>
            </w:pPr>
            <w:r>
              <w:rPr>
                <w:rFonts w:ascii="Arial" w:hAnsi="Arial"/>
                <w:color w:val="000000"/>
                <w:sz w:val="20"/>
              </w:rPr>
              <w:t xml:space="preserve">Mjedisi dhe Klima;  </w:t>
            </w:r>
            <w:r>
              <w:rPr>
                <w:rFonts w:ascii="Arial" w:hAnsi="Arial"/>
                <w:sz w:val="20"/>
              </w:rPr>
              <w:t xml:space="preserve">FLAGSHIP 7 – Menaxhimi i mbetjeve dhe ujërave të zeza </w:t>
            </w:r>
          </w:p>
          <w:p w14:paraId="40C9936B" w14:textId="77777777" w:rsidR="004F09D0" w:rsidRPr="00BF5650" w:rsidRDefault="004F09D0">
            <w:pPr>
              <w:jc w:val="both"/>
              <w:rPr>
                <w:rFonts w:ascii="Arial" w:hAnsi="Arial" w:cs="Arial"/>
                <w:b/>
                <w:sz w:val="20"/>
                <w:szCs w:val="20"/>
              </w:rPr>
            </w:pPr>
            <w:r>
              <w:rPr>
                <w:rFonts w:ascii="Arial" w:hAnsi="Arial"/>
                <w:b/>
                <w:sz w:val="20"/>
              </w:rPr>
              <w:t xml:space="preserve">Agjenda e Gjelbër për Ballkanin Perëndimor </w:t>
            </w:r>
          </w:p>
          <w:p w14:paraId="035400EE" w14:textId="485380F4" w:rsidR="004F09D0" w:rsidRPr="00BF5650" w:rsidRDefault="004F09D0">
            <w:pPr>
              <w:jc w:val="both"/>
              <w:rPr>
                <w:rFonts w:ascii="Arial" w:hAnsi="Arial" w:cs="Arial"/>
                <w:bCs/>
                <w:sz w:val="20"/>
                <w:szCs w:val="20"/>
              </w:rPr>
            </w:pPr>
            <w:r>
              <w:rPr>
                <w:rFonts w:ascii="Arial" w:hAnsi="Arial"/>
                <w:sz w:val="20"/>
              </w:rPr>
              <w:t>Shtylla e katërt: Pastërtia: e ajrit, ujit dhe tokës; Uji Ballkani Perëndimor është shtëpia e disa prej lumenjve të fundit të pacenuar të kontinentit, por mbrojtja e tyre mbetet një sfidë.</w:t>
            </w:r>
            <w:r>
              <w:rPr>
                <w:rFonts w:ascii="Arial" w:hAnsi="Arial"/>
                <w:color w:val="252525"/>
                <w:sz w:val="20"/>
              </w:rPr>
              <w:t xml:space="preserve"> </w:t>
            </w:r>
          </w:p>
        </w:tc>
      </w:tr>
      <w:tr w:rsidR="004F09D0" w:rsidRPr="00BF5650" w14:paraId="381DBAA8" w14:textId="77777777" w:rsidTr="004F09D0">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038EB4" w14:textId="77777777" w:rsidR="004F09D0" w:rsidRPr="00BF5650" w:rsidRDefault="004F09D0">
            <w:pPr>
              <w:spacing w:after="0" w:line="240" w:lineRule="auto"/>
              <w:jc w:val="both"/>
              <w:rPr>
                <w:rFonts w:ascii="Arial" w:hAnsi="Arial" w:cs="Arial"/>
                <w:sz w:val="20"/>
                <w:szCs w:val="20"/>
              </w:rPr>
            </w:pPr>
            <w:r>
              <w:rPr>
                <w:rFonts w:ascii="Arial" w:hAnsi="Arial"/>
                <w:sz w:val="20"/>
              </w:rPr>
              <w:t>Kontributi në objektivat e vlefshme të zhvillimit kombëtar</w:t>
            </w:r>
          </w:p>
        </w:tc>
        <w:tc>
          <w:tcPr>
            <w:tcW w:w="3796" w:type="pct"/>
            <w:tcBorders>
              <w:top w:val="single" w:sz="4" w:space="0" w:color="auto"/>
              <w:left w:val="single" w:sz="4" w:space="0" w:color="auto"/>
              <w:bottom w:val="single" w:sz="4" w:space="0" w:color="auto"/>
              <w:right w:val="single" w:sz="4" w:space="0" w:color="auto"/>
            </w:tcBorders>
          </w:tcPr>
          <w:p w14:paraId="7BDF2C5D" w14:textId="13C0708C" w:rsidR="004F09D0" w:rsidRPr="00BF5650" w:rsidRDefault="004F09D0">
            <w:pPr>
              <w:jc w:val="both"/>
              <w:rPr>
                <w:rFonts w:ascii="Arial" w:hAnsi="Arial" w:cs="Arial"/>
                <w:b/>
                <w:bCs/>
                <w:sz w:val="20"/>
                <w:szCs w:val="20"/>
              </w:rPr>
            </w:pPr>
            <w:r>
              <w:rPr>
                <w:rFonts w:ascii="Arial" w:hAnsi="Arial"/>
                <w:b/>
                <w:sz w:val="20"/>
              </w:rPr>
              <w:t>Programi i Reformave Ekonomike (PRE) 2024 – 2026</w:t>
            </w:r>
          </w:p>
          <w:p w14:paraId="3BB5F0C9" w14:textId="77777777" w:rsidR="004F09D0" w:rsidRPr="00BF5650" w:rsidRDefault="004F09D0">
            <w:pPr>
              <w:jc w:val="both"/>
              <w:rPr>
                <w:rFonts w:ascii="Arial" w:hAnsi="Arial" w:cs="Arial"/>
                <w:sz w:val="20"/>
                <w:szCs w:val="20"/>
              </w:rPr>
            </w:pPr>
            <w:r>
              <w:rPr>
                <w:rFonts w:ascii="Arial" w:hAnsi="Arial"/>
                <w:sz w:val="20"/>
              </w:rPr>
              <w:t>Masa e reformës #9: Reduktimi i ndotjes së mjedisit dhe ruajtja e biodiversitetit.</w:t>
            </w:r>
            <w:r>
              <w:rPr>
                <w:rFonts w:ascii="Arial" w:hAnsi="Arial"/>
                <w:b/>
                <w:sz w:val="20"/>
              </w:rPr>
              <w:t xml:space="preserve"> </w:t>
            </w:r>
          </w:p>
          <w:p w14:paraId="14235ECB" w14:textId="77777777" w:rsidR="00E5346A" w:rsidRPr="00BF5650" w:rsidRDefault="00E5346A" w:rsidP="00E5346A">
            <w:pPr>
              <w:jc w:val="both"/>
              <w:rPr>
                <w:rFonts w:ascii="Arial" w:hAnsi="Arial" w:cs="Arial"/>
                <w:sz w:val="20"/>
                <w:szCs w:val="20"/>
              </w:rPr>
            </w:pPr>
            <w:r>
              <w:rPr>
                <w:rFonts w:ascii="Arial" w:hAnsi="Arial"/>
                <w:sz w:val="20"/>
              </w:rPr>
              <w:t>Sasia e vogël e ujërave në rrjedhat ujore lokale, ku sasia vjetore mesatare është më e vogël se 100 m</w:t>
            </w:r>
            <w:r>
              <w:rPr>
                <w:rFonts w:ascii="Arial" w:hAnsi="Arial"/>
                <w:sz w:val="20"/>
                <w:vertAlign w:val="superscript"/>
              </w:rPr>
              <w:t>3</w:t>
            </w:r>
            <w:r>
              <w:rPr>
                <w:rFonts w:ascii="Arial" w:hAnsi="Arial"/>
                <w:sz w:val="20"/>
              </w:rPr>
              <w:t xml:space="preserve">/s, nënkupton nevojën për ndërtimin e Impianteve të Trajtimit të Ujërave të Zeza Urbane dhe Industriale (ITUZ). </w:t>
            </w:r>
          </w:p>
          <w:p w14:paraId="3ABC7DEC" w14:textId="3E7B741F" w:rsidR="00E5346A" w:rsidRPr="00BF5650" w:rsidRDefault="00E5346A" w:rsidP="00E5346A">
            <w:pPr>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6C378C7E" w14:textId="77777777" w:rsidR="00E5346A" w:rsidRPr="00BF5650" w:rsidRDefault="00E5346A" w:rsidP="00E5346A">
            <w:pPr>
              <w:jc w:val="both"/>
              <w:rPr>
                <w:rFonts w:ascii="Arial" w:hAnsi="Arial" w:cs="Arial"/>
                <w:sz w:val="20"/>
                <w:szCs w:val="20"/>
              </w:rPr>
            </w:pPr>
            <w:r>
              <w:rPr>
                <w:rFonts w:ascii="Arial" w:hAnsi="Arial"/>
                <w:sz w:val="20"/>
              </w:rPr>
              <w:t>Shtylla II: Konkurrueshmëria, Investimet dhe Zhvillimi i Qëndrueshëm</w:t>
            </w:r>
          </w:p>
          <w:p w14:paraId="2A159BBC" w14:textId="77777777" w:rsidR="00E5346A" w:rsidRPr="00BF5650" w:rsidRDefault="00E5346A" w:rsidP="00E5346A">
            <w:pPr>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 duke u fokusuar në: Reduktimi i ndotjes së ajrit dhe ujit dhe përmirësimi i menaxhimit të mbeturina.</w:t>
            </w:r>
          </w:p>
          <w:p w14:paraId="1A044CBF" w14:textId="77777777" w:rsidR="00E5346A" w:rsidRPr="00BF5650" w:rsidRDefault="00E5346A" w:rsidP="00E5346A">
            <w:pPr>
              <w:jc w:val="both"/>
              <w:rPr>
                <w:rFonts w:ascii="Arial" w:hAnsi="Arial" w:cs="Arial"/>
                <w:b/>
                <w:sz w:val="20"/>
                <w:szCs w:val="20"/>
              </w:rPr>
            </w:pPr>
            <w:r>
              <w:rPr>
                <w:rFonts w:ascii="Arial" w:hAnsi="Arial"/>
                <w:b/>
                <w:sz w:val="20"/>
              </w:rPr>
              <w:t>Raporti i BE-së për Kosovën (2023)</w:t>
            </w:r>
          </w:p>
          <w:p w14:paraId="6735D7A5" w14:textId="3200FFDF" w:rsidR="00E5346A" w:rsidRPr="00BF5650" w:rsidRDefault="00E5346A" w:rsidP="00E5346A">
            <w:pPr>
              <w:jc w:val="both"/>
              <w:rPr>
                <w:rFonts w:ascii="Arial" w:eastAsiaTheme="minorHAnsi" w:hAnsi="Arial" w:cs="Arial"/>
                <w:bCs/>
                <w:sz w:val="20"/>
                <w:szCs w:val="20"/>
              </w:rPr>
            </w:pPr>
            <w:r>
              <w:rPr>
                <w:rFonts w:ascii="Arial" w:hAnsi="Arial"/>
                <w:sz w:val="20"/>
              </w:rPr>
              <w:t>Uji: Kosova ka arritur progres të kufizuar në përafrimin e legjislacionit për ujerat me acquis të BE-së. Niveli i harmonizimit dhe mekanizmi monitorues i Strategjisë së Ujit 2017-2036 me acquis të BE-së mbetet i pamjaftueshëm, si dhe zbatimi i ligjit për ujërat.</w:t>
            </w:r>
          </w:p>
          <w:p w14:paraId="5AB5E897" w14:textId="77777777" w:rsidR="00DB7347" w:rsidRPr="00BF5650" w:rsidRDefault="004F09D0" w:rsidP="00DB7347">
            <w:pPr>
              <w:spacing w:after="0"/>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77A29DC5" w14:textId="3FE54C89" w:rsidR="00DB7347" w:rsidRPr="00BF5650" w:rsidRDefault="00DB7347" w:rsidP="00DB7347">
            <w:pPr>
              <w:spacing w:after="0"/>
              <w:jc w:val="both"/>
              <w:rPr>
                <w:rFonts w:ascii="Arial" w:hAnsi="Arial" w:cs="Arial"/>
                <w:b/>
                <w:color w:val="70AD47" w:themeColor="accent6"/>
                <w:sz w:val="20"/>
                <w:szCs w:val="20"/>
              </w:rPr>
            </w:pPr>
            <w:r>
              <w:rPr>
                <w:rFonts w:ascii="Arial" w:hAnsi="Arial"/>
                <w:sz w:val="20"/>
              </w:rPr>
              <w:t>Shtylla 1: Zhvillimi i Qëndrueshëm Ekonomik</w:t>
            </w:r>
          </w:p>
          <w:p w14:paraId="348B8B40" w14:textId="77777777" w:rsidR="00DB7347" w:rsidRPr="00BF5650" w:rsidRDefault="00DB7347" w:rsidP="00E377E2">
            <w:pPr>
              <w:pStyle w:val="ListParagraph"/>
              <w:numPr>
                <w:ilvl w:val="1"/>
                <w:numId w:val="4"/>
              </w:numPr>
              <w:jc w:val="both"/>
              <w:rPr>
                <w:rFonts w:eastAsiaTheme="majorEastAsia" w:cs="Arial"/>
                <w:szCs w:val="20"/>
              </w:rPr>
            </w:pPr>
            <w:bookmarkStart w:id="0" w:name="_Toc104504632"/>
            <w:bookmarkStart w:id="1" w:name="_Toc104816800"/>
            <w:r>
              <w:t>Ekonomi inovative, qarkore dhe konkurruese</w:t>
            </w:r>
            <w:bookmarkStart w:id="2" w:name="_Toc104816801"/>
            <w:bookmarkEnd w:id="0"/>
            <w:bookmarkEnd w:id="1"/>
          </w:p>
          <w:p w14:paraId="6869D350" w14:textId="77777777" w:rsidR="00DB7347" w:rsidRPr="00BF5650" w:rsidRDefault="00DB7347" w:rsidP="00E377E2">
            <w:pPr>
              <w:pStyle w:val="ListParagraph"/>
              <w:numPr>
                <w:ilvl w:val="1"/>
                <w:numId w:val="4"/>
              </w:numPr>
              <w:jc w:val="both"/>
              <w:rPr>
                <w:rFonts w:eastAsiaTheme="majorEastAsia" w:cs="Arial"/>
                <w:szCs w:val="20"/>
              </w:rPr>
            </w:pPr>
            <w:r>
              <w:t>Infrastrukturë me cilësi të lartë, të qëndrueshme dhe të integruar</w:t>
            </w:r>
            <w:bookmarkStart w:id="3" w:name="_Toc104504634"/>
            <w:bookmarkStart w:id="4" w:name="_Toc104816802"/>
            <w:bookmarkEnd w:id="2"/>
          </w:p>
          <w:p w14:paraId="3EDCA5B0" w14:textId="77777777" w:rsidR="00DB7347" w:rsidRPr="00BF5650" w:rsidRDefault="00DB7347" w:rsidP="00E377E2">
            <w:pPr>
              <w:pStyle w:val="ListParagraph"/>
              <w:numPr>
                <w:ilvl w:val="1"/>
                <w:numId w:val="4"/>
              </w:numPr>
              <w:jc w:val="both"/>
              <w:rPr>
                <w:rFonts w:eastAsiaTheme="majorEastAsia" w:cs="Arial"/>
                <w:szCs w:val="20"/>
              </w:rPr>
            </w:pPr>
            <w:r>
              <w:t>Mjedis i pastër dhe shfrytëzim i qëndrueshëm i burimeve natyrore</w:t>
            </w:r>
            <w:bookmarkEnd w:id="3"/>
            <w:bookmarkEnd w:id="4"/>
          </w:p>
          <w:p w14:paraId="79163BE9" w14:textId="77777777" w:rsidR="004F09D0" w:rsidRPr="00BF5650" w:rsidRDefault="004F09D0">
            <w:pPr>
              <w:jc w:val="both"/>
              <w:rPr>
                <w:rFonts w:ascii="Arial" w:eastAsiaTheme="minorEastAsia"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Fonts w:ascii="Arial" w:hAnsi="Arial"/>
                <w:sz w:val="20"/>
              </w:rPr>
              <w:t xml:space="preserve">Menaxhimi i integruar i mbeturinave dhe rritja e qarkullimit të burimeve, qasja e përmirësuar </w:t>
            </w:r>
            <w:r>
              <w:rPr>
                <w:rFonts w:ascii="Arial" w:hAnsi="Arial"/>
                <w:sz w:val="20"/>
              </w:rPr>
              <w:lastRenderedPageBreak/>
              <w:t>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w:t>
            </w:r>
            <w:r>
              <w:rPr>
                <w:rFonts w:ascii="Arial" w:hAnsi="Arial"/>
                <w:b/>
                <w:sz w:val="20"/>
              </w:rPr>
              <w:t xml:space="preserve"> </w:t>
            </w:r>
            <w:r>
              <w:rPr>
                <w:rFonts w:ascii="Arial" w:hAnsi="Arial"/>
                <w:sz w:val="20"/>
              </w:rPr>
              <w:t>dhe zhvillimi i integruar territorial.</w:t>
            </w:r>
          </w:p>
          <w:p w14:paraId="19059F1A" w14:textId="52C77653" w:rsidR="004F09D0" w:rsidRPr="00BF5650" w:rsidRDefault="00E5346A">
            <w:pPr>
              <w:jc w:val="both"/>
              <w:rPr>
                <w:rFonts w:ascii="Arial" w:eastAsiaTheme="minorEastAsia" w:hAnsi="Arial" w:cs="Arial"/>
                <w:sz w:val="20"/>
                <w:szCs w:val="20"/>
              </w:rPr>
            </w:pPr>
            <w:r>
              <w:rPr>
                <w:rFonts w:ascii="Arial" w:hAnsi="Arial"/>
                <w:b/>
                <w:color w:val="222222"/>
                <w:sz w:val="20"/>
                <w:shd w:val="clear" w:color="auto" w:fill="FFFFFF"/>
              </w:rPr>
              <w:t>Programi Kombëtar për Integrimin në BE 2023-2027, </w:t>
            </w:r>
            <w:r>
              <w:rPr>
                <w:rFonts w:ascii="Arial" w:hAnsi="Arial"/>
                <w:color w:val="222222"/>
                <w:sz w:val="20"/>
                <w:shd w:val="clear" w:color="auto" w:fill="FFFFFF"/>
              </w:rPr>
              <w:t xml:space="preserve">si dokumenti kryesor kombëtar i politikave për anëtarësimin në BE, vendos një kuadër gjithëpërfshirës afatmesëm të të gjitha reformave të nevojshme për të përmbushur detyrimet që rrjedhin nga Marrëveshja e Stabilizim-Asociimit.  Ai përfshin gjithashtu veprime në lidhje me zbatimin e masave afatmesme që adresojnë kërkesat bazuar në kapitullin 27 (Mjedisi) të acquis të BE-së. </w:t>
            </w:r>
            <w:r>
              <w:rPr>
                <w:rFonts w:ascii="Arial" w:hAnsi="Arial"/>
                <w:b/>
                <w:color w:val="222222"/>
                <w:sz w:val="20"/>
                <w:shd w:val="clear" w:color="auto" w:fill="FFFFFF"/>
              </w:rPr>
              <w:t>Kapitulli 27 </w:t>
            </w:r>
            <w:r>
              <w:rPr>
                <w:rFonts w:ascii="Arial" w:hAnsi="Arial"/>
                <w:color w:val="222222"/>
                <w:sz w:val="20"/>
                <w:shd w:val="clear" w:color="auto" w:fill="FFFFFF"/>
              </w:rPr>
              <w:t>i acquis të BE-së mbulon politikën mjedisore të BE-së që synon të promovojë zhvillimin e qëndrueshëm dhe të mbrojë mjedisin për brezat e tanishëm dhe të ardhshëm. Ai bazohet në veprimet parandaluese, përkatësisht parimin “ndotësi paguan”, luftimi i dëmit mjedisor në burim, përgjegjësia e përbashkët dhe integrimi i mbrojtjes së mjedisit në politika të tjera të BE-së.</w:t>
            </w:r>
          </w:p>
          <w:p w14:paraId="07B55D33" w14:textId="7ED9F9A5" w:rsidR="004F09D0" w:rsidRPr="00BF5650" w:rsidRDefault="004F09D0">
            <w:pPr>
              <w:jc w:val="both"/>
              <w:rPr>
                <w:rFonts w:ascii="Arial" w:eastAsiaTheme="minorEastAsia" w:hAnsi="Arial" w:cs="Arial"/>
                <w:spacing w:val="-1"/>
                <w:w w:val="105"/>
                <w:sz w:val="20"/>
                <w:szCs w:val="20"/>
              </w:rPr>
            </w:pPr>
            <w:r>
              <w:rPr>
                <w:rFonts w:ascii="Arial" w:hAnsi="Arial"/>
                <w:b/>
                <w:sz w:val="20"/>
              </w:rPr>
              <w:t>Programi i Qeverisë së Republikës së Kosovës 2021/2025</w:t>
            </w:r>
            <w:r>
              <w:rPr>
                <w:rFonts w:ascii="Arial" w:hAnsi="Arial"/>
                <w:sz w:val="20"/>
              </w:rPr>
              <w:t xml:space="preserve"> </w:t>
            </w:r>
          </w:p>
          <w:p w14:paraId="53C51C35" w14:textId="77777777" w:rsidR="004F09D0" w:rsidRPr="00BF5650" w:rsidRDefault="004F09D0">
            <w:pPr>
              <w:jc w:val="both"/>
              <w:rPr>
                <w:rFonts w:ascii="Arial" w:eastAsiaTheme="minorEastAsia" w:hAnsi="Arial" w:cs="Arial"/>
                <w:sz w:val="20"/>
                <w:szCs w:val="20"/>
              </w:rPr>
            </w:pPr>
            <w:r>
              <w:rPr>
                <w:rFonts w:ascii="Arial" w:hAnsi="Arial"/>
                <w:sz w:val="20"/>
              </w:rPr>
              <w:t>2.12.3 Menaxhimi i ujërave dhe zhvillimi i infrastrukturës</w:t>
            </w:r>
          </w:p>
          <w:p w14:paraId="4BD7FD50" w14:textId="77777777" w:rsidR="004F09D0" w:rsidRPr="00BF5650" w:rsidRDefault="004F09D0">
            <w:pPr>
              <w:jc w:val="both"/>
              <w:rPr>
                <w:rFonts w:ascii="Arial" w:eastAsia="MS Mincho" w:hAnsi="Arial" w:cs="Arial"/>
                <w:color w:val="00B050"/>
                <w:sz w:val="20"/>
                <w:szCs w:val="20"/>
              </w:rPr>
            </w:pPr>
            <w:r>
              <w:rPr>
                <w:rFonts w:ascii="Arial" w:hAnsi="Arial"/>
                <w:sz w:val="20"/>
              </w:rPr>
              <w:t>Menaxhimi efektiv i burimeve ujore është parakusht për sigurimin e ujit në sasi të mjaftueshme, në cilësinë e duhur dhe në kohën dhe vendin e duhur, për nevojat e popullatës dhe zhvillimin ekonomik. Për rrjedhojë, menaxhimi efektiv i burimeve ujore është i një rëndësie themelore për mirëqenien sociale dhe zhvillimin e qëndrueshëm të çdo vendi. Për të arritur objektivat bazë lidhur me menaxhimin e burimeve ujore, që janë mbrojtja e ujit, 36 mbrojtje nga veprimet e dëmshme ujore dhe përdorimi efikas i ujit, ne do të përmirësojmë kornizën ligjore të ujit, i cili përfshin rishikimin e ligjit për ujërat ose hartimin e një ligji të ri, plotësimin e akteve nënligjore që kërkohen për zbatimin e ligjit, veçanërisht për koncesionet dhe hartimin e ligjit për financimin e burimeve ujore.</w:t>
            </w:r>
          </w:p>
        </w:tc>
      </w:tr>
      <w:tr w:rsidR="004F09D0" w:rsidRPr="00BF5650" w14:paraId="583340D6" w14:textId="77777777" w:rsidTr="004F09D0">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8E9BA4" w14:textId="77777777" w:rsidR="004F09D0" w:rsidRPr="00BF5650" w:rsidRDefault="004F09D0">
            <w:pPr>
              <w:spacing w:after="0" w:line="240" w:lineRule="auto"/>
              <w:jc w:val="both"/>
              <w:rPr>
                <w:rFonts w:ascii="Arial" w:eastAsiaTheme="minorHAnsi"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3796" w:type="pct"/>
            <w:tcBorders>
              <w:top w:val="single" w:sz="4" w:space="0" w:color="auto"/>
              <w:left w:val="single" w:sz="4" w:space="0" w:color="auto"/>
              <w:bottom w:val="single" w:sz="4" w:space="0" w:color="auto"/>
              <w:right w:val="single" w:sz="4" w:space="0" w:color="auto"/>
            </w:tcBorders>
          </w:tcPr>
          <w:p w14:paraId="759D04E6" w14:textId="1EE4842A" w:rsidR="00D5041E" w:rsidRPr="00BF5650" w:rsidRDefault="00D5041E" w:rsidP="00D5041E">
            <w:pPr>
              <w:autoSpaceDE w:val="0"/>
              <w:autoSpaceDN w:val="0"/>
              <w:adjustRightInd w:val="0"/>
              <w:spacing w:after="0" w:line="240" w:lineRule="auto"/>
              <w:jc w:val="both"/>
              <w:rPr>
                <w:rFonts w:ascii="Arial" w:hAnsi="Arial" w:cs="Arial"/>
                <w:b/>
                <w:sz w:val="20"/>
                <w:szCs w:val="20"/>
              </w:rPr>
            </w:pPr>
            <w:r>
              <w:rPr>
                <w:rFonts w:ascii="Arial" w:hAnsi="Arial"/>
                <w:b/>
                <w:sz w:val="20"/>
              </w:rPr>
              <w:t>Shqyrtimi i Strategjisë Shtetërore për Ujëra 2023 – 2027 dhe Planit të Veprimit 2023 - 2025</w:t>
            </w:r>
          </w:p>
          <w:p w14:paraId="23D1DDE6"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p>
          <w:p w14:paraId="453A7B39"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r>
              <w:rPr>
                <w:rFonts w:ascii="Arial" w:hAnsi="Arial"/>
                <w:sz w:val="20"/>
              </w:rPr>
              <w:t>Rishikimi i Strategjisë Shtetërore për Ujëra 2023-2027 synon menaxhimin sa më efektiv të burimeve ujore për të siguruar sasinë e ujit dhe cilësinë e duhur të tij, për nevojat e popullsisë dhe zhvillimin ekonomik. Ai përcakton objektivat specifike të burimeve ujore, duke filluar nga gjendja ekzistuese e sektorit të ujit, duke detajuar kërkesat, strukturat menaxhuese, kërkesat për mbrojtjen dhe përmirësimin e gjendjes së cilësisë së ujit dhe mbrojtjen nga uji.</w:t>
            </w:r>
          </w:p>
          <w:p w14:paraId="6F961C29"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p>
          <w:p w14:paraId="6CC344A8"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Objektivat strategjikë janë riformuluar në kuadër të periudhës 5-vjeçare: </w:t>
            </w:r>
          </w:p>
          <w:p w14:paraId="1A2DD34D"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1 - Përmirësimi i menaxhimit të ujit dhe konsolidimi i kornizës institucionale; </w:t>
            </w:r>
          </w:p>
          <w:p w14:paraId="6B0FE499"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2 - Siguria afatgjatë e ujit për përdoruesit dhe siguria e digave ekzistuese; Objektivi 3 - Mbrojtja e burimeve ujore dhe mbrojtja nga uji, sigurimi i mbrojtjes së ekosistemit dhe popullsisë; </w:t>
            </w:r>
          </w:p>
          <w:p w14:paraId="5BC1A130" w14:textId="77777777" w:rsidR="00D5041E" w:rsidRPr="00BF5650" w:rsidRDefault="00D5041E" w:rsidP="00D5041E">
            <w:pPr>
              <w:autoSpaceDE w:val="0"/>
              <w:autoSpaceDN w:val="0"/>
              <w:adjustRightInd w:val="0"/>
              <w:spacing w:after="0" w:line="240" w:lineRule="auto"/>
              <w:jc w:val="both"/>
              <w:rPr>
                <w:rFonts w:ascii="Arial" w:hAnsi="Arial" w:cs="Arial"/>
                <w:sz w:val="20"/>
                <w:szCs w:val="20"/>
              </w:rPr>
            </w:pPr>
            <w:r>
              <w:rPr>
                <w:rFonts w:ascii="Arial" w:hAnsi="Arial"/>
                <w:sz w:val="20"/>
              </w:rPr>
              <w:t>Objektivi 4 - Përmirësimi i besueshmërisë dhe cilësisë së shërbimeve të ujit.</w:t>
            </w:r>
          </w:p>
          <w:p w14:paraId="12FCB02E" w14:textId="4CF9DC6C" w:rsidR="004F09D0" w:rsidRPr="00BF5650" w:rsidRDefault="004F09D0">
            <w:pPr>
              <w:autoSpaceDE w:val="0"/>
              <w:autoSpaceDN w:val="0"/>
              <w:adjustRightInd w:val="0"/>
              <w:spacing w:after="0" w:line="240" w:lineRule="auto"/>
              <w:jc w:val="both"/>
              <w:rPr>
                <w:rFonts w:ascii="Arial" w:hAnsi="Arial" w:cs="Arial"/>
                <w:color w:val="000000"/>
                <w:sz w:val="20"/>
                <w:szCs w:val="20"/>
              </w:rPr>
            </w:pPr>
          </w:p>
          <w:p w14:paraId="02FF8378" w14:textId="77777777" w:rsidR="004F09D0" w:rsidRPr="00BF5650" w:rsidRDefault="004F09D0">
            <w:pPr>
              <w:autoSpaceDE w:val="0"/>
              <w:autoSpaceDN w:val="0"/>
              <w:adjustRightInd w:val="0"/>
              <w:spacing w:after="0" w:line="240" w:lineRule="auto"/>
              <w:jc w:val="both"/>
              <w:rPr>
                <w:rFonts w:ascii="Arial" w:eastAsiaTheme="minorHAnsi" w:hAnsi="Arial" w:cs="Arial"/>
                <w:b/>
                <w:bCs/>
                <w:sz w:val="20"/>
                <w:szCs w:val="20"/>
              </w:rPr>
            </w:pPr>
            <w:r>
              <w:rPr>
                <w:rFonts w:ascii="Arial" w:hAnsi="Arial"/>
                <w:b/>
                <w:sz w:val="20"/>
              </w:rPr>
              <w:t>Strategjia e Ndryshimeve Klimatike 2019-2028 dhe Plani i Veprimit 2019-2021</w:t>
            </w:r>
          </w:p>
          <w:p w14:paraId="1F635342" w14:textId="616A9489" w:rsidR="004F09D0" w:rsidRPr="00BF5650" w:rsidRDefault="004F09D0">
            <w:pPr>
              <w:autoSpaceDE w:val="0"/>
              <w:autoSpaceDN w:val="0"/>
              <w:adjustRightInd w:val="0"/>
              <w:spacing w:after="0" w:line="240" w:lineRule="auto"/>
              <w:jc w:val="both"/>
              <w:rPr>
                <w:rFonts w:ascii="Arial" w:hAnsi="Arial" w:cs="Arial"/>
                <w:sz w:val="20"/>
                <w:szCs w:val="20"/>
              </w:rPr>
            </w:pPr>
            <w:r>
              <w:rPr>
                <w:rFonts w:ascii="Arial" w:hAnsi="Arial"/>
                <w:b/>
                <w:sz w:val="20"/>
              </w:rPr>
              <w:t>Burimet ujore</w:t>
            </w:r>
            <w:r>
              <w:rPr>
                <w:rFonts w:ascii="Arial" w:hAnsi="Arial"/>
                <w:sz w:val="20"/>
              </w:rPr>
              <w:t>; Cilësia e ujit të lumenjve në Kosovë është e dobët për shkak të mungesës së impianteve për trajtimin e ujërave të zeza, depozitimit të mbeturinave përgjatë/ose afër brigjeve të lumenjve, mirëmbajtjes së dobët ose mungesës së shtretërve të lumenjve.</w:t>
            </w:r>
          </w:p>
          <w:p w14:paraId="407DDB74" w14:textId="3836AE79" w:rsidR="004F09D0" w:rsidRPr="00BF5650" w:rsidRDefault="004F09D0">
            <w:pPr>
              <w:spacing w:after="0"/>
              <w:jc w:val="both"/>
              <w:rPr>
                <w:rFonts w:ascii="Arial" w:hAnsi="Arial" w:cs="Arial"/>
                <w:sz w:val="20"/>
                <w:szCs w:val="20"/>
              </w:rPr>
            </w:pPr>
            <w:r>
              <w:rPr>
                <w:rFonts w:ascii="Arial" w:hAnsi="Arial"/>
                <w:sz w:val="20"/>
              </w:rPr>
              <w:t xml:space="preserve">Zakonisht cilësia e lumenjve në rrjedhën e sipërme përbën një habitat ujor të shëndetshëm dhe plotëson standardet mjedisore. Disa nga lumenjtë kryesorë në rrjedhën e poshtme të komunave dhe industrive më të mëdha janë shumë të ndotur dhe uji nuk mund të përdoret për furnizim me ujë ose për qëllime ujitjeje. Lumenjtë </w:t>
            </w:r>
            <w:r>
              <w:rPr>
                <w:rFonts w:ascii="Arial" w:hAnsi="Arial"/>
                <w:sz w:val="20"/>
              </w:rPr>
              <w:lastRenderedPageBreak/>
              <w:t>kryesorë në Kosovë i përkasin kategorisë së ndotjes 2 dhe 3, ndërsa Lumi Sitnica është kategorizuar si "lum i vdekur".</w:t>
            </w:r>
          </w:p>
          <w:p w14:paraId="3758BEC4" w14:textId="77777777" w:rsidR="004F09D0" w:rsidRPr="00BF5650" w:rsidRDefault="004F09D0">
            <w:pPr>
              <w:spacing w:after="0"/>
              <w:jc w:val="both"/>
              <w:rPr>
                <w:rFonts w:ascii="Arial" w:hAnsi="Arial" w:cs="Arial"/>
                <w:sz w:val="20"/>
                <w:szCs w:val="20"/>
              </w:rPr>
            </w:pPr>
          </w:p>
          <w:p w14:paraId="6820797F" w14:textId="7FF447D3" w:rsidR="00156CED" w:rsidRPr="00BF5650" w:rsidRDefault="00156CED" w:rsidP="00156CED">
            <w:pPr>
              <w:spacing w:after="0" w:line="240" w:lineRule="auto"/>
              <w:jc w:val="both"/>
              <w:rPr>
                <w:rFonts w:ascii="Arial" w:hAnsi="Arial" w:cs="Arial"/>
                <w:sz w:val="20"/>
                <w:szCs w:val="20"/>
              </w:rPr>
            </w:pPr>
            <w:r>
              <w:rPr>
                <w:rFonts w:ascii="Arial" w:hAnsi="Arial"/>
                <w:sz w:val="20"/>
              </w:rPr>
              <w:t>- Masterplani për “Asgjësimin e ujërave të zeza Kosova – faza I” për të gjithë zonën e shërbimit të KRU “Prishtina” lidhur me grumbullimin, trajtimin dhe largimin e ujërave të zeza si dhe menaxhimin e ujërave të stuhisë dhe përgatitjen e Studimit të Fizibilitetit për Prishtinë, Fushë Kosovë, Obiliq dhe Graçanicë (dhe Aglomerate të tjera të përcaktuara në Kluster brenda Masterplanit) në lidhje me grumbullimin e ujërave të zeza dhe të shiut. Masterplani përvijon nevojën për ndërtimin e ITUZ në Podujevë, duke qenë zona e dytë më e madhe e mbuluar nga KRU.</w:t>
            </w:r>
          </w:p>
          <w:p w14:paraId="40E1DB79" w14:textId="77777777" w:rsidR="00156CED" w:rsidRPr="00BF5650" w:rsidRDefault="00156CED" w:rsidP="00156CED">
            <w:pPr>
              <w:spacing w:after="0" w:line="240" w:lineRule="auto"/>
              <w:jc w:val="both"/>
              <w:rPr>
                <w:rFonts w:ascii="Arial" w:hAnsi="Arial" w:cs="Arial"/>
                <w:sz w:val="20"/>
                <w:szCs w:val="20"/>
              </w:rPr>
            </w:pPr>
            <w:r>
              <w:rPr>
                <w:rFonts w:ascii="Arial" w:hAnsi="Arial"/>
                <w:sz w:val="20"/>
              </w:rPr>
              <w:t>-Masterplani strategjik i kanalizimeve dhe ujërave të zeza për pellgun e lumit Moravë Perëndimore, 2012 – Ky Masterplan synon të trajtojë</w:t>
            </w:r>
          </w:p>
          <w:p w14:paraId="5025E0F0" w14:textId="2DBE0DC1" w:rsidR="00156CED" w:rsidRPr="00BF5650" w:rsidRDefault="00156CED" w:rsidP="001B417E">
            <w:pPr>
              <w:spacing w:after="0" w:line="240" w:lineRule="auto"/>
              <w:jc w:val="both"/>
              <w:rPr>
                <w:rFonts w:ascii="Arial" w:hAnsi="Arial" w:cs="Arial"/>
                <w:sz w:val="20"/>
                <w:szCs w:val="20"/>
              </w:rPr>
            </w:pPr>
            <w:r>
              <w:rPr>
                <w:rFonts w:ascii="Arial" w:hAnsi="Arial"/>
                <w:sz w:val="20"/>
              </w:rPr>
              <w:t>përmirësimin e cilësisë së ujit në pellgun e lumit Morava Perëndimore në Serbi. Siç qëndron, të gjitha ujërat e zeza të patrajtuara nga Komuna e Podujevës derdhen në lumin Sitnica, i cili bashkohet me Ibrin në Mitrovicë dhe rrjedhimisht rrjedh në veri në Moravë dhe përfundimisht në Danub në Serbi, studimi thekson nevojën për të trajtuar ujërat e zeza para shkarkimit në rrjedhat e lumenjve.</w:t>
            </w:r>
          </w:p>
        </w:tc>
      </w:tr>
    </w:tbl>
    <w:p w14:paraId="12D53532" w14:textId="126A20EA" w:rsidR="006F1611" w:rsidRPr="00BF5650" w:rsidRDefault="006F1611">
      <w:pPr>
        <w:spacing w:after="0" w:line="240" w:lineRule="auto"/>
        <w:rPr>
          <w:rFonts w:ascii="Arial" w:hAnsi="Arial" w:cs="Arial"/>
        </w:rPr>
      </w:pPr>
    </w:p>
    <w:p w14:paraId="18667950" w14:textId="77777777" w:rsidR="006F1611" w:rsidRPr="00BF5650" w:rsidRDefault="0074067A" w:rsidP="00E377E2">
      <w:pPr>
        <w:pStyle w:val="ListParagraph"/>
        <w:numPr>
          <w:ilvl w:val="0"/>
          <w:numId w:val="2"/>
        </w:numPr>
        <w:spacing w:before="200" w:after="120"/>
        <w:rPr>
          <w:rFonts w:cs="Arial"/>
          <w:b/>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128F1" w:rsidRPr="00BF5650" w14:paraId="33BE73E9"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E48A3BE" w14:textId="77777777" w:rsidR="007128F1" w:rsidRPr="00BF5650" w:rsidRDefault="007128F1" w:rsidP="007128F1">
            <w:pPr>
              <w:spacing w:after="0" w:line="240" w:lineRule="auto"/>
              <w:rPr>
                <w:rFonts w:ascii="Arial" w:hAnsi="Arial" w:cs="Arial"/>
                <w:sz w:val="20"/>
                <w:szCs w:val="20"/>
              </w:rPr>
            </w:pPr>
            <w:r>
              <w:rPr>
                <w:rFonts w:ascii="Arial" w:hAnsi="Arial"/>
                <w:b/>
                <w:sz w:val="20"/>
              </w:rPr>
              <w:t>Shpjegoni veçoritë e projektit në lidhje me:</w:t>
            </w:r>
          </w:p>
        </w:tc>
      </w:tr>
      <w:tr w:rsidR="007128F1" w:rsidRPr="00BF5650" w14:paraId="6B69C9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C717ADA" w14:textId="56B31973" w:rsidR="007128F1" w:rsidRPr="00BF5650" w:rsidRDefault="0010415D" w:rsidP="007128F1">
            <w:pPr>
              <w:spacing w:after="0" w:line="240" w:lineRule="auto"/>
              <w:rPr>
                <w:rFonts w:ascii="Arial" w:hAnsi="Arial" w:cs="Arial"/>
                <w:sz w:val="20"/>
                <w:szCs w:val="20"/>
              </w:rPr>
            </w:pPr>
            <w:r>
              <w:rPr>
                <w:rFonts w:ascii="Arial" w:hAnsi="Arial"/>
                <w:sz w:val="20"/>
              </w:rPr>
              <w:t>Përfitimet e</w:t>
            </w:r>
            <w:r w:rsidR="007128F1">
              <w:rPr>
                <w:rFonts w:ascii="Arial" w:hAnsi="Arial"/>
                <w:sz w:val="20"/>
              </w:rPr>
              <w:t xml:space="preserv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1882C26F" w14:textId="458602D6" w:rsidR="007128F1" w:rsidRPr="00BF5650" w:rsidRDefault="00BF03F0" w:rsidP="003F090F">
            <w:pPr>
              <w:spacing w:after="0" w:line="240" w:lineRule="auto"/>
              <w:jc w:val="both"/>
              <w:rPr>
                <w:rFonts w:ascii="Arial" w:hAnsi="Arial" w:cs="Arial"/>
                <w:sz w:val="20"/>
                <w:szCs w:val="20"/>
              </w:rPr>
            </w:pPr>
            <w:r>
              <w:rPr>
                <w:rFonts w:ascii="Arial" w:hAnsi="Arial"/>
                <w:sz w:val="20"/>
              </w:rPr>
              <w:t xml:space="preserve">Projekti pritet të çojë në mbrojtjen e burimeve ujore sipërfaqësore dhe nëntokësore dhe përshtatjen ndaj ndryshimeve klimatike, duke reduktuar ndikimin negativ të shkarkimeve të ujërave të zeza. </w:t>
            </w:r>
          </w:p>
        </w:tc>
      </w:tr>
      <w:tr w:rsidR="007128F1" w:rsidRPr="00BF5650" w14:paraId="6688E150"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4644802" w14:textId="522ABFA8" w:rsidR="007128F1" w:rsidRPr="00BF5650" w:rsidRDefault="0010415D" w:rsidP="007128F1">
            <w:pPr>
              <w:spacing w:after="0" w:line="240" w:lineRule="auto"/>
              <w:rPr>
                <w:rFonts w:ascii="Arial" w:hAnsi="Arial" w:cs="Arial"/>
                <w:sz w:val="20"/>
                <w:szCs w:val="20"/>
              </w:rPr>
            </w:pPr>
            <w:r>
              <w:rPr>
                <w:rFonts w:ascii="Arial" w:hAnsi="Arial"/>
                <w:sz w:val="20"/>
              </w:rPr>
              <w:t>Kontributin</w:t>
            </w:r>
            <w:r w:rsidR="007128F1">
              <w:rPr>
                <w:rFonts w:ascii="Arial" w:hAnsi="Arial"/>
                <w:sz w:val="20"/>
              </w:rPr>
              <w:t xml:space="preserve"> në reduktimin e CO</w:t>
            </w:r>
            <w:r w:rsidR="007128F1">
              <w:rPr>
                <w:rFonts w:ascii="Arial" w:hAnsi="Arial"/>
                <w:sz w:val="20"/>
                <w:vertAlign w:val="subscript"/>
              </w:rPr>
              <w:t>2</w:t>
            </w:r>
            <w:r w:rsidR="007128F1">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262B4F2B" w14:textId="77777777" w:rsidR="007128F1" w:rsidRPr="00BF5650" w:rsidRDefault="001B2A49" w:rsidP="001B2A49">
            <w:pPr>
              <w:spacing w:after="0" w:line="240" w:lineRule="auto"/>
              <w:jc w:val="both"/>
              <w:rPr>
                <w:rFonts w:ascii="Arial" w:hAnsi="Arial" w:cs="Arial"/>
                <w:sz w:val="20"/>
                <w:szCs w:val="20"/>
              </w:rPr>
            </w:pPr>
            <w:r>
              <w:rPr>
                <w:rFonts w:ascii="Arial" w:hAnsi="Arial"/>
                <w:sz w:val="20"/>
              </w:rPr>
              <w:t>Do të përcaktohet me Studimin e Fizibilitetit që do të zbatohet në kuadër të Projektit.</w:t>
            </w:r>
          </w:p>
        </w:tc>
      </w:tr>
      <w:tr w:rsidR="007128F1" w:rsidRPr="00BF5650" w14:paraId="1DF285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C3898D9" w14:textId="77777777" w:rsidR="007128F1" w:rsidRPr="00BF5650" w:rsidRDefault="007128F1" w:rsidP="007128F1">
            <w:pPr>
              <w:spacing w:after="0" w:line="240" w:lineRule="auto"/>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124C8E0F" w14:textId="756A5095" w:rsidR="007128F1" w:rsidRPr="00BF5650" w:rsidRDefault="00BF03F0" w:rsidP="003F090F">
            <w:pPr>
              <w:spacing w:after="0" w:line="240" w:lineRule="auto"/>
              <w:jc w:val="both"/>
              <w:rPr>
                <w:rFonts w:ascii="Arial" w:hAnsi="Arial" w:cs="Arial"/>
                <w:sz w:val="20"/>
                <w:szCs w:val="20"/>
              </w:rPr>
            </w:pPr>
            <w:r>
              <w:rPr>
                <w:rFonts w:ascii="Arial" w:hAnsi="Arial"/>
                <w:sz w:val="20"/>
              </w:rPr>
              <w:t>Projekti pritet të përmirësojë cilësinë e jetës për rreth 81,500 banorë në zonën e shërbimit, duke kontribuar në një reduktim të rrezikut shëndetësor dhe duke ofruar kështu një ndikim të rëndësishëm pozitiv në shëndetin publik. Ai gjithashtu do të adresojë problemet e kontaminimit të ujërave nëntokësore dhe sipërfaqësore, si dhe kanalizimet e dobëta, duke përmirësuar kështu cilësinë e ujit të pijes.</w:t>
            </w:r>
          </w:p>
        </w:tc>
      </w:tr>
      <w:tr w:rsidR="007128F1" w:rsidRPr="00BF5650" w14:paraId="32B9C5C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BE6447E" w14:textId="72E92E37" w:rsidR="007128F1" w:rsidRPr="00BF5650" w:rsidRDefault="0010415D" w:rsidP="007128F1">
            <w:pPr>
              <w:spacing w:after="0" w:line="240" w:lineRule="auto"/>
              <w:rPr>
                <w:rFonts w:ascii="Arial" w:hAnsi="Arial" w:cs="Arial"/>
                <w:sz w:val="20"/>
                <w:szCs w:val="20"/>
              </w:rPr>
            </w:pPr>
            <w:r>
              <w:rPr>
                <w:rFonts w:ascii="Arial" w:hAnsi="Arial"/>
                <w:sz w:val="20"/>
              </w:rPr>
              <w:t>Shkallën në të cilën</w:t>
            </w:r>
            <w:r w:rsidR="007128F1">
              <w:rPr>
                <w:rFonts w:ascii="Arial" w:hAnsi="Arial"/>
                <w:sz w:val="20"/>
              </w:rPr>
              <w:t xml:space="preserve"> 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4BDE85A4" w14:textId="77777777" w:rsidR="007128F1" w:rsidRPr="00BF5650" w:rsidRDefault="00616F41" w:rsidP="00616F41">
            <w:pPr>
              <w:spacing w:after="0" w:line="240" w:lineRule="auto"/>
              <w:jc w:val="both"/>
              <w:rPr>
                <w:rFonts w:ascii="Arial" w:hAnsi="Arial" w:cs="Arial"/>
                <w:sz w:val="20"/>
                <w:szCs w:val="20"/>
              </w:rPr>
            </w:pPr>
            <w:r>
              <w:rPr>
                <w:rFonts w:ascii="Arial" w:hAnsi="Arial"/>
                <w:sz w:val="20"/>
              </w:rPr>
              <w:t>Projekt që përfundimisht do të përmirësojë grumbullimin dhe trajtimin e ujërave të zeza në Komunën e Podujevës dhe vendbanimet e saj me 81,500 banorë në zonën e projektit dhe më gjerë, duke pasur parasysh se rrjedhat e ndotura të lumenjve rrjedhin në veri në Morava dhe përfundimisht në Danub në Serbi, duke shkaktuar ndikim negativ në shëndetin publik.</w:t>
            </w:r>
          </w:p>
        </w:tc>
      </w:tr>
      <w:tr w:rsidR="007128F1" w:rsidRPr="00BF5650" w14:paraId="29F93F90"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E493DF" w14:textId="77777777" w:rsidR="007128F1" w:rsidRPr="00BF5650" w:rsidRDefault="007128F1" w:rsidP="007128F1">
            <w:pPr>
              <w:spacing w:after="0" w:line="240" w:lineRule="auto"/>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2B09972C" w14:textId="77777777" w:rsidR="007128F1" w:rsidRPr="00BF5650" w:rsidRDefault="00BF03F0" w:rsidP="00616F41">
            <w:pPr>
              <w:spacing w:after="0" w:line="240" w:lineRule="auto"/>
              <w:jc w:val="both"/>
              <w:rPr>
                <w:rFonts w:ascii="Arial" w:hAnsi="Arial" w:cs="Arial"/>
                <w:sz w:val="20"/>
                <w:szCs w:val="20"/>
              </w:rPr>
            </w:pPr>
            <w:r>
              <w:rPr>
                <w:rFonts w:ascii="Arial" w:hAnsi="Arial"/>
                <w:sz w:val="20"/>
              </w:rPr>
              <w:t>Projekti është në një fazë të hershme të përgatitjes si i tillë, Studimi i Fizibilitetit që do të kryhet nën këtë TA do të përcaktojë më tej në detaje qëndrueshmërinë ekonomike dhe financiare të investimit të pritshëm.</w:t>
            </w:r>
          </w:p>
        </w:tc>
      </w:tr>
      <w:tr w:rsidR="007128F1" w:rsidRPr="00BF5650" w14:paraId="08C2085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A084337" w14:textId="77777777" w:rsidR="007128F1" w:rsidRPr="00BF5650" w:rsidRDefault="007128F1" w:rsidP="007128F1">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0A076EE6" w14:textId="77777777" w:rsidR="007128F1" w:rsidRPr="00BF5650" w:rsidRDefault="00616F41" w:rsidP="00616F41">
            <w:pPr>
              <w:spacing w:after="0" w:line="240" w:lineRule="auto"/>
              <w:rPr>
                <w:rFonts w:ascii="Arial" w:hAnsi="Arial" w:cs="Arial"/>
                <w:sz w:val="20"/>
                <w:szCs w:val="20"/>
              </w:rPr>
            </w:pPr>
            <w:r>
              <w:rPr>
                <w:rFonts w:ascii="Arial" w:hAnsi="Arial"/>
                <w:sz w:val="20"/>
              </w:rPr>
              <w:t>Ndryshimi i qeverisë/ndërhyrjet politike në zgjedhje</w:t>
            </w:r>
          </w:p>
          <w:p w14:paraId="5A361FD5" w14:textId="77777777" w:rsidR="00616F41" w:rsidRPr="00BF5650" w:rsidRDefault="00616F41" w:rsidP="00616F41">
            <w:pPr>
              <w:spacing w:after="0" w:line="240" w:lineRule="auto"/>
              <w:rPr>
                <w:rFonts w:ascii="Arial" w:hAnsi="Arial" w:cs="Arial"/>
                <w:sz w:val="20"/>
                <w:szCs w:val="20"/>
              </w:rPr>
            </w:pPr>
            <w:r>
              <w:rPr>
                <w:rFonts w:ascii="Arial" w:hAnsi="Arial"/>
                <w:sz w:val="20"/>
              </w:rPr>
              <w:t>Rritja e tarifave të kanalizimeve</w:t>
            </w:r>
          </w:p>
          <w:p w14:paraId="697003A5" w14:textId="77777777" w:rsidR="00616F41" w:rsidRPr="00BF5650" w:rsidRDefault="00616F41" w:rsidP="00616F41">
            <w:pPr>
              <w:spacing w:after="0" w:line="240" w:lineRule="auto"/>
              <w:rPr>
                <w:rFonts w:ascii="Arial" w:hAnsi="Arial" w:cs="Arial"/>
                <w:sz w:val="20"/>
                <w:szCs w:val="20"/>
              </w:rPr>
            </w:pPr>
            <w:r>
              <w:rPr>
                <w:rFonts w:ascii="Arial" w:hAnsi="Arial"/>
                <w:sz w:val="20"/>
              </w:rPr>
              <w:t>Mungesa e burimeve financiare për realizimin e Projektit</w:t>
            </w:r>
          </w:p>
          <w:p w14:paraId="0948C5E8" w14:textId="77777777" w:rsidR="00616F41" w:rsidRPr="00BF5650" w:rsidRDefault="00616F41" w:rsidP="00616F41">
            <w:pPr>
              <w:spacing w:after="0" w:line="240" w:lineRule="auto"/>
              <w:rPr>
                <w:rFonts w:ascii="Arial" w:hAnsi="Arial" w:cs="Arial"/>
                <w:sz w:val="20"/>
                <w:szCs w:val="20"/>
              </w:rPr>
            </w:pPr>
            <w:r>
              <w:rPr>
                <w:rFonts w:ascii="Arial" w:hAnsi="Arial"/>
                <w:sz w:val="20"/>
              </w:rPr>
              <w:t>Ndodhja e përmbytjeve</w:t>
            </w:r>
          </w:p>
          <w:p w14:paraId="47DD1D83" w14:textId="77777777" w:rsidR="00616F41" w:rsidRPr="00BF5650" w:rsidRDefault="00616F41" w:rsidP="00616F41">
            <w:pPr>
              <w:spacing w:after="0" w:line="240" w:lineRule="auto"/>
              <w:rPr>
                <w:rFonts w:ascii="Arial" w:hAnsi="Arial" w:cs="Arial"/>
                <w:sz w:val="20"/>
                <w:szCs w:val="20"/>
              </w:rPr>
            </w:pPr>
            <w:r>
              <w:rPr>
                <w:rFonts w:ascii="Arial" w:hAnsi="Arial"/>
                <w:sz w:val="20"/>
              </w:rPr>
              <w:t>Mungesa e kapaciteteve njerëzore/stafit të kualifikuar për teknologjinë e re</w:t>
            </w:r>
          </w:p>
        </w:tc>
      </w:tr>
      <w:tr w:rsidR="007128F1" w:rsidRPr="00BF5650" w14:paraId="0F978C4C"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6C63AE9" w14:textId="77777777" w:rsidR="007128F1" w:rsidRPr="00BF5650" w:rsidRDefault="007128F1" w:rsidP="007128F1">
            <w:pPr>
              <w:spacing w:after="0" w:line="240" w:lineRule="auto"/>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393A8F6A" w14:textId="3A0E7065" w:rsidR="0038288D" w:rsidRPr="00BF5650" w:rsidRDefault="0038288D" w:rsidP="0038288D">
            <w:pPr>
              <w:jc w:val="both"/>
              <w:rPr>
                <w:rFonts w:ascii="Arial" w:hAnsi="Arial" w:cs="Arial"/>
                <w:spacing w:val="-1"/>
                <w:w w:val="105"/>
                <w:sz w:val="20"/>
                <w:szCs w:val="20"/>
              </w:rPr>
            </w:pPr>
            <w:r>
              <w:rPr>
                <w:rFonts w:ascii="Arial" w:hAnsi="Arial"/>
                <w:b/>
                <w:sz w:val="20"/>
              </w:rPr>
              <w:t>Kompania Rajonale e Ujësjellësit Prishtinë</w:t>
            </w:r>
            <w:r>
              <w:rPr>
                <w:rFonts w:ascii="Arial" w:hAnsi="Arial"/>
                <w:sz w:val="20"/>
              </w:rPr>
              <w:t xml:space="preserve"> - Si përfitues, përdorues-fundor dhe pronar i infrastrukturës së ujërave të zeza KRU ka një rol kyç për të luajtur. Ata do të kenë përgjegjësinë për shqyrtimin teknik të dizajnit të projektit. Pas pranim-dorëzimit ata do të jenë përgjegjës për financimin e plotë të të gjitha kostove operative dhe të mirëmbajtjes që lidhen me ITUZ. </w:t>
            </w:r>
          </w:p>
          <w:p w14:paraId="169CA921" w14:textId="579B79DB" w:rsidR="0038288D" w:rsidRPr="00BF5650" w:rsidRDefault="0038288D" w:rsidP="0038288D">
            <w:pPr>
              <w:jc w:val="both"/>
              <w:rPr>
                <w:rFonts w:ascii="Arial" w:hAnsi="Arial" w:cs="Arial"/>
                <w:spacing w:val="-1"/>
                <w:w w:val="105"/>
                <w:sz w:val="20"/>
                <w:szCs w:val="20"/>
              </w:rPr>
            </w:pPr>
            <w:r>
              <w:rPr>
                <w:rFonts w:ascii="Arial" w:hAnsi="Arial"/>
                <w:b/>
                <w:sz w:val="20"/>
              </w:rPr>
              <w:t>Ministria e Ekonomisë</w:t>
            </w:r>
            <w:r>
              <w:rPr>
                <w:rFonts w:ascii="Arial" w:hAnsi="Arial"/>
                <w:sz w:val="20"/>
              </w:rPr>
              <w:t xml:space="preserve"> - Ministria e Ekonomisë, përmes Njësisë së saj për Politika dhe Monitorim (NjPM) për Ndërmarrjet Publike mbikëqyr afarizmin e ndërmarrjeve publike (përfshirë kompanitë </w:t>
            </w:r>
            <w:r>
              <w:rPr>
                <w:rFonts w:ascii="Arial" w:hAnsi="Arial"/>
                <w:sz w:val="20"/>
              </w:rPr>
              <w:lastRenderedPageBreak/>
              <w:t>rajonale të ujësjellësit) në Republikën e Kosovës dhe siguron funksionimin e tyre të përgjegjshëm dhe transparent. MZHE, përmes kësaj Njësie, mbikëqyr të 7 Kompanitë Rajonale të Ujësjellësit përgjegjës për ofrimin e shërbimeve të ujit (d.m.th., furnizimi me ujë, grumbullimi dhe trajtimi i ujërave të zeza). Prandaj, KRU-të janë përfituesit përfundimtarë të projekteve të tilla dhe janë përgjegjëse para MZHE-së. Ata së bashku janë përgjegjës për financimin e projekteve të infrastrukturës ujore, përfshirë punimet rehabilituese.</w:t>
            </w:r>
          </w:p>
          <w:p w14:paraId="131125BE" w14:textId="1BB1ED3F" w:rsidR="0038288D" w:rsidRPr="00BF5650" w:rsidRDefault="0038288D" w:rsidP="0038288D">
            <w:pPr>
              <w:jc w:val="both"/>
              <w:rPr>
                <w:rFonts w:ascii="Arial" w:hAnsi="Arial" w:cs="Arial"/>
                <w:spacing w:val="-1"/>
                <w:w w:val="105"/>
                <w:sz w:val="20"/>
                <w:szCs w:val="20"/>
              </w:rPr>
            </w:pPr>
            <w:r>
              <w:rPr>
                <w:rFonts w:ascii="Arial" w:hAnsi="Arial"/>
                <w:b/>
                <w:sz w:val="20"/>
              </w:rPr>
              <w:t>Ministria e Mjedisit, Planifikimit Hapësinor dhe Infrastrukturës</w:t>
            </w:r>
            <w:r>
              <w:rPr>
                <w:rFonts w:ascii="Arial" w:hAnsi="Arial"/>
                <w:sz w:val="20"/>
              </w:rPr>
              <w:t xml:space="preserve"> - MMPHI do të ketë një rol jetik në sigurimin e përmbushjes së standardeve mjedisore (vlerat kufitare të shkarkimit, etj.) dhe rrjedhave ujore në zonën e Podujevës të cilat do të kenë një efekt të dobishëm në rajon. MMPHI është gjithashtu përgjegjës për të gjitha lejet e lëshuara të nevojshme (ujë, ndërtim, VNM, etj.) dhe për shpronësimet.</w:t>
            </w:r>
          </w:p>
          <w:p w14:paraId="4DCEBF8E" w14:textId="4B076012" w:rsidR="007128F1" w:rsidRPr="00BF5650" w:rsidRDefault="0038288D" w:rsidP="00DB7347">
            <w:pPr>
              <w:jc w:val="both"/>
              <w:rPr>
                <w:rFonts w:ascii="Arial" w:hAnsi="Arial" w:cs="Arial"/>
                <w:spacing w:val="-1"/>
                <w:w w:val="105"/>
                <w:sz w:val="20"/>
                <w:szCs w:val="20"/>
              </w:rPr>
            </w:pPr>
            <w:r>
              <w:rPr>
                <w:rFonts w:ascii="Arial" w:hAnsi="Arial"/>
                <w:b/>
                <w:sz w:val="20"/>
              </w:rPr>
              <w:t xml:space="preserve">Komuna e Podujevës </w:t>
            </w:r>
            <w:r>
              <w:rPr>
                <w:rFonts w:ascii="Arial" w:hAnsi="Arial"/>
                <w:sz w:val="20"/>
              </w:rPr>
              <w:t>- Investitori kryesor në rrjetin e kanalizimeve. Koordinimi me komunën është jetik për të siguruar që infrastruktura e ujërave të zeza të jetë e koordinuar me infrastrukturën tjetër në zonë.</w:t>
            </w:r>
          </w:p>
        </w:tc>
      </w:tr>
    </w:tbl>
    <w:p w14:paraId="43EDEDB1" w14:textId="77777777" w:rsidR="0074067A" w:rsidRPr="00BF5650" w:rsidRDefault="0074067A" w:rsidP="001C2CAF">
      <w:pPr>
        <w:pStyle w:val="Heading1"/>
        <w:spacing w:before="240" w:after="120"/>
        <w:jc w:val="center"/>
        <w:rPr>
          <w:rFonts w:ascii="Arial" w:hAnsi="Arial" w:cs="Arial"/>
          <w:color w:val="auto"/>
          <w:sz w:val="24"/>
          <w:szCs w:val="24"/>
        </w:rPr>
      </w:pPr>
      <w:r>
        <w:rPr>
          <w:rFonts w:ascii="Arial" w:hAnsi="Arial"/>
          <w:color w:val="auto"/>
          <w:sz w:val="24"/>
        </w:rPr>
        <w:lastRenderedPageBreak/>
        <w:t>Pjesa e dytë</w:t>
      </w:r>
    </w:p>
    <w:p w14:paraId="19C46DFA" w14:textId="77777777" w:rsidR="0074067A" w:rsidRPr="00BF5650" w:rsidRDefault="0074067A" w:rsidP="00E377E2">
      <w:pPr>
        <w:pStyle w:val="ListParagraph"/>
        <w:numPr>
          <w:ilvl w:val="0"/>
          <w:numId w:val="2"/>
        </w:numPr>
        <w:spacing w:after="120"/>
        <w:rPr>
          <w:rFonts w:cs="Arial"/>
          <w:b/>
        </w:rPr>
      </w:pPr>
      <w:r>
        <w:rPr>
          <w:b/>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128F1" w:rsidRPr="00BF5650" w14:paraId="58299A6C" w14:textId="77777777" w:rsidTr="007128F1">
        <w:trPr>
          <w:trHeight w:val="417"/>
          <w:jc w:val="center"/>
        </w:trPr>
        <w:tc>
          <w:tcPr>
            <w:tcW w:w="2839" w:type="pct"/>
            <w:shd w:val="clear" w:color="auto" w:fill="D9D9D9" w:themeFill="background1" w:themeFillShade="D9"/>
            <w:vAlign w:val="center"/>
          </w:tcPr>
          <w:p w14:paraId="1FBBDF06" w14:textId="77777777" w:rsidR="007128F1" w:rsidRPr="00BF5650" w:rsidRDefault="007128F1" w:rsidP="007128F1">
            <w:pPr>
              <w:spacing w:after="0" w:line="240" w:lineRule="auto"/>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05679C6F"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72E90B17"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715B571B"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Nuk ka filluar ende</w:t>
            </w:r>
          </w:p>
        </w:tc>
      </w:tr>
      <w:tr w:rsidR="007128F1" w:rsidRPr="00BF5650" w14:paraId="5D20B5DE" w14:textId="77777777" w:rsidTr="007128F1">
        <w:trPr>
          <w:trHeight w:val="417"/>
          <w:jc w:val="center"/>
        </w:trPr>
        <w:tc>
          <w:tcPr>
            <w:tcW w:w="2839" w:type="pct"/>
            <w:shd w:val="clear" w:color="auto" w:fill="D9D9D9"/>
            <w:vAlign w:val="center"/>
          </w:tcPr>
          <w:p w14:paraId="4F160590" w14:textId="77777777" w:rsidR="007128F1" w:rsidRPr="00BF5650" w:rsidRDefault="007128F1" w:rsidP="007128F1">
            <w:pPr>
              <w:spacing w:after="0" w:line="240" w:lineRule="auto"/>
              <w:rPr>
                <w:rFonts w:ascii="Arial" w:hAnsi="Arial" w:cs="Arial"/>
                <w:sz w:val="20"/>
                <w:szCs w:val="20"/>
              </w:rPr>
            </w:pPr>
            <w:r>
              <w:rPr>
                <w:rFonts w:ascii="Arial" w:hAnsi="Arial"/>
                <w:sz w:val="20"/>
              </w:rPr>
              <w:t>Idea konceptuale</w:t>
            </w:r>
          </w:p>
        </w:tc>
        <w:tc>
          <w:tcPr>
            <w:tcW w:w="800" w:type="pct"/>
            <w:vAlign w:val="center"/>
          </w:tcPr>
          <w:p w14:paraId="1AE04779"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29229E7D"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3026D75C" w14:textId="77777777" w:rsidR="007128F1" w:rsidRPr="00BF5650" w:rsidRDefault="007128F1" w:rsidP="007128F1">
            <w:pPr>
              <w:spacing w:after="0" w:line="240" w:lineRule="auto"/>
              <w:jc w:val="center"/>
              <w:rPr>
                <w:rFonts w:ascii="Arial" w:hAnsi="Arial" w:cs="Arial"/>
                <w:sz w:val="20"/>
                <w:szCs w:val="20"/>
              </w:rPr>
            </w:pPr>
          </w:p>
        </w:tc>
      </w:tr>
      <w:tr w:rsidR="007128F1" w:rsidRPr="00BF5650" w14:paraId="48320783" w14:textId="77777777" w:rsidTr="007128F1">
        <w:trPr>
          <w:trHeight w:val="417"/>
          <w:jc w:val="center"/>
        </w:trPr>
        <w:tc>
          <w:tcPr>
            <w:tcW w:w="2839" w:type="pct"/>
            <w:shd w:val="clear" w:color="auto" w:fill="D9D9D9"/>
            <w:vAlign w:val="center"/>
          </w:tcPr>
          <w:p w14:paraId="4AEDF07F" w14:textId="77777777" w:rsidR="007128F1" w:rsidRPr="00BF5650" w:rsidRDefault="007128F1" w:rsidP="007128F1">
            <w:pPr>
              <w:spacing w:after="0" w:line="240" w:lineRule="auto"/>
              <w:rPr>
                <w:rFonts w:ascii="Arial" w:hAnsi="Arial" w:cs="Arial"/>
                <w:sz w:val="20"/>
                <w:szCs w:val="20"/>
              </w:rPr>
            </w:pPr>
            <w:r>
              <w:rPr>
                <w:rFonts w:ascii="Arial" w:hAnsi="Arial"/>
                <w:sz w:val="20"/>
              </w:rPr>
              <w:t>Studimi paraprak i fizibilitetit</w:t>
            </w:r>
          </w:p>
        </w:tc>
        <w:tc>
          <w:tcPr>
            <w:tcW w:w="800" w:type="pct"/>
            <w:vAlign w:val="center"/>
          </w:tcPr>
          <w:p w14:paraId="253012BA"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404B3433" w14:textId="1CDC5294" w:rsidR="007128F1" w:rsidRPr="00BF5650" w:rsidRDefault="008748BB" w:rsidP="007128F1">
            <w:pPr>
              <w:spacing w:after="0" w:line="240" w:lineRule="auto"/>
              <w:jc w:val="center"/>
              <w:rPr>
                <w:rFonts w:ascii="Arial" w:hAnsi="Arial" w:cs="Arial"/>
                <w:sz w:val="20"/>
                <w:szCs w:val="20"/>
              </w:rPr>
            </w:pPr>
            <w:r>
              <w:rPr>
                <w:rFonts w:ascii="Arial" w:hAnsi="Arial"/>
                <w:sz w:val="20"/>
              </w:rPr>
              <w:t>X</w:t>
            </w:r>
          </w:p>
        </w:tc>
        <w:tc>
          <w:tcPr>
            <w:tcW w:w="649" w:type="pct"/>
            <w:vAlign w:val="center"/>
          </w:tcPr>
          <w:p w14:paraId="201E5F12" w14:textId="4B58C65D" w:rsidR="007128F1" w:rsidRPr="00BF5650" w:rsidRDefault="007128F1" w:rsidP="007128F1">
            <w:pPr>
              <w:spacing w:after="0" w:line="240" w:lineRule="auto"/>
              <w:jc w:val="center"/>
              <w:rPr>
                <w:rFonts w:ascii="Arial" w:hAnsi="Arial" w:cs="Arial"/>
                <w:sz w:val="20"/>
                <w:szCs w:val="20"/>
              </w:rPr>
            </w:pPr>
          </w:p>
        </w:tc>
      </w:tr>
      <w:tr w:rsidR="007128F1" w:rsidRPr="00BF5650" w14:paraId="59FBFCA1" w14:textId="77777777" w:rsidTr="007128F1">
        <w:trPr>
          <w:trHeight w:val="417"/>
          <w:jc w:val="center"/>
        </w:trPr>
        <w:tc>
          <w:tcPr>
            <w:tcW w:w="2839" w:type="pct"/>
            <w:shd w:val="clear" w:color="auto" w:fill="D9D9D9"/>
            <w:vAlign w:val="center"/>
          </w:tcPr>
          <w:p w14:paraId="4256FB7D" w14:textId="77777777" w:rsidR="007128F1" w:rsidRPr="00BF5650" w:rsidRDefault="007128F1" w:rsidP="007128F1">
            <w:pPr>
              <w:spacing w:after="0" w:line="240" w:lineRule="auto"/>
              <w:rPr>
                <w:rFonts w:ascii="Arial" w:hAnsi="Arial" w:cs="Arial"/>
                <w:sz w:val="20"/>
                <w:szCs w:val="20"/>
              </w:rPr>
            </w:pPr>
            <w:r>
              <w:rPr>
                <w:rFonts w:ascii="Arial" w:hAnsi="Arial"/>
                <w:sz w:val="20"/>
              </w:rPr>
              <w:t>Projektimi konceptual</w:t>
            </w:r>
          </w:p>
        </w:tc>
        <w:tc>
          <w:tcPr>
            <w:tcW w:w="800" w:type="pct"/>
            <w:vAlign w:val="center"/>
          </w:tcPr>
          <w:p w14:paraId="1DFACE84"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39D16B34"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320A8E25"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624D2AFA" w14:textId="77777777" w:rsidTr="007128F1">
        <w:trPr>
          <w:trHeight w:val="417"/>
          <w:jc w:val="center"/>
        </w:trPr>
        <w:tc>
          <w:tcPr>
            <w:tcW w:w="2839" w:type="pct"/>
            <w:shd w:val="clear" w:color="auto" w:fill="D9D9D9"/>
            <w:vAlign w:val="center"/>
          </w:tcPr>
          <w:p w14:paraId="33178880" w14:textId="77777777" w:rsidR="007128F1" w:rsidRPr="00BF5650" w:rsidRDefault="007128F1" w:rsidP="007128F1">
            <w:pPr>
              <w:spacing w:after="0" w:line="240" w:lineRule="auto"/>
              <w:rPr>
                <w:rFonts w:ascii="Arial" w:hAnsi="Arial" w:cs="Arial"/>
                <w:sz w:val="20"/>
                <w:szCs w:val="20"/>
              </w:rPr>
            </w:pPr>
            <w:r>
              <w:rPr>
                <w:rFonts w:ascii="Arial" w:hAnsi="Arial"/>
                <w:sz w:val="20"/>
              </w:rPr>
              <w:t>Studimi i fizibilitetit + AKP</w:t>
            </w:r>
          </w:p>
        </w:tc>
        <w:tc>
          <w:tcPr>
            <w:tcW w:w="800" w:type="pct"/>
            <w:vAlign w:val="center"/>
          </w:tcPr>
          <w:p w14:paraId="28DC7270"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2C1F07A8"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3D75911F"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60E1D56C" w14:textId="77777777" w:rsidTr="007128F1">
        <w:trPr>
          <w:trHeight w:val="417"/>
          <w:jc w:val="center"/>
        </w:trPr>
        <w:tc>
          <w:tcPr>
            <w:tcW w:w="2839" w:type="pct"/>
            <w:shd w:val="clear" w:color="auto" w:fill="D9D9D9"/>
            <w:vAlign w:val="center"/>
          </w:tcPr>
          <w:p w14:paraId="4576950F" w14:textId="77777777" w:rsidR="007128F1" w:rsidRPr="00BF5650" w:rsidRDefault="007128F1" w:rsidP="007128F1">
            <w:pPr>
              <w:spacing w:after="0" w:line="240" w:lineRule="auto"/>
              <w:rPr>
                <w:rFonts w:ascii="Arial" w:hAnsi="Arial" w:cs="Arial"/>
                <w:sz w:val="20"/>
                <w:szCs w:val="20"/>
              </w:rPr>
            </w:pPr>
            <w:r>
              <w:rPr>
                <w:rFonts w:ascii="Arial" w:hAnsi="Arial"/>
                <w:sz w:val="20"/>
              </w:rPr>
              <w:t>Studimi i VNM (nëse nevojitet)</w:t>
            </w:r>
          </w:p>
        </w:tc>
        <w:tc>
          <w:tcPr>
            <w:tcW w:w="800" w:type="pct"/>
            <w:vAlign w:val="center"/>
          </w:tcPr>
          <w:p w14:paraId="71412AED"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6C18B510"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0AE72778"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2C159B4A" w14:textId="77777777" w:rsidTr="007128F1">
        <w:trPr>
          <w:trHeight w:val="417"/>
          <w:jc w:val="center"/>
        </w:trPr>
        <w:tc>
          <w:tcPr>
            <w:tcW w:w="2839" w:type="pct"/>
            <w:shd w:val="clear" w:color="auto" w:fill="D9D9D9"/>
            <w:vAlign w:val="center"/>
          </w:tcPr>
          <w:p w14:paraId="52C57E3A" w14:textId="77777777" w:rsidR="007128F1" w:rsidRPr="00BF5650" w:rsidRDefault="007128F1" w:rsidP="007128F1">
            <w:pPr>
              <w:spacing w:after="0" w:line="240" w:lineRule="auto"/>
              <w:rPr>
                <w:rFonts w:ascii="Arial" w:hAnsi="Arial" w:cs="Arial"/>
                <w:sz w:val="20"/>
                <w:szCs w:val="20"/>
              </w:rPr>
            </w:pPr>
            <w:r>
              <w:rPr>
                <w:rFonts w:ascii="Arial" w:hAnsi="Arial"/>
                <w:sz w:val="20"/>
              </w:rPr>
              <w:t>Dokumentet e vlefshme të planifikimit hapësinor</w:t>
            </w:r>
          </w:p>
        </w:tc>
        <w:tc>
          <w:tcPr>
            <w:tcW w:w="800" w:type="pct"/>
            <w:vAlign w:val="center"/>
          </w:tcPr>
          <w:p w14:paraId="7D8869C8"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754F2161"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77C06CAA"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1AB5DE6E" w14:textId="77777777" w:rsidTr="007128F1">
        <w:trPr>
          <w:trHeight w:val="417"/>
          <w:jc w:val="center"/>
        </w:trPr>
        <w:tc>
          <w:tcPr>
            <w:tcW w:w="2839" w:type="pct"/>
            <w:shd w:val="clear" w:color="auto" w:fill="D9D9D9"/>
            <w:vAlign w:val="center"/>
          </w:tcPr>
          <w:p w14:paraId="53F31E27" w14:textId="77777777" w:rsidR="007128F1" w:rsidRPr="00BF5650" w:rsidRDefault="007128F1" w:rsidP="007128F1">
            <w:pPr>
              <w:spacing w:after="0" w:line="240" w:lineRule="auto"/>
              <w:rPr>
                <w:rFonts w:ascii="Arial" w:hAnsi="Arial" w:cs="Arial"/>
                <w:sz w:val="20"/>
                <w:szCs w:val="20"/>
              </w:rPr>
            </w:pPr>
            <w:r>
              <w:rPr>
                <w:rFonts w:ascii="Arial" w:hAnsi="Arial"/>
                <w:sz w:val="20"/>
              </w:rPr>
              <w:t>Prona tokë e zgjidhur</w:t>
            </w:r>
          </w:p>
        </w:tc>
        <w:tc>
          <w:tcPr>
            <w:tcW w:w="800" w:type="pct"/>
            <w:vAlign w:val="center"/>
          </w:tcPr>
          <w:p w14:paraId="30D8A7D1"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02AADB1D"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6FA4A75F"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04A9BB4F" w14:textId="77777777" w:rsidTr="007128F1">
        <w:trPr>
          <w:trHeight w:val="417"/>
          <w:jc w:val="center"/>
        </w:trPr>
        <w:tc>
          <w:tcPr>
            <w:tcW w:w="2839" w:type="pct"/>
            <w:shd w:val="clear" w:color="auto" w:fill="D9D9D9"/>
            <w:vAlign w:val="center"/>
          </w:tcPr>
          <w:p w14:paraId="4E22D031" w14:textId="77777777" w:rsidR="007128F1" w:rsidRPr="00BF5650" w:rsidRDefault="007128F1" w:rsidP="007128F1">
            <w:pPr>
              <w:spacing w:after="0" w:line="240" w:lineRule="auto"/>
              <w:rPr>
                <w:rFonts w:ascii="Arial" w:hAnsi="Arial" w:cs="Arial"/>
                <w:sz w:val="20"/>
                <w:szCs w:val="20"/>
              </w:rPr>
            </w:pPr>
            <w:r>
              <w:rPr>
                <w:rFonts w:ascii="Arial" w:hAnsi="Arial"/>
                <w:sz w:val="20"/>
              </w:rPr>
              <w:t>Projektimi paraprak</w:t>
            </w:r>
          </w:p>
        </w:tc>
        <w:tc>
          <w:tcPr>
            <w:tcW w:w="800" w:type="pct"/>
            <w:vAlign w:val="center"/>
          </w:tcPr>
          <w:p w14:paraId="2899C46A"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2E10DD77"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580CF898"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53D78CF9" w14:textId="77777777" w:rsidTr="007128F1">
        <w:trPr>
          <w:trHeight w:val="417"/>
          <w:jc w:val="center"/>
        </w:trPr>
        <w:tc>
          <w:tcPr>
            <w:tcW w:w="2839" w:type="pct"/>
            <w:shd w:val="clear" w:color="auto" w:fill="D9D9D9"/>
            <w:vAlign w:val="center"/>
          </w:tcPr>
          <w:p w14:paraId="7E83823D" w14:textId="77777777" w:rsidR="007128F1" w:rsidRPr="00BF5650" w:rsidRDefault="007128F1" w:rsidP="007128F1">
            <w:pPr>
              <w:spacing w:after="0" w:line="240" w:lineRule="auto"/>
              <w:rPr>
                <w:rFonts w:ascii="Arial" w:hAnsi="Arial" w:cs="Arial"/>
                <w:sz w:val="20"/>
                <w:szCs w:val="20"/>
              </w:rPr>
            </w:pPr>
            <w:r>
              <w:rPr>
                <w:rFonts w:ascii="Arial" w:hAnsi="Arial"/>
                <w:sz w:val="20"/>
              </w:rPr>
              <w:t>Projektimi kryesor/projektimi i detajuar</w:t>
            </w:r>
          </w:p>
        </w:tc>
        <w:tc>
          <w:tcPr>
            <w:tcW w:w="800" w:type="pct"/>
            <w:vAlign w:val="center"/>
          </w:tcPr>
          <w:p w14:paraId="16285560"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245FF70E"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109589E3"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5DE58A18" w14:textId="77777777" w:rsidTr="007128F1">
        <w:trPr>
          <w:trHeight w:val="417"/>
          <w:jc w:val="center"/>
        </w:trPr>
        <w:tc>
          <w:tcPr>
            <w:tcW w:w="2839" w:type="pct"/>
            <w:shd w:val="clear" w:color="auto" w:fill="D9D9D9"/>
            <w:vAlign w:val="center"/>
          </w:tcPr>
          <w:p w14:paraId="0F481F8D" w14:textId="77777777" w:rsidR="007128F1" w:rsidRPr="00BF5650" w:rsidRDefault="007128F1" w:rsidP="007128F1">
            <w:pPr>
              <w:spacing w:after="0" w:line="240" w:lineRule="auto"/>
              <w:rPr>
                <w:rFonts w:ascii="Arial" w:hAnsi="Arial" w:cs="Arial"/>
                <w:sz w:val="20"/>
                <w:szCs w:val="20"/>
              </w:rPr>
            </w:pPr>
            <w:r>
              <w:rPr>
                <w:rFonts w:ascii="Arial" w:hAnsi="Arial"/>
                <w:sz w:val="20"/>
              </w:rPr>
              <w:t>Dokumentacioni i tenderit</w:t>
            </w:r>
          </w:p>
        </w:tc>
        <w:tc>
          <w:tcPr>
            <w:tcW w:w="800" w:type="pct"/>
            <w:vAlign w:val="center"/>
          </w:tcPr>
          <w:p w14:paraId="5CEF17B2"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5B6CFFB3"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7F9A4F6A"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06A2B401" w14:textId="77777777" w:rsidTr="007128F1">
        <w:trPr>
          <w:trHeight w:val="417"/>
          <w:jc w:val="center"/>
        </w:trPr>
        <w:tc>
          <w:tcPr>
            <w:tcW w:w="2839" w:type="pct"/>
            <w:shd w:val="clear" w:color="auto" w:fill="D9D9D9"/>
            <w:vAlign w:val="center"/>
          </w:tcPr>
          <w:p w14:paraId="49EFACD6" w14:textId="77777777" w:rsidR="007128F1" w:rsidRPr="00BF5650" w:rsidRDefault="007128F1" w:rsidP="007128F1">
            <w:pPr>
              <w:spacing w:after="0" w:line="240" w:lineRule="auto"/>
              <w:rPr>
                <w:rFonts w:ascii="Arial" w:hAnsi="Arial" w:cs="Arial"/>
                <w:sz w:val="20"/>
                <w:szCs w:val="20"/>
              </w:rPr>
            </w:pPr>
            <w:r>
              <w:rPr>
                <w:rFonts w:ascii="Arial" w:hAnsi="Arial"/>
                <w:sz w:val="20"/>
              </w:rPr>
              <w:t>Lejet e ndërtimit dhe të tjera</w:t>
            </w:r>
          </w:p>
        </w:tc>
        <w:tc>
          <w:tcPr>
            <w:tcW w:w="800" w:type="pct"/>
            <w:vAlign w:val="center"/>
          </w:tcPr>
          <w:p w14:paraId="0AC659B9"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766CC8B9"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465D5C17"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r w:rsidR="007128F1" w:rsidRPr="00BF5650" w14:paraId="0EE29089" w14:textId="77777777" w:rsidTr="007128F1">
        <w:trPr>
          <w:trHeight w:val="417"/>
          <w:jc w:val="center"/>
        </w:trPr>
        <w:tc>
          <w:tcPr>
            <w:tcW w:w="2839" w:type="pct"/>
            <w:shd w:val="clear" w:color="auto" w:fill="D9D9D9"/>
            <w:vAlign w:val="center"/>
          </w:tcPr>
          <w:p w14:paraId="2AE02F14" w14:textId="77777777" w:rsidR="007128F1" w:rsidRPr="00BF5650" w:rsidRDefault="007128F1" w:rsidP="007128F1">
            <w:pPr>
              <w:spacing w:after="0" w:line="240" w:lineRule="auto"/>
              <w:rPr>
                <w:rFonts w:ascii="Arial" w:hAnsi="Arial" w:cs="Arial"/>
                <w:sz w:val="20"/>
                <w:szCs w:val="20"/>
              </w:rPr>
            </w:pPr>
            <w:r>
              <w:rPr>
                <w:rFonts w:ascii="Arial" w:hAnsi="Arial"/>
                <w:sz w:val="20"/>
              </w:rPr>
              <w:t>Kontrata e ndërtimit është nënshkruar</w:t>
            </w:r>
          </w:p>
        </w:tc>
        <w:tc>
          <w:tcPr>
            <w:tcW w:w="800" w:type="pct"/>
            <w:vAlign w:val="center"/>
          </w:tcPr>
          <w:p w14:paraId="757AEC40" w14:textId="77777777" w:rsidR="007128F1" w:rsidRPr="00BF5650" w:rsidRDefault="007128F1" w:rsidP="007128F1">
            <w:pPr>
              <w:spacing w:after="0" w:line="240" w:lineRule="auto"/>
              <w:jc w:val="center"/>
              <w:rPr>
                <w:rFonts w:ascii="Arial" w:hAnsi="Arial" w:cs="Arial"/>
                <w:sz w:val="20"/>
                <w:szCs w:val="20"/>
              </w:rPr>
            </w:pPr>
          </w:p>
        </w:tc>
        <w:tc>
          <w:tcPr>
            <w:tcW w:w="712" w:type="pct"/>
            <w:vAlign w:val="center"/>
          </w:tcPr>
          <w:p w14:paraId="07C6593A" w14:textId="77777777" w:rsidR="007128F1" w:rsidRPr="00BF5650" w:rsidRDefault="007128F1" w:rsidP="007128F1">
            <w:pPr>
              <w:spacing w:after="0" w:line="240" w:lineRule="auto"/>
              <w:jc w:val="center"/>
              <w:rPr>
                <w:rFonts w:ascii="Arial" w:hAnsi="Arial" w:cs="Arial"/>
                <w:sz w:val="20"/>
                <w:szCs w:val="20"/>
              </w:rPr>
            </w:pPr>
          </w:p>
        </w:tc>
        <w:tc>
          <w:tcPr>
            <w:tcW w:w="649" w:type="pct"/>
            <w:vAlign w:val="center"/>
          </w:tcPr>
          <w:p w14:paraId="5F59B0DA" w14:textId="77777777" w:rsidR="007128F1" w:rsidRPr="00BF5650" w:rsidRDefault="00BF03F0" w:rsidP="007128F1">
            <w:pPr>
              <w:spacing w:after="0" w:line="240" w:lineRule="auto"/>
              <w:jc w:val="center"/>
              <w:rPr>
                <w:rFonts w:ascii="Arial" w:hAnsi="Arial" w:cs="Arial"/>
                <w:sz w:val="20"/>
                <w:szCs w:val="20"/>
              </w:rPr>
            </w:pPr>
            <w:r>
              <w:rPr>
                <w:rFonts w:ascii="Arial" w:hAnsi="Arial"/>
                <w:sz w:val="20"/>
              </w:rPr>
              <w:t>X</w:t>
            </w:r>
          </w:p>
        </w:tc>
      </w:tr>
    </w:tbl>
    <w:p w14:paraId="4BB2E3D0" w14:textId="0B5ABD9A" w:rsidR="001314A0" w:rsidRPr="00BF5650" w:rsidRDefault="001314A0" w:rsidP="001C2CAF">
      <w:pPr>
        <w:spacing w:after="120"/>
        <w:rPr>
          <w:rFonts w:ascii="Arial" w:hAnsi="Arial" w:cs="Arial"/>
          <w:b/>
        </w:rPr>
      </w:pPr>
    </w:p>
    <w:p w14:paraId="28DA8731" w14:textId="77777777" w:rsidR="001C2CAF" w:rsidRPr="00BF5650" w:rsidRDefault="001C2CAF" w:rsidP="00E377E2">
      <w:pPr>
        <w:pStyle w:val="ListParagraph"/>
        <w:numPr>
          <w:ilvl w:val="0"/>
          <w:numId w:val="2"/>
        </w:numPr>
        <w:spacing w:after="120"/>
        <w:rPr>
          <w:rFonts w:cs="Arial"/>
          <w:b/>
        </w:rPr>
      </w:pPr>
      <w:r>
        <w:rPr>
          <w:b/>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402"/>
        <w:gridCol w:w="674"/>
        <w:gridCol w:w="4155"/>
        <w:gridCol w:w="560"/>
      </w:tblGrid>
      <w:tr w:rsidR="007128F1" w:rsidRPr="00BF5650" w14:paraId="118466E4"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13A77" w14:textId="77777777" w:rsidR="007128F1" w:rsidRPr="00BF5650" w:rsidRDefault="007128F1" w:rsidP="007128F1">
            <w:pPr>
              <w:spacing w:after="0" w:line="240" w:lineRule="auto"/>
              <w:rPr>
                <w:rFonts w:ascii="Arial" w:hAnsi="Arial" w:cs="Arial"/>
                <w:b/>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CD501"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43ED0"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A74ED" w14:textId="77777777" w:rsidR="007128F1" w:rsidRPr="00BF5650" w:rsidRDefault="007128F1" w:rsidP="007128F1">
            <w:pPr>
              <w:spacing w:after="0" w:line="240" w:lineRule="auto"/>
              <w:jc w:val="center"/>
              <w:rPr>
                <w:rFonts w:ascii="Arial" w:hAnsi="Arial" w:cs="Arial"/>
                <w:b/>
                <w:sz w:val="20"/>
                <w:szCs w:val="20"/>
              </w:rPr>
            </w:pPr>
            <w:r>
              <w:rPr>
                <w:rFonts w:ascii="Arial" w:hAnsi="Arial"/>
                <w:b/>
                <w:sz w:val="20"/>
              </w:rPr>
              <w:t>Jo</w:t>
            </w:r>
          </w:p>
        </w:tc>
      </w:tr>
      <w:tr w:rsidR="007128F1" w:rsidRPr="00BF5650" w14:paraId="0D6026F8" w14:textId="77777777" w:rsidTr="007128F1">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1F6BF48C" w14:textId="77777777" w:rsidR="007128F1" w:rsidRPr="00BF5650" w:rsidRDefault="007128F1" w:rsidP="007128F1">
            <w:pPr>
              <w:spacing w:after="0" w:line="240" w:lineRule="auto"/>
              <w:rPr>
                <w:rFonts w:ascii="Arial" w:hAnsi="Arial" w:cs="Arial"/>
                <w:sz w:val="20"/>
                <w:szCs w:val="20"/>
              </w:rPr>
            </w:pPr>
            <w:r>
              <w:rPr>
                <w:rFonts w:ascii="Arial" w:hAnsi="Arial"/>
                <w:sz w:val="20"/>
              </w:rPr>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0B916FC9" w14:textId="77777777" w:rsidR="007128F1" w:rsidRPr="00BF5650"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657A2C16" w14:textId="77777777" w:rsidR="007128F1" w:rsidRPr="00BF5650"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1AFA3F6E" w14:textId="77777777" w:rsidR="007128F1" w:rsidRPr="00BF5650" w:rsidRDefault="00BF03F0" w:rsidP="007128F1">
            <w:pPr>
              <w:spacing w:after="0" w:line="240" w:lineRule="auto"/>
              <w:rPr>
                <w:rFonts w:ascii="Arial" w:hAnsi="Arial" w:cs="Arial"/>
                <w:sz w:val="20"/>
                <w:szCs w:val="20"/>
              </w:rPr>
            </w:pPr>
            <w:r>
              <w:rPr>
                <w:rFonts w:ascii="Arial" w:hAnsi="Arial"/>
                <w:sz w:val="20"/>
              </w:rPr>
              <w:t>X</w:t>
            </w:r>
          </w:p>
        </w:tc>
      </w:tr>
      <w:tr w:rsidR="007128F1" w:rsidRPr="00BF5650" w14:paraId="426AE30F"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3CC3C0ED" w14:textId="77777777" w:rsidR="007128F1" w:rsidRPr="00BF5650" w:rsidRDefault="007128F1" w:rsidP="007128F1">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3CCD0CDB" w14:textId="77777777" w:rsidR="007128F1" w:rsidRPr="00BF5650"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2172EF59" w14:textId="5688529A" w:rsidR="007128F1" w:rsidRPr="00BF5650" w:rsidRDefault="00BF03F0" w:rsidP="0088517B">
            <w:pPr>
              <w:spacing w:after="0" w:line="240" w:lineRule="auto"/>
              <w:jc w:val="both"/>
              <w:rPr>
                <w:rFonts w:ascii="Arial" w:hAnsi="Arial" w:cs="Arial"/>
                <w:sz w:val="20"/>
                <w:szCs w:val="20"/>
              </w:rPr>
            </w:pPr>
            <w:r>
              <w:rPr>
                <w:rFonts w:ascii="Arial" w:hAnsi="Arial"/>
                <w:sz w:val="20"/>
              </w:rPr>
              <w:t xml:space="preserve">Komuna e Podujevës nuk ka trajtim të ujërave të zeza, dhe ujërat e zeza derdhen direkt në rrjedhat e ujit, duke ndikuar jo vetëm </w:t>
            </w:r>
            <w:r>
              <w:rPr>
                <w:rFonts w:ascii="Arial" w:hAnsi="Arial"/>
                <w:sz w:val="20"/>
              </w:rPr>
              <w:lastRenderedPageBreak/>
              <w:t>në shëndetin e banorëve të zonës, por edhe të atyre përgjatë rrjedhave ujore. Siç qëndron, të gjitha ujërat e zeza të patrajtuara nga Komuna e Podujevës derdhen në lumin Sitnica, i cili bashkohet me Ibrin në Mitrovicë dhe rrjedhimisht rrjedh në veri në Moravë dhe përfundimisht në Danub në Serbi, duke shkaktuar ndikim të madh negativ në shëndetin publik si dhe në flora dhe fauna e përrenjve të lumit.</w:t>
            </w:r>
          </w:p>
        </w:tc>
        <w:tc>
          <w:tcPr>
            <w:tcW w:w="286" w:type="pct"/>
            <w:tcBorders>
              <w:top w:val="single" w:sz="4" w:space="0" w:color="auto"/>
              <w:left w:val="single" w:sz="4" w:space="0" w:color="auto"/>
              <w:bottom w:val="single" w:sz="4" w:space="0" w:color="auto"/>
              <w:right w:val="single" w:sz="4" w:space="0" w:color="auto"/>
            </w:tcBorders>
            <w:vAlign w:val="center"/>
          </w:tcPr>
          <w:p w14:paraId="5154EF3D" w14:textId="77777777" w:rsidR="007128F1" w:rsidRPr="00BF5650" w:rsidRDefault="007128F1" w:rsidP="007128F1">
            <w:pPr>
              <w:spacing w:after="0" w:line="240" w:lineRule="auto"/>
              <w:rPr>
                <w:rFonts w:ascii="Arial" w:hAnsi="Arial" w:cs="Arial"/>
                <w:sz w:val="20"/>
                <w:szCs w:val="20"/>
              </w:rPr>
            </w:pPr>
          </w:p>
        </w:tc>
      </w:tr>
      <w:tr w:rsidR="007128F1" w:rsidRPr="00BF5650" w14:paraId="02006E76"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19957F82" w14:textId="77777777" w:rsidR="007128F1" w:rsidRPr="00BF5650" w:rsidRDefault="007128F1" w:rsidP="007128F1">
            <w:pPr>
              <w:spacing w:after="0" w:line="240" w:lineRule="auto"/>
              <w:rPr>
                <w:rFonts w:ascii="Arial" w:hAnsi="Arial" w:cs="Arial"/>
                <w:sz w:val="20"/>
                <w:szCs w:val="20"/>
              </w:rPr>
            </w:pPr>
            <w:r>
              <w:rPr>
                <w:rFonts w:ascii="Arial" w:hAnsi="Arial"/>
                <w:sz w:val="20"/>
              </w:rPr>
              <w:lastRenderedPageBreak/>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17495587" w14:textId="77777777" w:rsidR="007128F1" w:rsidRPr="00BF5650"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7362D177" w14:textId="77777777" w:rsidR="007128F1" w:rsidRPr="00BF5650"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310AAFA1" w14:textId="77777777" w:rsidR="007128F1" w:rsidRPr="00BF5650" w:rsidRDefault="00BF03F0" w:rsidP="007128F1">
            <w:pPr>
              <w:spacing w:after="0" w:line="240" w:lineRule="auto"/>
              <w:rPr>
                <w:rFonts w:ascii="Arial" w:hAnsi="Arial" w:cs="Arial"/>
                <w:sz w:val="20"/>
                <w:szCs w:val="20"/>
              </w:rPr>
            </w:pPr>
            <w:r>
              <w:rPr>
                <w:rFonts w:ascii="Arial" w:hAnsi="Arial"/>
                <w:sz w:val="20"/>
              </w:rPr>
              <w:t>X</w:t>
            </w:r>
          </w:p>
        </w:tc>
      </w:tr>
    </w:tbl>
    <w:p w14:paraId="6C04A1B4" w14:textId="236222F6" w:rsidR="001B2A49" w:rsidRPr="00BF5650" w:rsidRDefault="001B2A49" w:rsidP="001C2CAF">
      <w:pPr>
        <w:rPr>
          <w:rFonts w:ascii="Arial" w:hAnsi="Arial" w:cs="Arial"/>
          <w:b/>
        </w:rPr>
      </w:pPr>
    </w:p>
    <w:p w14:paraId="25C89EDE" w14:textId="37625C2B" w:rsidR="00A95E1A" w:rsidRPr="00BF5650" w:rsidRDefault="0010415D" w:rsidP="00E377E2">
      <w:pPr>
        <w:pStyle w:val="ListParagraph"/>
        <w:numPr>
          <w:ilvl w:val="0"/>
          <w:numId w:val="2"/>
        </w:numPr>
        <w:spacing w:after="120"/>
        <w:rPr>
          <w:rFonts w:cs="Arial"/>
          <w:b/>
        </w:rPr>
      </w:pPr>
      <w:r>
        <w:rPr>
          <w:b/>
        </w:rPr>
        <w:t>PLANIFIKIMI I SHPENZIMEVE</w:t>
      </w:r>
    </w:p>
    <w:tbl>
      <w:tblPr>
        <w:tblW w:w="466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706"/>
        <w:gridCol w:w="1384"/>
        <w:gridCol w:w="1384"/>
        <w:gridCol w:w="1384"/>
        <w:gridCol w:w="1496"/>
        <w:gridCol w:w="930"/>
        <w:gridCol w:w="706"/>
      </w:tblGrid>
      <w:tr w:rsidR="00461BD8" w:rsidRPr="00BF5650" w14:paraId="2D52F79A" w14:textId="77777777" w:rsidTr="002756F9">
        <w:tc>
          <w:tcPr>
            <w:tcW w:w="692" w:type="pct"/>
            <w:shd w:val="clear" w:color="auto" w:fill="D9D9D9" w:themeFill="background1" w:themeFillShade="D9"/>
          </w:tcPr>
          <w:p w14:paraId="7520380D" w14:textId="77777777" w:rsidR="00461BD8" w:rsidRPr="00BF5650" w:rsidRDefault="00461BD8" w:rsidP="00A95E1A">
            <w:pPr>
              <w:jc w:val="both"/>
              <w:rPr>
                <w:rFonts w:ascii="Arial" w:hAnsi="Arial" w:cs="Arial"/>
                <w:highlight w:val="yellow"/>
              </w:rPr>
            </w:pPr>
          </w:p>
        </w:tc>
        <w:tc>
          <w:tcPr>
            <w:tcW w:w="359" w:type="pct"/>
            <w:shd w:val="clear" w:color="auto" w:fill="D9D9D9" w:themeFill="background1" w:themeFillShade="D9"/>
          </w:tcPr>
          <w:p w14:paraId="32D38214" w14:textId="77777777" w:rsidR="00461BD8" w:rsidRPr="00A92E3D" w:rsidRDefault="00461BD8" w:rsidP="00A95E1A">
            <w:pPr>
              <w:jc w:val="both"/>
              <w:rPr>
                <w:rFonts w:ascii="Arial" w:hAnsi="Arial" w:cs="Arial"/>
              </w:rPr>
            </w:pPr>
            <w:r>
              <w:rPr>
                <w:rFonts w:ascii="Arial" w:hAnsi="Arial"/>
              </w:rPr>
              <w:t>2024</w:t>
            </w:r>
          </w:p>
        </w:tc>
        <w:tc>
          <w:tcPr>
            <w:tcW w:w="751" w:type="pct"/>
            <w:shd w:val="clear" w:color="auto" w:fill="D9D9D9" w:themeFill="background1" w:themeFillShade="D9"/>
          </w:tcPr>
          <w:p w14:paraId="7732181F" w14:textId="77777777" w:rsidR="00461BD8" w:rsidRPr="00A92E3D" w:rsidRDefault="00461BD8" w:rsidP="00A95E1A">
            <w:pPr>
              <w:jc w:val="both"/>
              <w:rPr>
                <w:rFonts w:ascii="Arial" w:hAnsi="Arial" w:cs="Arial"/>
              </w:rPr>
            </w:pPr>
            <w:r>
              <w:rPr>
                <w:rFonts w:ascii="Arial" w:hAnsi="Arial"/>
              </w:rPr>
              <w:t>2025</w:t>
            </w:r>
          </w:p>
        </w:tc>
        <w:tc>
          <w:tcPr>
            <w:tcW w:w="751" w:type="pct"/>
            <w:shd w:val="clear" w:color="auto" w:fill="D9D9D9" w:themeFill="background1" w:themeFillShade="D9"/>
          </w:tcPr>
          <w:p w14:paraId="57D45BD1" w14:textId="77777777" w:rsidR="00461BD8" w:rsidRPr="00A92E3D" w:rsidRDefault="00461BD8" w:rsidP="00A95E1A">
            <w:pPr>
              <w:jc w:val="both"/>
              <w:rPr>
                <w:rFonts w:ascii="Arial" w:hAnsi="Arial" w:cs="Arial"/>
              </w:rPr>
            </w:pPr>
            <w:r>
              <w:rPr>
                <w:rFonts w:ascii="Arial" w:hAnsi="Arial"/>
              </w:rPr>
              <w:t>2026</w:t>
            </w:r>
          </w:p>
        </w:tc>
        <w:tc>
          <w:tcPr>
            <w:tcW w:w="751" w:type="pct"/>
            <w:shd w:val="clear" w:color="auto" w:fill="D9D9D9" w:themeFill="background1" w:themeFillShade="D9"/>
          </w:tcPr>
          <w:p w14:paraId="08D332D3" w14:textId="77777777" w:rsidR="00461BD8" w:rsidRPr="00A92E3D" w:rsidRDefault="00461BD8" w:rsidP="00A95E1A">
            <w:pPr>
              <w:jc w:val="both"/>
              <w:rPr>
                <w:rFonts w:ascii="Arial" w:hAnsi="Arial" w:cs="Arial"/>
              </w:rPr>
            </w:pPr>
            <w:r>
              <w:rPr>
                <w:rFonts w:ascii="Arial" w:hAnsi="Arial"/>
              </w:rPr>
              <w:t>2027</w:t>
            </w:r>
          </w:p>
        </w:tc>
        <w:tc>
          <w:tcPr>
            <w:tcW w:w="751" w:type="pct"/>
            <w:shd w:val="clear" w:color="auto" w:fill="D9D9D9" w:themeFill="background1" w:themeFillShade="D9"/>
          </w:tcPr>
          <w:p w14:paraId="29519096" w14:textId="77777777" w:rsidR="00461BD8" w:rsidRPr="00A92E3D" w:rsidRDefault="00461BD8" w:rsidP="00A95E1A">
            <w:pPr>
              <w:jc w:val="both"/>
              <w:rPr>
                <w:rFonts w:ascii="Arial" w:hAnsi="Arial" w:cs="Arial"/>
              </w:rPr>
            </w:pPr>
            <w:r>
              <w:rPr>
                <w:rFonts w:ascii="Arial" w:hAnsi="Arial"/>
              </w:rPr>
              <w:t>2028</w:t>
            </w:r>
          </w:p>
        </w:tc>
        <w:tc>
          <w:tcPr>
            <w:tcW w:w="594" w:type="pct"/>
            <w:shd w:val="clear" w:color="auto" w:fill="D9D9D9" w:themeFill="background1" w:themeFillShade="D9"/>
          </w:tcPr>
          <w:p w14:paraId="39248C5B" w14:textId="77777777" w:rsidR="00461BD8" w:rsidRPr="00A92E3D" w:rsidRDefault="00461BD8" w:rsidP="00A95E1A">
            <w:pPr>
              <w:jc w:val="both"/>
              <w:rPr>
                <w:rFonts w:ascii="Arial" w:hAnsi="Arial" w:cs="Arial"/>
              </w:rPr>
            </w:pPr>
            <w:r>
              <w:rPr>
                <w:rFonts w:ascii="Arial" w:hAnsi="Arial"/>
              </w:rPr>
              <w:t>2029</w:t>
            </w:r>
          </w:p>
        </w:tc>
        <w:tc>
          <w:tcPr>
            <w:tcW w:w="350" w:type="pct"/>
            <w:shd w:val="clear" w:color="auto" w:fill="D9D9D9" w:themeFill="background1" w:themeFillShade="D9"/>
          </w:tcPr>
          <w:p w14:paraId="4A294BEF" w14:textId="77777777" w:rsidR="00461BD8" w:rsidRPr="00A92E3D" w:rsidRDefault="00461BD8" w:rsidP="00A95E1A">
            <w:pPr>
              <w:jc w:val="both"/>
              <w:rPr>
                <w:rFonts w:ascii="Arial" w:hAnsi="Arial" w:cs="Arial"/>
              </w:rPr>
            </w:pPr>
            <w:r>
              <w:rPr>
                <w:rFonts w:ascii="Arial" w:hAnsi="Arial"/>
              </w:rPr>
              <w:t>2030</w:t>
            </w:r>
          </w:p>
        </w:tc>
      </w:tr>
      <w:tr w:rsidR="00461BD8" w:rsidRPr="00BF5650" w14:paraId="2B525212" w14:textId="77777777" w:rsidTr="002756F9">
        <w:tc>
          <w:tcPr>
            <w:tcW w:w="692" w:type="pct"/>
            <w:shd w:val="clear" w:color="auto" w:fill="D9D9D9" w:themeFill="background1" w:themeFillShade="D9"/>
          </w:tcPr>
          <w:p w14:paraId="62F19860" w14:textId="77777777" w:rsidR="00461BD8" w:rsidRPr="00BF5650" w:rsidRDefault="00461BD8" w:rsidP="00A95E1A">
            <w:pPr>
              <w:jc w:val="both"/>
              <w:rPr>
                <w:rFonts w:ascii="Arial" w:hAnsi="Arial" w:cs="Arial"/>
                <w:b/>
              </w:rPr>
            </w:pPr>
            <w:r>
              <w:rPr>
                <w:rFonts w:ascii="Arial" w:hAnsi="Arial"/>
                <w:b/>
              </w:rPr>
              <w:t>Kostot (në euro) të:</w:t>
            </w:r>
          </w:p>
        </w:tc>
        <w:tc>
          <w:tcPr>
            <w:tcW w:w="359" w:type="pct"/>
            <w:shd w:val="clear" w:color="auto" w:fill="auto"/>
          </w:tcPr>
          <w:p w14:paraId="412E7672" w14:textId="77777777" w:rsidR="00461BD8" w:rsidRPr="00BF5650" w:rsidRDefault="00461BD8" w:rsidP="00A95E1A">
            <w:pPr>
              <w:jc w:val="both"/>
              <w:rPr>
                <w:rFonts w:ascii="Arial" w:hAnsi="Arial" w:cs="Arial"/>
                <w:b/>
              </w:rPr>
            </w:pPr>
          </w:p>
        </w:tc>
        <w:tc>
          <w:tcPr>
            <w:tcW w:w="751" w:type="pct"/>
            <w:shd w:val="clear" w:color="auto" w:fill="auto"/>
          </w:tcPr>
          <w:p w14:paraId="2E82DBF1" w14:textId="77777777" w:rsidR="00461BD8" w:rsidRPr="00BF5650" w:rsidRDefault="00461BD8" w:rsidP="00A95E1A">
            <w:pPr>
              <w:jc w:val="both"/>
              <w:rPr>
                <w:rFonts w:ascii="Arial" w:hAnsi="Arial" w:cs="Arial"/>
                <w:b/>
              </w:rPr>
            </w:pPr>
          </w:p>
        </w:tc>
        <w:tc>
          <w:tcPr>
            <w:tcW w:w="751" w:type="pct"/>
            <w:shd w:val="clear" w:color="auto" w:fill="auto"/>
          </w:tcPr>
          <w:p w14:paraId="6D3C6EEF" w14:textId="77777777" w:rsidR="00461BD8" w:rsidRPr="00BF5650" w:rsidRDefault="00461BD8" w:rsidP="00A95E1A">
            <w:pPr>
              <w:jc w:val="both"/>
              <w:rPr>
                <w:rFonts w:ascii="Arial" w:hAnsi="Arial" w:cs="Arial"/>
                <w:b/>
              </w:rPr>
            </w:pPr>
          </w:p>
        </w:tc>
        <w:tc>
          <w:tcPr>
            <w:tcW w:w="751" w:type="pct"/>
            <w:shd w:val="clear" w:color="auto" w:fill="auto"/>
          </w:tcPr>
          <w:p w14:paraId="4278C47B" w14:textId="77777777" w:rsidR="00461BD8" w:rsidRPr="00BF5650" w:rsidRDefault="00461BD8" w:rsidP="00A95E1A">
            <w:pPr>
              <w:jc w:val="both"/>
              <w:rPr>
                <w:rFonts w:ascii="Arial" w:hAnsi="Arial" w:cs="Arial"/>
                <w:b/>
              </w:rPr>
            </w:pPr>
          </w:p>
        </w:tc>
        <w:tc>
          <w:tcPr>
            <w:tcW w:w="751" w:type="pct"/>
            <w:shd w:val="clear" w:color="auto" w:fill="auto"/>
          </w:tcPr>
          <w:p w14:paraId="2E166DB0" w14:textId="77777777" w:rsidR="00461BD8" w:rsidRPr="00BF5650" w:rsidRDefault="00461BD8" w:rsidP="00A95E1A">
            <w:pPr>
              <w:jc w:val="both"/>
              <w:rPr>
                <w:rFonts w:ascii="Arial" w:hAnsi="Arial" w:cs="Arial"/>
                <w:b/>
              </w:rPr>
            </w:pPr>
          </w:p>
        </w:tc>
        <w:tc>
          <w:tcPr>
            <w:tcW w:w="594" w:type="pct"/>
            <w:shd w:val="clear" w:color="auto" w:fill="auto"/>
          </w:tcPr>
          <w:p w14:paraId="2D7ACBF6" w14:textId="77777777" w:rsidR="00461BD8" w:rsidRPr="00BF5650" w:rsidRDefault="00461BD8" w:rsidP="00A95E1A">
            <w:pPr>
              <w:jc w:val="both"/>
              <w:rPr>
                <w:rFonts w:ascii="Arial" w:hAnsi="Arial" w:cs="Arial"/>
                <w:b/>
              </w:rPr>
            </w:pPr>
          </w:p>
        </w:tc>
        <w:tc>
          <w:tcPr>
            <w:tcW w:w="350" w:type="pct"/>
            <w:shd w:val="clear" w:color="auto" w:fill="auto"/>
          </w:tcPr>
          <w:p w14:paraId="5AEF59BB" w14:textId="77777777" w:rsidR="00461BD8" w:rsidRPr="00BF5650" w:rsidRDefault="00461BD8" w:rsidP="00A95E1A">
            <w:pPr>
              <w:jc w:val="both"/>
              <w:rPr>
                <w:rFonts w:ascii="Arial" w:hAnsi="Arial" w:cs="Arial"/>
                <w:b/>
              </w:rPr>
            </w:pPr>
          </w:p>
        </w:tc>
      </w:tr>
      <w:tr w:rsidR="00461BD8" w:rsidRPr="00BF5650" w14:paraId="301E702E" w14:textId="77777777" w:rsidTr="002756F9">
        <w:tc>
          <w:tcPr>
            <w:tcW w:w="692" w:type="pct"/>
            <w:shd w:val="clear" w:color="auto" w:fill="D9D9D9" w:themeFill="background1" w:themeFillShade="D9"/>
          </w:tcPr>
          <w:p w14:paraId="10234F0A" w14:textId="77777777" w:rsidR="00461BD8" w:rsidRPr="00BF5650" w:rsidRDefault="00461BD8" w:rsidP="00A95E1A">
            <w:pPr>
              <w:jc w:val="both"/>
              <w:rPr>
                <w:rFonts w:ascii="Arial" w:hAnsi="Arial" w:cs="Arial"/>
              </w:rPr>
            </w:pPr>
            <w:r>
              <w:rPr>
                <w:rFonts w:ascii="Arial" w:hAnsi="Arial"/>
              </w:rPr>
              <w:t>Përgatitja e projektit (TA)</w:t>
            </w:r>
          </w:p>
        </w:tc>
        <w:tc>
          <w:tcPr>
            <w:tcW w:w="359" w:type="pct"/>
            <w:shd w:val="clear" w:color="auto" w:fill="auto"/>
          </w:tcPr>
          <w:p w14:paraId="614A8BF9" w14:textId="77777777" w:rsidR="00461BD8" w:rsidRPr="00BF5650" w:rsidRDefault="00461BD8" w:rsidP="00A95E1A">
            <w:pPr>
              <w:jc w:val="both"/>
              <w:rPr>
                <w:rFonts w:ascii="Arial" w:hAnsi="Arial" w:cs="Arial"/>
              </w:rPr>
            </w:pPr>
          </w:p>
        </w:tc>
        <w:tc>
          <w:tcPr>
            <w:tcW w:w="751" w:type="pct"/>
            <w:shd w:val="clear" w:color="auto" w:fill="auto"/>
          </w:tcPr>
          <w:p w14:paraId="03E8B896" w14:textId="4DB3A054" w:rsidR="00461BD8" w:rsidRPr="00222C1C" w:rsidRDefault="00461BD8" w:rsidP="00A95E1A">
            <w:pPr>
              <w:jc w:val="both"/>
              <w:rPr>
                <w:rFonts w:ascii="Arial" w:hAnsi="Arial" w:cs="Arial"/>
                <w:sz w:val="20"/>
                <w:szCs w:val="20"/>
              </w:rPr>
            </w:pPr>
            <w:r>
              <w:rPr>
                <w:rFonts w:ascii="Arial" w:hAnsi="Arial"/>
                <w:sz w:val="20"/>
              </w:rPr>
              <w:t>500,000</w:t>
            </w:r>
          </w:p>
        </w:tc>
        <w:tc>
          <w:tcPr>
            <w:tcW w:w="751" w:type="pct"/>
            <w:shd w:val="clear" w:color="auto" w:fill="auto"/>
          </w:tcPr>
          <w:p w14:paraId="11FDFFE7" w14:textId="3A4037CC" w:rsidR="00461BD8" w:rsidRPr="00222C1C" w:rsidRDefault="00461BD8" w:rsidP="00A95E1A">
            <w:pPr>
              <w:jc w:val="both"/>
              <w:rPr>
                <w:rFonts w:ascii="Arial" w:hAnsi="Arial" w:cs="Arial"/>
                <w:sz w:val="20"/>
                <w:szCs w:val="20"/>
              </w:rPr>
            </w:pPr>
            <w:r>
              <w:rPr>
                <w:rFonts w:ascii="Arial" w:hAnsi="Arial"/>
                <w:sz w:val="20"/>
              </w:rPr>
              <w:t>800,000.00</w:t>
            </w:r>
          </w:p>
        </w:tc>
        <w:tc>
          <w:tcPr>
            <w:tcW w:w="751" w:type="pct"/>
            <w:shd w:val="clear" w:color="auto" w:fill="auto"/>
          </w:tcPr>
          <w:p w14:paraId="584EF73D" w14:textId="1B4F3966" w:rsidR="00461BD8" w:rsidRPr="00222C1C" w:rsidRDefault="00461BD8" w:rsidP="00A95E1A">
            <w:pPr>
              <w:jc w:val="both"/>
              <w:rPr>
                <w:rFonts w:ascii="Arial" w:hAnsi="Arial" w:cs="Arial"/>
                <w:sz w:val="20"/>
                <w:szCs w:val="20"/>
              </w:rPr>
            </w:pPr>
            <w:r>
              <w:rPr>
                <w:rFonts w:ascii="Arial" w:hAnsi="Arial"/>
                <w:sz w:val="20"/>
              </w:rPr>
              <w:t>800,000.00</w:t>
            </w:r>
          </w:p>
        </w:tc>
        <w:tc>
          <w:tcPr>
            <w:tcW w:w="751" w:type="pct"/>
            <w:shd w:val="clear" w:color="auto" w:fill="auto"/>
          </w:tcPr>
          <w:p w14:paraId="686FD372" w14:textId="77777777" w:rsidR="00461BD8" w:rsidRPr="00222C1C" w:rsidRDefault="00461BD8" w:rsidP="00A95E1A">
            <w:pPr>
              <w:jc w:val="both"/>
              <w:rPr>
                <w:rFonts w:ascii="Arial" w:hAnsi="Arial" w:cs="Arial"/>
                <w:sz w:val="20"/>
                <w:szCs w:val="20"/>
              </w:rPr>
            </w:pPr>
          </w:p>
        </w:tc>
        <w:tc>
          <w:tcPr>
            <w:tcW w:w="594" w:type="pct"/>
            <w:shd w:val="clear" w:color="auto" w:fill="auto"/>
          </w:tcPr>
          <w:p w14:paraId="250FB906" w14:textId="77777777" w:rsidR="00461BD8" w:rsidRPr="00BF5650" w:rsidRDefault="00461BD8" w:rsidP="00A95E1A">
            <w:pPr>
              <w:jc w:val="both"/>
              <w:rPr>
                <w:rFonts w:ascii="Arial" w:hAnsi="Arial" w:cs="Arial"/>
              </w:rPr>
            </w:pPr>
          </w:p>
        </w:tc>
        <w:tc>
          <w:tcPr>
            <w:tcW w:w="350" w:type="pct"/>
            <w:shd w:val="clear" w:color="auto" w:fill="auto"/>
          </w:tcPr>
          <w:p w14:paraId="6739D147" w14:textId="77777777" w:rsidR="00461BD8" w:rsidRPr="00BF5650" w:rsidRDefault="00461BD8" w:rsidP="00A95E1A">
            <w:pPr>
              <w:jc w:val="both"/>
              <w:rPr>
                <w:rFonts w:ascii="Arial" w:hAnsi="Arial" w:cs="Arial"/>
              </w:rPr>
            </w:pPr>
          </w:p>
        </w:tc>
      </w:tr>
      <w:tr w:rsidR="00461BD8" w:rsidRPr="00BF5650" w14:paraId="4D763845" w14:textId="77777777" w:rsidTr="002756F9">
        <w:tc>
          <w:tcPr>
            <w:tcW w:w="692" w:type="pct"/>
            <w:shd w:val="clear" w:color="auto" w:fill="D9D9D9" w:themeFill="background1" w:themeFillShade="D9"/>
          </w:tcPr>
          <w:p w14:paraId="1AC250F5" w14:textId="77777777" w:rsidR="00461BD8" w:rsidRPr="00BF5650" w:rsidRDefault="00461BD8" w:rsidP="00A95E1A">
            <w:pPr>
              <w:jc w:val="both"/>
              <w:rPr>
                <w:rFonts w:ascii="Arial" w:hAnsi="Arial" w:cs="Arial"/>
              </w:rPr>
            </w:pPr>
            <w:r>
              <w:rPr>
                <w:rFonts w:ascii="Arial" w:hAnsi="Arial"/>
              </w:rPr>
              <w:t xml:space="preserve">Investimi </w:t>
            </w:r>
          </w:p>
        </w:tc>
        <w:tc>
          <w:tcPr>
            <w:tcW w:w="359" w:type="pct"/>
            <w:shd w:val="clear" w:color="auto" w:fill="auto"/>
          </w:tcPr>
          <w:p w14:paraId="279B7D5E" w14:textId="77777777" w:rsidR="00461BD8" w:rsidRPr="00BF5650" w:rsidRDefault="00461BD8" w:rsidP="00A95E1A">
            <w:pPr>
              <w:jc w:val="both"/>
              <w:rPr>
                <w:rFonts w:ascii="Arial" w:hAnsi="Arial" w:cs="Arial"/>
              </w:rPr>
            </w:pPr>
          </w:p>
        </w:tc>
        <w:tc>
          <w:tcPr>
            <w:tcW w:w="751" w:type="pct"/>
            <w:shd w:val="clear" w:color="auto" w:fill="auto"/>
          </w:tcPr>
          <w:p w14:paraId="132550E6" w14:textId="462D907D" w:rsidR="00461BD8" w:rsidRPr="00222C1C" w:rsidRDefault="00461BD8" w:rsidP="00A95E1A">
            <w:pPr>
              <w:jc w:val="both"/>
              <w:rPr>
                <w:rFonts w:ascii="Arial" w:hAnsi="Arial" w:cs="Arial"/>
                <w:sz w:val="20"/>
                <w:szCs w:val="20"/>
              </w:rPr>
            </w:pPr>
            <w:r>
              <w:rPr>
                <w:rFonts w:ascii="Arial" w:hAnsi="Arial"/>
                <w:sz w:val="20"/>
              </w:rPr>
              <w:t>1,100,000.00</w:t>
            </w:r>
          </w:p>
        </w:tc>
        <w:tc>
          <w:tcPr>
            <w:tcW w:w="751" w:type="pct"/>
            <w:shd w:val="clear" w:color="auto" w:fill="auto"/>
          </w:tcPr>
          <w:p w14:paraId="199D418D" w14:textId="77E999B7" w:rsidR="00461BD8" w:rsidRPr="00222C1C" w:rsidRDefault="005875AA" w:rsidP="00A95E1A">
            <w:pPr>
              <w:jc w:val="both"/>
              <w:rPr>
                <w:rFonts w:ascii="Arial" w:hAnsi="Arial" w:cs="Arial"/>
                <w:sz w:val="20"/>
                <w:szCs w:val="20"/>
              </w:rPr>
            </w:pPr>
            <w:r>
              <w:rPr>
                <w:rFonts w:ascii="Arial" w:hAnsi="Arial"/>
                <w:sz w:val="20"/>
              </w:rPr>
              <w:t>13.313,666.7</w:t>
            </w:r>
          </w:p>
        </w:tc>
        <w:tc>
          <w:tcPr>
            <w:tcW w:w="751" w:type="pct"/>
            <w:shd w:val="clear" w:color="auto" w:fill="auto"/>
          </w:tcPr>
          <w:p w14:paraId="40E88854" w14:textId="0A11151A" w:rsidR="00461BD8" w:rsidRPr="00222C1C" w:rsidRDefault="005875AA" w:rsidP="00A95E1A">
            <w:pPr>
              <w:jc w:val="both"/>
              <w:rPr>
                <w:rFonts w:ascii="Arial" w:hAnsi="Arial" w:cs="Arial"/>
                <w:sz w:val="20"/>
                <w:szCs w:val="20"/>
              </w:rPr>
            </w:pPr>
            <w:r>
              <w:rPr>
                <w:rFonts w:ascii="Arial" w:hAnsi="Arial"/>
                <w:sz w:val="20"/>
              </w:rPr>
              <w:t>13.313,666.7</w:t>
            </w:r>
          </w:p>
        </w:tc>
        <w:tc>
          <w:tcPr>
            <w:tcW w:w="751" w:type="pct"/>
            <w:shd w:val="clear" w:color="auto" w:fill="auto"/>
          </w:tcPr>
          <w:p w14:paraId="18BFEA37" w14:textId="70BF925A" w:rsidR="00BC2533" w:rsidRPr="00222C1C" w:rsidRDefault="00BC2533" w:rsidP="00BC2533">
            <w:pPr>
              <w:spacing w:after="0" w:line="240" w:lineRule="auto"/>
              <w:jc w:val="both"/>
              <w:rPr>
                <w:rFonts w:ascii="Arial" w:hAnsi="Arial" w:cs="Arial"/>
                <w:sz w:val="20"/>
                <w:szCs w:val="20"/>
              </w:rPr>
            </w:pPr>
            <w:r>
              <w:rPr>
                <w:rFonts w:ascii="Arial" w:hAnsi="Arial"/>
                <w:sz w:val="20"/>
              </w:rPr>
              <w:t xml:space="preserve">12,213,666.60 </w:t>
            </w:r>
          </w:p>
          <w:p w14:paraId="33C2CAA5" w14:textId="120570FB" w:rsidR="00461BD8" w:rsidRPr="00222C1C" w:rsidRDefault="00461BD8" w:rsidP="00A95E1A">
            <w:pPr>
              <w:jc w:val="both"/>
              <w:rPr>
                <w:rFonts w:ascii="Arial" w:hAnsi="Arial" w:cs="Arial"/>
                <w:sz w:val="20"/>
                <w:szCs w:val="20"/>
              </w:rPr>
            </w:pPr>
          </w:p>
        </w:tc>
        <w:tc>
          <w:tcPr>
            <w:tcW w:w="594" w:type="pct"/>
            <w:shd w:val="clear" w:color="auto" w:fill="auto"/>
          </w:tcPr>
          <w:p w14:paraId="52E4E465" w14:textId="77777777" w:rsidR="00461BD8" w:rsidRPr="00BF5650" w:rsidRDefault="00461BD8" w:rsidP="00A95E1A">
            <w:pPr>
              <w:jc w:val="both"/>
              <w:rPr>
                <w:rFonts w:ascii="Arial" w:hAnsi="Arial" w:cs="Arial"/>
              </w:rPr>
            </w:pPr>
          </w:p>
        </w:tc>
        <w:tc>
          <w:tcPr>
            <w:tcW w:w="350" w:type="pct"/>
            <w:shd w:val="clear" w:color="auto" w:fill="auto"/>
          </w:tcPr>
          <w:p w14:paraId="321AE955" w14:textId="77777777" w:rsidR="00461BD8" w:rsidRPr="00BF5650" w:rsidRDefault="00461BD8" w:rsidP="00A95E1A">
            <w:pPr>
              <w:jc w:val="both"/>
              <w:rPr>
                <w:rFonts w:ascii="Arial" w:hAnsi="Arial" w:cs="Arial"/>
              </w:rPr>
            </w:pPr>
          </w:p>
        </w:tc>
      </w:tr>
    </w:tbl>
    <w:p w14:paraId="14DF0DEA" w14:textId="0744E15A" w:rsidR="0074067A" w:rsidRPr="00BF5650" w:rsidRDefault="0074067A" w:rsidP="001C2CAF">
      <w:pPr>
        <w:spacing w:before="200" w:after="120" w:line="240" w:lineRule="auto"/>
        <w:rPr>
          <w:rFonts w:ascii="Arial" w:hAnsi="Arial" w:cs="Arial"/>
          <w:b/>
        </w:rPr>
      </w:pPr>
    </w:p>
    <w:p w14:paraId="4C258414" w14:textId="77777777" w:rsidR="0074067A" w:rsidRPr="00BF5650" w:rsidRDefault="007128F1" w:rsidP="00E377E2">
      <w:pPr>
        <w:pStyle w:val="ListParagraph"/>
        <w:numPr>
          <w:ilvl w:val="0"/>
          <w:numId w:val="2"/>
        </w:numPr>
        <w:spacing w:after="120"/>
        <w:rPr>
          <w:rFonts w:cs="Arial"/>
          <w:b/>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44"/>
        <w:gridCol w:w="5852"/>
      </w:tblGrid>
      <w:tr w:rsidR="007128F1" w:rsidRPr="00BF5650" w14:paraId="0DA730A6" w14:textId="77777777" w:rsidTr="00251DD1">
        <w:trPr>
          <w:trHeight w:val="2492"/>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648C456" w14:textId="77777777" w:rsidR="007128F1" w:rsidRPr="00BF5650" w:rsidRDefault="007128F1" w:rsidP="001E3D7C">
            <w:pPr>
              <w:spacing w:after="0" w:line="240" w:lineRule="auto"/>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61768CB4" w14:textId="0F0F8223" w:rsidR="00251DD1" w:rsidRDefault="00066DFE" w:rsidP="00251DD1">
            <w:r>
              <w:rPr>
                <w:rFonts w:ascii="Arial" w:hAnsi="Arial"/>
                <w:sz w:val="20"/>
              </w:rPr>
              <w:t xml:space="preserve">Një takim konsultues </w:t>
            </w:r>
            <w:r w:rsidR="00251DD1">
              <w:rPr>
                <w:rFonts w:ascii="Arial" w:hAnsi="Arial"/>
                <w:sz w:val="20"/>
              </w:rPr>
              <w:t>me donatorët u zhvillua më 23 janar 2024, ku IFN-të dhe donatorët e tjerë u ftuan të merrnin pjesë në një diskutim të përgjithshëm mbi proj</w:t>
            </w:r>
            <w:r w:rsidR="007E7091">
              <w:rPr>
                <w:rFonts w:ascii="Arial" w:hAnsi="Arial"/>
                <w:sz w:val="20"/>
              </w:rPr>
              <w:t>ektet në LPP në</w:t>
            </w:r>
            <w:bookmarkStart w:id="5" w:name="_GoBack"/>
            <w:bookmarkEnd w:id="5"/>
            <w:r w:rsidR="007E7091">
              <w:rPr>
                <w:rFonts w:ascii="Arial" w:hAnsi="Arial"/>
                <w:sz w:val="20"/>
              </w:rPr>
              <w:t>sektorin e Mjedisit</w:t>
            </w:r>
            <w:r w:rsidR="00251DD1">
              <w:rPr>
                <w:rFonts w:ascii="Arial" w:hAnsi="Arial"/>
                <w:sz w:val="20"/>
              </w:rPr>
              <w:t xml:space="preserve"> përpara validimit dhe miratimit të tij.</w:t>
            </w:r>
          </w:p>
          <w:p w14:paraId="3536AD68" w14:textId="7AE9412E" w:rsidR="007128F1" w:rsidRPr="00BF5650" w:rsidRDefault="007128F1" w:rsidP="00B20075">
            <w:pPr>
              <w:spacing w:after="0" w:line="240" w:lineRule="auto"/>
              <w:jc w:val="both"/>
              <w:rPr>
                <w:rFonts w:ascii="Arial" w:hAnsi="Arial" w:cs="Arial"/>
                <w:sz w:val="20"/>
                <w:szCs w:val="20"/>
              </w:rPr>
            </w:pPr>
          </w:p>
        </w:tc>
      </w:tr>
      <w:tr w:rsidR="007128F1" w:rsidRPr="00BF5650" w14:paraId="7AD69DD1"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6201F6D1" w14:textId="35DEF293" w:rsidR="007128F1" w:rsidRPr="00BF5650" w:rsidRDefault="007128F1" w:rsidP="007128F1">
            <w:pPr>
              <w:spacing w:after="0" w:line="240" w:lineRule="auto"/>
              <w:rPr>
                <w:rFonts w:ascii="Arial" w:hAnsi="Arial" w:cs="Arial"/>
                <w:sz w:val="20"/>
                <w:szCs w:val="20"/>
              </w:rPr>
            </w:pPr>
            <w:r>
              <w:rPr>
                <w:rFonts w:ascii="Arial" w:hAnsi="Arial"/>
                <w:sz w:val="20"/>
              </w:rPr>
              <w:t>Mbësht</w:t>
            </w:r>
            <w:r w:rsidR="003A2A15">
              <w:rPr>
                <w:rFonts w:ascii="Arial" w:hAnsi="Arial"/>
                <w:sz w:val="20"/>
              </w:rPr>
              <w:t>etja ekzistuese 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006697B5" w14:textId="679301D1" w:rsidR="007128F1" w:rsidRPr="00BF5650" w:rsidRDefault="00B20075" w:rsidP="00401AC9">
            <w:pPr>
              <w:spacing w:after="0" w:line="240" w:lineRule="auto"/>
              <w:rPr>
                <w:rFonts w:ascii="Arial" w:hAnsi="Arial" w:cs="Arial"/>
                <w:sz w:val="20"/>
                <w:szCs w:val="20"/>
              </w:rPr>
            </w:pPr>
            <w:r>
              <w:rPr>
                <w:rFonts w:ascii="Arial" w:hAnsi="Arial"/>
                <w:sz w:val="20"/>
              </w:rPr>
              <w:t>BERZh tashmë është e angazhuar në avancimin e zhvillimit të këtij Projekti. Aktualisht ata janë duke prokuruar Konsulentin e Fizibilitetit. Studimi, duke përfshirë Koncept Dizajnin dhe VNMS, pritet të finalizohet deri në tremujorin e tretë të këtij viti. Pritet të jetë në gjendje të nënshkruajë marrëveshjen e financimit në fund të vitit 2024 dhe të fillojë zbatimin në vitin 2025. BERZH do të sponsorizojë një aplikim për grant për investime nga KIBP deri në shumën maksimale të pranueshme në dritaren 2025.</w:t>
            </w:r>
          </w:p>
        </w:tc>
      </w:tr>
      <w:tr w:rsidR="007128F1" w:rsidRPr="00BF5650" w14:paraId="02FFE56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16715B6F" w14:textId="77777777" w:rsidR="007128F1" w:rsidRPr="00BF5650" w:rsidRDefault="007128F1" w:rsidP="001E3D7C">
            <w:pPr>
              <w:spacing w:after="0" w:line="240" w:lineRule="auto"/>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15CD609B" w14:textId="3FD645DD" w:rsidR="007128F1" w:rsidRPr="00BF5650" w:rsidRDefault="009E4642" w:rsidP="007128F1">
            <w:pPr>
              <w:spacing w:after="0" w:line="240" w:lineRule="auto"/>
              <w:rPr>
                <w:rFonts w:ascii="Arial" w:hAnsi="Arial" w:cs="Arial"/>
                <w:sz w:val="20"/>
                <w:szCs w:val="20"/>
              </w:rPr>
            </w:pPr>
            <w:r>
              <w:rPr>
                <w:rFonts w:ascii="Arial" w:hAnsi="Arial"/>
                <w:sz w:val="20"/>
              </w:rPr>
              <w:t>Ministria e Financave ka miratuar projektin themelor dhe gjithashtu është konsultuar tashmë me BERZH, e cila ka treguar mbështetje për financimin e projektit. ITUZ për Podujevë është përfshirë si projekt i rëndësishëm investues në Klauzolën Kombëtare të Investimeve, pjesë e Programit të Reformës Ekonomike për Kosovën.</w:t>
            </w:r>
          </w:p>
        </w:tc>
      </w:tr>
      <w:tr w:rsidR="007128F1" w:rsidRPr="00BF5650" w14:paraId="55830F66"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E0FE0F5" w14:textId="77777777" w:rsidR="007128F1" w:rsidRPr="00BF5650" w:rsidRDefault="007128F1" w:rsidP="007128F1">
            <w:pPr>
              <w:spacing w:after="0" w:line="240" w:lineRule="auto"/>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3235D041" w14:textId="0AA24DDB" w:rsidR="007128F1" w:rsidRPr="00BF5650" w:rsidRDefault="009E4642" w:rsidP="0088517B">
            <w:pPr>
              <w:spacing w:after="0" w:line="240" w:lineRule="auto"/>
              <w:rPr>
                <w:rFonts w:ascii="Arial" w:hAnsi="Arial" w:cs="Arial"/>
                <w:sz w:val="20"/>
                <w:szCs w:val="20"/>
              </w:rPr>
            </w:pPr>
            <w:r>
              <w:rPr>
                <w:rFonts w:ascii="Arial" w:hAnsi="Arial"/>
                <w:sz w:val="20"/>
              </w:rPr>
              <w:t>Konsumatorët do të pajisen me shërbimet e trajtimit të kanalizimeve dhe do të faturohen në përputhje me Autoritetin Rregullativ për Shërbimet e Ujit.</w:t>
            </w:r>
          </w:p>
        </w:tc>
      </w:tr>
      <w:tr w:rsidR="007128F1" w:rsidRPr="00BF5650" w14:paraId="555EC66D"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1FF2A854" w14:textId="77777777" w:rsidR="007128F1" w:rsidRPr="00BF5650" w:rsidRDefault="007128F1" w:rsidP="007128F1">
            <w:pPr>
              <w:spacing w:after="0" w:line="240" w:lineRule="auto"/>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3B30640D" w14:textId="11365899" w:rsidR="00BF03F0" w:rsidRPr="00BF5650" w:rsidRDefault="00BF03F0" w:rsidP="00BF03F0">
            <w:pPr>
              <w:spacing w:after="0" w:line="240" w:lineRule="auto"/>
              <w:jc w:val="both"/>
              <w:rPr>
                <w:rFonts w:ascii="Arial" w:hAnsi="Arial" w:cs="Arial"/>
                <w:sz w:val="20"/>
                <w:szCs w:val="20"/>
              </w:rPr>
            </w:pPr>
            <w:r>
              <w:rPr>
                <w:rFonts w:ascii="Arial" w:hAnsi="Arial"/>
                <w:sz w:val="20"/>
              </w:rPr>
              <w:t xml:space="preserve">Një Komitet Koordinues (KK) do të krijohet për të shërbyer si ndërlidhës për të gjitha çështjet në lidhje me Projektin dhe kur </w:t>
            </w:r>
            <w:r>
              <w:rPr>
                <w:rFonts w:ascii="Arial" w:hAnsi="Arial"/>
                <w:sz w:val="20"/>
              </w:rPr>
              <w:lastRenderedPageBreak/>
              <w:t>është e nevojshme, ai mund të krijojë një grup pune për t'u marrë me detyrat e lidhura me një projekt specifik. KK do të përbëhet nga KRU Prishtina, Ministria e Ekonomisë, Ministria e Financave, Punës dhe Transfereve (MFPT), Ministria e Mjedisit, Planifikimit Hapësinor dhe Infrastrukturës, Komuna e Podujevës dhe donatorë ndërkombëtarë të përfshirë në projekt, KK do të monitorojë progresin në përmbushjen e treguesve të performancës, qëndrueshmërinë financiare të KRU, përmbushjen e ligjit për parandalimin e konfliktit të interesit dhe çdo ndryshim të mëvonshëm.</w:t>
            </w:r>
          </w:p>
          <w:p w14:paraId="4A7B0FC7" w14:textId="77777777" w:rsidR="00BF03F0" w:rsidRPr="00BF5650" w:rsidRDefault="00BF03F0" w:rsidP="00BF03F0">
            <w:pPr>
              <w:spacing w:after="0" w:line="240" w:lineRule="auto"/>
              <w:jc w:val="both"/>
              <w:rPr>
                <w:rFonts w:ascii="Arial" w:hAnsi="Arial" w:cs="Arial"/>
                <w:sz w:val="20"/>
                <w:szCs w:val="20"/>
              </w:rPr>
            </w:pPr>
            <w:r>
              <w:rPr>
                <w:rFonts w:ascii="Arial" w:hAnsi="Arial"/>
                <w:sz w:val="20"/>
              </w:rPr>
              <w:t>Komiteti Koordinues do të shoqërojë NjZP-në në përmbushjen e detyrës së saj duke shmangur çdo dyfishim dhe mbivendosje të punës së NjZP-së. Komiteti Koordinues nuk mund të marrë asnjë vendim, por do t'i bëjë rekomandime NjZP-së në baza konsensuale.</w:t>
            </w:r>
          </w:p>
          <w:p w14:paraId="6E1922F3" w14:textId="77777777" w:rsidR="007128F1" w:rsidRPr="00BF5650" w:rsidRDefault="00BF03F0" w:rsidP="009E4642">
            <w:pPr>
              <w:spacing w:after="0" w:line="240" w:lineRule="auto"/>
              <w:jc w:val="both"/>
              <w:rPr>
                <w:rFonts w:ascii="Arial" w:hAnsi="Arial" w:cs="Arial"/>
                <w:sz w:val="20"/>
                <w:szCs w:val="20"/>
              </w:rPr>
            </w:pPr>
            <w:r>
              <w:rPr>
                <w:rFonts w:ascii="Arial" w:hAnsi="Arial"/>
                <w:sz w:val="20"/>
              </w:rPr>
              <w:t>KRU, e përfaqësuar nga NjZP, do të kërkojë në mënyrë proaktive mbështetjen e palëve të interesit të Projektit dhe institucioneve të tjera relevante për zbatimin e suksesshëm të Projektit.</w:t>
            </w:r>
          </w:p>
        </w:tc>
      </w:tr>
    </w:tbl>
    <w:p w14:paraId="2FEF3112" w14:textId="77777777" w:rsidR="007128F1" w:rsidRPr="00BF5650" w:rsidRDefault="007128F1" w:rsidP="007128F1">
      <w:pPr>
        <w:spacing w:after="0" w:line="240" w:lineRule="auto"/>
        <w:rPr>
          <w:rFonts w:ascii="Arial" w:hAnsi="Arial" w:cs="Arial"/>
          <w:sz w:val="20"/>
          <w:szCs w:val="20"/>
        </w:rPr>
      </w:pPr>
    </w:p>
    <w:p w14:paraId="07196B48" w14:textId="77777777" w:rsidR="006F1611" w:rsidRPr="00BF5650" w:rsidRDefault="006F1611">
      <w:pPr>
        <w:spacing w:after="0" w:line="240" w:lineRule="auto"/>
        <w:rPr>
          <w:rFonts w:ascii="Arial" w:hAnsi="Arial" w:cs="Arial"/>
        </w:rPr>
      </w:pPr>
    </w:p>
    <w:p w14:paraId="75355B21" w14:textId="77777777" w:rsidR="00141AD3" w:rsidRPr="00BF5650" w:rsidRDefault="00141AD3" w:rsidP="00DA5F0A">
      <w:pPr>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AF6071D" w14:textId="77777777" w:rsidR="0019538C" w:rsidRPr="00BF5650" w:rsidRDefault="0019538C" w:rsidP="00BE2A05">
      <w:pPr>
        <w:jc w:val="right"/>
        <w:rPr>
          <w:rFonts w:ascii="Arial" w:hAnsi="Arial" w:cs="Arial"/>
          <w:sz w:val="20"/>
          <w:szCs w:val="20"/>
        </w:rPr>
      </w:pPr>
    </w:p>
    <w:sectPr w:rsidR="0019538C" w:rsidRPr="00BF5650" w:rsidSect="00FC644F">
      <w:headerReference w:type="default" r:id="rId12"/>
      <w:footerReference w:type="default" r:id="rId13"/>
      <w:headerReference w:type="first" r:id="rId14"/>
      <w:footerReference w:type="first" r:id="rId15"/>
      <w:pgSz w:w="11913" w:h="16834" w:code="9"/>
      <w:pgMar w:top="720" w:right="720" w:bottom="720" w:left="720" w:header="397" w:footer="0" w:gutter="567"/>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6B6C46" w16cid:durableId="2C665989"/>
  <w16cid:commentId w16cid:paraId="30F18FD2" w16cid:durableId="5890CE65"/>
  <w16cid:commentId w16cid:paraId="236D4429" w16cid:durableId="193C11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97DE2" w14:textId="77777777" w:rsidR="00913261" w:rsidRDefault="00913261" w:rsidP="00CE33CC">
      <w:pPr>
        <w:spacing w:after="0" w:line="240" w:lineRule="auto"/>
      </w:pPr>
      <w:r>
        <w:separator/>
      </w:r>
    </w:p>
  </w:endnote>
  <w:endnote w:type="continuationSeparator" w:id="0">
    <w:p w14:paraId="6DEDE26C" w14:textId="77777777" w:rsidR="00913261" w:rsidRDefault="00913261"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030FCED3" w14:textId="777EEB30" w:rsidR="0083451C" w:rsidRPr="0083451C" w:rsidRDefault="0083451C">
        <w:pPr>
          <w:pStyle w:val="Footer"/>
          <w:jc w:val="right"/>
          <w:rPr>
            <w:rFonts w:ascii="Arial" w:hAnsi="Arial" w:cs="Arial"/>
            <w:noProof/>
            <w:color w:val="003870"/>
            <w:sz w:val="17"/>
            <w:szCs w:val="17"/>
          </w:rPr>
        </w:pPr>
      </w:p>
      <w:p w14:paraId="107E3458" w14:textId="77777777" w:rsidR="0083451C" w:rsidRDefault="00913261">
        <w:pPr>
          <w:pStyle w:val="Footer"/>
          <w:jc w:val="right"/>
        </w:pPr>
      </w:p>
    </w:sdtContent>
  </w:sdt>
  <w:p w14:paraId="54AAD695"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7CAE1FA0" w14:textId="46549BCF"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E70673">
          <w:rPr>
            <w:rFonts w:ascii="Arial" w:hAnsi="Arial" w:cs="Arial"/>
            <w:noProof/>
            <w:color w:val="003870"/>
            <w:sz w:val="17"/>
          </w:rPr>
          <w:t>1</w:t>
        </w:r>
        <w:r w:rsidR="00FC644F" w:rsidRPr="0083451C">
          <w:rPr>
            <w:rFonts w:ascii="Arial" w:hAnsi="Arial" w:cs="Arial"/>
            <w:color w:val="003870"/>
            <w:sz w:val="17"/>
          </w:rPr>
          <w:fldChar w:fldCharType="end"/>
        </w:r>
      </w:p>
      <w:p w14:paraId="3F0042DF" w14:textId="77777777" w:rsidR="00FC644F" w:rsidRDefault="00913261" w:rsidP="00FC644F">
        <w:pPr>
          <w:pStyle w:val="Footer"/>
          <w:jc w:val="right"/>
          <w:rPr>
            <w:noProof/>
          </w:rPr>
        </w:pPr>
      </w:p>
    </w:sdtContent>
  </w:sdt>
  <w:p w14:paraId="081247B2"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03C0" w14:textId="77777777" w:rsidR="00913261" w:rsidRDefault="00913261" w:rsidP="00CE33CC">
      <w:pPr>
        <w:spacing w:after="0" w:line="240" w:lineRule="auto"/>
      </w:pPr>
      <w:r>
        <w:separator/>
      </w:r>
    </w:p>
  </w:footnote>
  <w:footnote w:type="continuationSeparator" w:id="0">
    <w:p w14:paraId="57403257" w14:textId="77777777" w:rsidR="00913261" w:rsidRDefault="00913261"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4CCB" w14:textId="77777777" w:rsidR="00743564" w:rsidRDefault="00F87596" w:rsidP="00F87596">
    <w:pPr>
      <w:pStyle w:val="Header"/>
      <w:rPr>
        <w:noProof/>
      </w:rPr>
    </w:pPr>
    <w:r>
      <w:t xml:space="preserve">                                                                                     </w:t>
    </w:r>
  </w:p>
  <w:p w14:paraId="7AE10B51"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5597"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33FC13AA"/>
    <w:multiLevelType w:val="multilevel"/>
    <w:tmpl w:val="1A5E0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77D20"/>
    <w:multiLevelType w:val="hybridMultilevel"/>
    <w:tmpl w:val="BD5055BA"/>
    <w:lvl w:ilvl="0" w:tplc="29805BD6">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A7717"/>
    <w:multiLevelType w:val="hybridMultilevel"/>
    <w:tmpl w:val="8ED61A40"/>
    <w:lvl w:ilvl="0" w:tplc="A3B83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1E59AC"/>
    <w:multiLevelType w:val="hybridMultilevel"/>
    <w:tmpl w:val="40C63B08"/>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6"/>
  </w:num>
  <w:num w:numId="6">
    <w:abstractNumId w:val="4"/>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7FEC"/>
    <w:rsid w:val="000113B1"/>
    <w:rsid w:val="00021FC0"/>
    <w:rsid w:val="00024F00"/>
    <w:rsid w:val="0003198D"/>
    <w:rsid w:val="00046717"/>
    <w:rsid w:val="000525F5"/>
    <w:rsid w:val="00066DFE"/>
    <w:rsid w:val="000757F4"/>
    <w:rsid w:val="00077EBE"/>
    <w:rsid w:val="000861BA"/>
    <w:rsid w:val="00096724"/>
    <w:rsid w:val="000A4E3E"/>
    <w:rsid w:val="000B0192"/>
    <w:rsid w:val="000B021F"/>
    <w:rsid w:val="000B605E"/>
    <w:rsid w:val="000E16B9"/>
    <w:rsid w:val="000F71BD"/>
    <w:rsid w:val="0010415D"/>
    <w:rsid w:val="0012661D"/>
    <w:rsid w:val="001279B5"/>
    <w:rsid w:val="001314A0"/>
    <w:rsid w:val="00141AD3"/>
    <w:rsid w:val="00156CED"/>
    <w:rsid w:val="00164336"/>
    <w:rsid w:val="00170C0C"/>
    <w:rsid w:val="001844C4"/>
    <w:rsid w:val="0018576E"/>
    <w:rsid w:val="001913E5"/>
    <w:rsid w:val="0019538C"/>
    <w:rsid w:val="00197CB7"/>
    <w:rsid w:val="001A129D"/>
    <w:rsid w:val="001A1984"/>
    <w:rsid w:val="001B0A2F"/>
    <w:rsid w:val="001B2A49"/>
    <w:rsid w:val="001B417E"/>
    <w:rsid w:val="001C2CAF"/>
    <w:rsid w:val="001E21A8"/>
    <w:rsid w:val="001E3D7C"/>
    <w:rsid w:val="001F405F"/>
    <w:rsid w:val="001F66ED"/>
    <w:rsid w:val="002146EA"/>
    <w:rsid w:val="00216A63"/>
    <w:rsid w:val="00222C1C"/>
    <w:rsid w:val="00230229"/>
    <w:rsid w:val="00251DD1"/>
    <w:rsid w:val="00252A19"/>
    <w:rsid w:val="00254927"/>
    <w:rsid w:val="00264F2E"/>
    <w:rsid w:val="0026664D"/>
    <w:rsid w:val="00267781"/>
    <w:rsid w:val="002756F9"/>
    <w:rsid w:val="00286652"/>
    <w:rsid w:val="002B15FF"/>
    <w:rsid w:val="002B7F26"/>
    <w:rsid w:val="002E0949"/>
    <w:rsid w:val="002F395B"/>
    <w:rsid w:val="003044B3"/>
    <w:rsid w:val="003234A2"/>
    <w:rsid w:val="003234AB"/>
    <w:rsid w:val="003332E9"/>
    <w:rsid w:val="00342DFE"/>
    <w:rsid w:val="003540DB"/>
    <w:rsid w:val="00354539"/>
    <w:rsid w:val="0038288D"/>
    <w:rsid w:val="00393D13"/>
    <w:rsid w:val="00397383"/>
    <w:rsid w:val="003A2A15"/>
    <w:rsid w:val="003B2BCA"/>
    <w:rsid w:val="003C0434"/>
    <w:rsid w:val="003E5EFC"/>
    <w:rsid w:val="003F090F"/>
    <w:rsid w:val="003F72F1"/>
    <w:rsid w:val="00401AC9"/>
    <w:rsid w:val="00415FC4"/>
    <w:rsid w:val="0043684E"/>
    <w:rsid w:val="00461529"/>
    <w:rsid w:val="00461BD8"/>
    <w:rsid w:val="00480A52"/>
    <w:rsid w:val="00486B66"/>
    <w:rsid w:val="004969CD"/>
    <w:rsid w:val="004974EC"/>
    <w:rsid w:val="004B0BFC"/>
    <w:rsid w:val="004B138C"/>
    <w:rsid w:val="004B21C7"/>
    <w:rsid w:val="004F09D0"/>
    <w:rsid w:val="00501A11"/>
    <w:rsid w:val="005148BB"/>
    <w:rsid w:val="00522374"/>
    <w:rsid w:val="005421C3"/>
    <w:rsid w:val="00542768"/>
    <w:rsid w:val="005531AD"/>
    <w:rsid w:val="00587561"/>
    <w:rsid w:val="005875AA"/>
    <w:rsid w:val="00591901"/>
    <w:rsid w:val="005A3F39"/>
    <w:rsid w:val="005B145C"/>
    <w:rsid w:val="005E135B"/>
    <w:rsid w:val="00602E39"/>
    <w:rsid w:val="006149B7"/>
    <w:rsid w:val="00616F41"/>
    <w:rsid w:val="006226FE"/>
    <w:rsid w:val="0062444C"/>
    <w:rsid w:val="00631B88"/>
    <w:rsid w:val="006419D2"/>
    <w:rsid w:val="0065147C"/>
    <w:rsid w:val="006564E0"/>
    <w:rsid w:val="00667E55"/>
    <w:rsid w:val="00685598"/>
    <w:rsid w:val="00685929"/>
    <w:rsid w:val="006C06D5"/>
    <w:rsid w:val="006D2384"/>
    <w:rsid w:val="006D5800"/>
    <w:rsid w:val="006E21D9"/>
    <w:rsid w:val="006E23C6"/>
    <w:rsid w:val="006E3A68"/>
    <w:rsid w:val="006E585A"/>
    <w:rsid w:val="006F1611"/>
    <w:rsid w:val="0070491D"/>
    <w:rsid w:val="007054F7"/>
    <w:rsid w:val="007112D4"/>
    <w:rsid w:val="007128F1"/>
    <w:rsid w:val="00712CE4"/>
    <w:rsid w:val="00712D73"/>
    <w:rsid w:val="00732239"/>
    <w:rsid w:val="00735156"/>
    <w:rsid w:val="0074067A"/>
    <w:rsid w:val="00743564"/>
    <w:rsid w:val="00756499"/>
    <w:rsid w:val="007615F1"/>
    <w:rsid w:val="00761DFA"/>
    <w:rsid w:val="00775C29"/>
    <w:rsid w:val="00786627"/>
    <w:rsid w:val="007A2D35"/>
    <w:rsid w:val="007A679C"/>
    <w:rsid w:val="007B0787"/>
    <w:rsid w:val="007D3BF9"/>
    <w:rsid w:val="007E272C"/>
    <w:rsid w:val="007E7091"/>
    <w:rsid w:val="0081532E"/>
    <w:rsid w:val="00825D59"/>
    <w:rsid w:val="00832D07"/>
    <w:rsid w:val="0083451C"/>
    <w:rsid w:val="008647E4"/>
    <w:rsid w:val="008748BB"/>
    <w:rsid w:val="00877309"/>
    <w:rsid w:val="0088517B"/>
    <w:rsid w:val="00886B8D"/>
    <w:rsid w:val="008B5A49"/>
    <w:rsid w:val="008B7194"/>
    <w:rsid w:val="008C28F7"/>
    <w:rsid w:val="008C79BD"/>
    <w:rsid w:val="008C7C9A"/>
    <w:rsid w:val="008E11C1"/>
    <w:rsid w:val="008F59D1"/>
    <w:rsid w:val="00913261"/>
    <w:rsid w:val="00916442"/>
    <w:rsid w:val="00922308"/>
    <w:rsid w:val="00931F30"/>
    <w:rsid w:val="00937472"/>
    <w:rsid w:val="0095455F"/>
    <w:rsid w:val="009728C5"/>
    <w:rsid w:val="00995582"/>
    <w:rsid w:val="009A0C14"/>
    <w:rsid w:val="009C541E"/>
    <w:rsid w:val="009E4642"/>
    <w:rsid w:val="009E4BEF"/>
    <w:rsid w:val="00A0525B"/>
    <w:rsid w:val="00A50015"/>
    <w:rsid w:val="00A62A5E"/>
    <w:rsid w:val="00A8031B"/>
    <w:rsid w:val="00A8114B"/>
    <w:rsid w:val="00A86B40"/>
    <w:rsid w:val="00A92E3D"/>
    <w:rsid w:val="00A95CF8"/>
    <w:rsid w:val="00A95E1A"/>
    <w:rsid w:val="00AA4809"/>
    <w:rsid w:val="00AC4FAB"/>
    <w:rsid w:val="00AD7CE3"/>
    <w:rsid w:val="00AE0D8D"/>
    <w:rsid w:val="00AE1E85"/>
    <w:rsid w:val="00B20075"/>
    <w:rsid w:val="00B2161A"/>
    <w:rsid w:val="00B32D17"/>
    <w:rsid w:val="00B55BCF"/>
    <w:rsid w:val="00B7005D"/>
    <w:rsid w:val="00B82EF8"/>
    <w:rsid w:val="00B9360E"/>
    <w:rsid w:val="00BA1CB5"/>
    <w:rsid w:val="00BA50FA"/>
    <w:rsid w:val="00BA5857"/>
    <w:rsid w:val="00BA778D"/>
    <w:rsid w:val="00BC2533"/>
    <w:rsid w:val="00BD2A57"/>
    <w:rsid w:val="00BD6023"/>
    <w:rsid w:val="00BD6089"/>
    <w:rsid w:val="00BE11CE"/>
    <w:rsid w:val="00BE2A05"/>
    <w:rsid w:val="00BF03F0"/>
    <w:rsid w:val="00BF44C2"/>
    <w:rsid w:val="00BF5650"/>
    <w:rsid w:val="00C163B7"/>
    <w:rsid w:val="00C264B7"/>
    <w:rsid w:val="00C37FCD"/>
    <w:rsid w:val="00C45E6F"/>
    <w:rsid w:val="00C51EFA"/>
    <w:rsid w:val="00C639B0"/>
    <w:rsid w:val="00C64DD6"/>
    <w:rsid w:val="00C67527"/>
    <w:rsid w:val="00CA77CF"/>
    <w:rsid w:val="00CC0407"/>
    <w:rsid w:val="00CD3BA4"/>
    <w:rsid w:val="00CE33CC"/>
    <w:rsid w:val="00CE6131"/>
    <w:rsid w:val="00CE64A2"/>
    <w:rsid w:val="00CF0756"/>
    <w:rsid w:val="00CF1732"/>
    <w:rsid w:val="00D02B46"/>
    <w:rsid w:val="00D223A9"/>
    <w:rsid w:val="00D27C40"/>
    <w:rsid w:val="00D33F0B"/>
    <w:rsid w:val="00D36ADA"/>
    <w:rsid w:val="00D5041E"/>
    <w:rsid w:val="00D61F1E"/>
    <w:rsid w:val="00D81321"/>
    <w:rsid w:val="00DA0925"/>
    <w:rsid w:val="00DA5F0A"/>
    <w:rsid w:val="00DB4132"/>
    <w:rsid w:val="00DB5E86"/>
    <w:rsid w:val="00DB7347"/>
    <w:rsid w:val="00DD3C66"/>
    <w:rsid w:val="00DD7856"/>
    <w:rsid w:val="00DE330A"/>
    <w:rsid w:val="00E03AE8"/>
    <w:rsid w:val="00E0470F"/>
    <w:rsid w:val="00E04B69"/>
    <w:rsid w:val="00E05F2D"/>
    <w:rsid w:val="00E1318A"/>
    <w:rsid w:val="00E20543"/>
    <w:rsid w:val="00E272A8"/>
    <w:rsid w:val="00E30161"/>
    <w:rsid w:val="00E377E2"/>
    <w:rsid w:val="00E417C4"/>
    <w:rsid w:val="00E5346A"/>
    <w:rsid w:val="00E54449"/>
    <w:rsid w:val="00E70673"/>
    <w:rsid w:val="00E747B6"/>
    <w:rsid w:val="00E753B9"/>
    <w:rsid w:val="00E755DC"/>
    <w:rsid w:val="00E96673"/>
    <w:rsid w:val="00E976EE"/>
    <w:rsid w:val="00EA0247"/>
    <w:rsid w:val="00EA0570"/>
    <w:rsid w:val="00ED4AEF"/>
    <w:rsid w:val="00EE09C9"/>
    <w:rsid w:val="00EE6582"/>
    <w:rsid w:val="00EF48D7"/>
    <w:rsid w:val="00F07FB7"/>
    <w:rsid w:val="00F116BA"/>
    <w:rsid w:val="00F17A7B"/>
    <w:rsid w:val="00F40511"/>
    <w:rsid w:val="00F6479A"/>
    <w:rsid w:val="00F666E9"/>
    <w:rsid w:val="00F829A1"/>
    <w:rsid w:val="00F87596"/>
    <w:rsid w:val="00FC5BA6"/>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9A37"/>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lp"/>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25D59"/>
    <w:rPr>
      <w:sz w:val="16"/>
      <w:szCs w:val="16"/>
    </w:rPr>
  </w:style>
  <w:style w:type="paragraph" w:styleId="CommentText">
    <w:name w:val="annotation text"/>
    <w:basedOn w:val="Normal"/>
    <w:link w:val="CommentTextChar"/>
    <w:uiPriority w:val="99"/>
    <w:unhideWhenUsed/>
    <w:rsid w:val="00825D59"/>
    <w:pPr>
      <w:spacing w:line="240" w:lineRule="auto"/>
    </w:pPr>
    <w:rPr>
      <w:sz w:val="20"/>
      <w:szCs w:val="20"/>
    </w:rPr>
  </w:style>
  <w:style w:type="character" w:customStyle="1" w:styleId="CommentTextChar">
    <w:name w:val="Comment Text Char"/>
    <w:basedOn w:val="DefaultParagraphFont"/>
    <w:link w:val="CommentText"/>
    <w:uiPriority w:val="99"/>
    <w:rsid w:val="00825D59"/>
    <w:rPr>
      <w:lang w:eastAsia="en-US"/>
    </w:rPr>
  </w:style>
  <w:style w:type="paragraph" w:styleId="CommentSubject">
    <w:name w:val="annotation subject"/>
    <w:basedOn w:val="CommentText"/>
    <w:next w:val="CommentText"/>
    <w:link w:val="CommentSubjectChar"/>
    <w:uiPriority w:val="99"/>
    <w:semiHidden/>
    <w:unhideWhenUsed/>
    <w:rsid w:val="00825D59"/>
    <w:rPr>
      <w:b/>
      <w:bCs/>
    </w:rPr>
  </w:style>
  <w:style w:type="character" w:customStyle="1" w:styleId="CommentSubjectChar">
    <w:name w:val="Comment Subject Char"/>
    <w:basedOn w:val="CommentTextChar"/>
    <w:link w:val="CommentSubject"/>
    <w:uiPriority w:val="99"/>
    <w:semiHidden/>
    <w:rsid w:val="00825D59"/>
    <w:rPr>
      <w:b/>
      <w:bCs/>
      <w:lang w:eastAsia="en-US"/>
    </w:rPr>
  </w:style>
  <w:style w:type="character" w:styleId="Hyperlink">
    <w:name w:val="Hyperlink"/>
    <w:basedOn w:val="DefaultParagraphFont"/>
    <w:uiPriority w:val="99"/>
    <w:unhideWhenUsed/>
    <w:rsid w:val="000861BA"/>
    <w:rPr>
      <w:color w:val="0563C1" w:themeColor="hyperlink"/>
      <w:u w:val="single"/>
    </w:rPr>
  </w:style>
  <w:style w:type="character" w:customStyle="1" w:styleId="UnresolvedMention">
    <w:name w:val="Unresolved Mention"/>
    <w:basedOn w:val="DefaultParagraphFont"/>
    <w:uiPriority w:val="99"/>
    <w:semiHidden/>
    <w:unhideWhenUsed/>
    <w:rsid w:val="0009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60336">
      <w:bodyDiv w:val="1"/>
      <w:marLeft w:val="0"/>
      <w:marRight w:val="0"/>
      <w:marTop w:val="0"/>
      <w:marBottom w:val="0"/>
      <w:divBdr>
        <w:top w:val="none" w:sz="0" w:space="0" w:color="auto"/>
        <w:left w:val="none" w:sz="0" w:space="0" w:color="auto"/>
        <w:bottom w:val="none" w:sz="0" w:space="0" w:color="auto"/>
        <w:right w:val="none" w:sz="0" w:space="0" w:color="auto"/>
      </w:divBdr>
    </w:div>
    <w:div w:id="1526409577">
      <w:bodyDiv w:val="1"/>
      <w:marLeft w:val="0"/>
      <w:marRight w:val="0"/>
      <w:marTop w:val="0"/>
      <w:marBottom w:val="0"/>
      <w:divBdr>
        <w:top w:val="none" w:sz="0" w:space="0" w:color="auto"/>
        <w:left w:val="none" w:sz="0" w:space="0" w:color="auto"/>
        <w:bottom w:val="none" w:sz="0" w:space="0" w:color="auto"/>
        <w:right w:val="none" w:sz="0" w:space="0" w:color="auto"/>
      </w:divBdr>
    </w:div>
    <w:div w:id="16352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hajredini@kru-prishtin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sim.fetahu@kru-prishti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F7B44-CCB6-4988-85F1-A1078FA8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3276</Words>
  <Characters>18674</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28</cp:revision>
  <cp:lastPrinted>2015-01-05T12:29:00Z</cp:lastPrinted>
  <dcterms:created xsi:type="dcterms:W3CDTF">2024-08-07T08:39:00Z</dcterms:created>
  <dcterms:modified xsi:type="dcterms:W3CDTF">2024-10-28T12:57:00Z</dcterms:modified>
</cp:coreProperties>
</file>