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FB" w:rsidRPr="00663B5B" w:rsidRDefault="00EE5EFB" w:rsidP="00EE5EFB">
      <w:pPr>
        <w:pStyle w:val="Title"/>
        <w:pBdr>
          <w:bottom w:val="single" w:sz="8" w:space="0" w:color="5B9BD5"/>
        </w:pBdr>
        <w:spacing w:before="120" w:after="0" w:line="276" w:lineRule="auto"/>
        <w:jc w:val="center"/>
        <w:rPr>
          <w:sz w:val="36"/>
          <w:szCs w:val="36"/>
          <w:rFonts w:ascii="Arial" w:hAnsi="Arial" w:cs="Arial"/>
        </w:rPr>
      </w:pPr>
      <w:r>
        <w:rPr>
          <w:sz w:val="36"/>
          <w:rFonts w:ascii="Arial" w:hAnsi="Arial"/>
        </w:rPr>
        <w:t xml:space="preserve">Formular za identifikaciju projekta (FIP):</w:t>
      </w:r>
      <w:r>
        <w:rPr>
          <w:sz w:val="36"/>
          <w:rFonts w:ascii="Arial" w:hAnsi="Arial"/>
        </w:rPr>
        <w:t xml:space="preserve"> </w:t>
      </w:r>
      <w:r>
        <w:rPr>
          <w:sz w:val="36"/>
          <w:rFonts w:ascii="Arial" w:hAnsi="Arial"/>
        </w:rPr>
        <w:t xml:space="preserve">Transportni sektor</w:t>
      </w:r>
    </w:p>
    <w:p w:rsidR="006E162F" w:rsidRPr="00045251" w:rsidRDefault="006E162F" w:rsidP="006E162F">
      <w:pPr>
        <w:tabs>
          <w:tab w:val="left" w:pos="1176"/>
        </w:tabs>
        <w:jc w:val="center"/>
        <w:rPr>
          <w:rFonts w:ascii="Arial" w:hAnsi="Arial" w:cs="Arial"/>
        </w:rPr>
      </w:pPr>
    </w:p>
    <w:p w:rsidR="006E162F" w:rsidRPr="00B04E99" w:rsidRDefault="006E162F" w:rsidP="006E162F">
      <w:pPr>
        <w:jc w:val="center"/>
        <w:rPr>
          <w:b/>
          <w:sz w:val="28"/>
          <w:szCs w:val="28"/>
          <w:rFonts w:ascii="Arial" w:hAnsi="Arial" w:cs="Arial"/>
        </w:rPr>
      </w:pPr>
      <w:bookmarkStart w:id="0" w:name="_Toc125162138"/>
      <w:r>
        <w:rPr>
          <w:b/>
          <w:sz w:val="28"/>
          <w:rFonts w:ascii="Arial" w:hAnsi="Arial"/>
        </w:rPr>
        <w:t xml:space="preserve">Prvi deo</w:t>
      </w:r>
      <w:bookmarkEnd w:id="0"/>
    </w:p>
    <w:p w:rsidR="006E162F" w:rsidRPr="00B04E99" w:rsidRDefault="006E162F" w:rsidP="006E162F">
      <w:pPr>
        <w:tabs>
          <w:tab w:val="left" w:pos="1176"/>
        </w:tabs>
        <w:jc w:val="center"/>
        <w:rPr>
          <w:rFonts w:ascii="Arial" w:hAnsi="Arial" w:cs="Arial"/>
        </w:rPr>
      </w:pPr>
    </w:p>
    <w:p w:rsidR="006E162F" w:rsidRDefault="006E162F" w:rsidP="006E162F">
      <w:pPr>
        <w:numPr>
          <w:ilvl w:val="0"/>
          <w:numId w:val="4"/>
        </w:numPr>
        <w:spacing w:before="200" w:after="200" w:line="276" w:lineRule="auto"/>
        <w:contextualSpacing/>
        <w:rPr>
          <w:b/>
          <w:bCs/>
          <w:szCs w:val="20"/>
          <w:rFonts w:ascii="Arial" w:eastAsia="Times New Roman" w:hAnsi="Arial" w:cs="Arial"/>
        </w:rPr>
      </w:pPr>
      <w:r>
        <w:rPr>
          <w:b/>
          <w:rFonts w:ascii="Arial" w:hAnsi="Arial"/>
        </w:rPr>
        <w:t xml:space="preserve">OPŠTE INFORMACIJE</w:t>
      </w:r>
    </w:p>
    <w:p w:rsidR="006E162F" w:rsidRPr="00B04E99" w:rsidRDefault="006E162F" w:rsidP="006E162F">
      <w:pPr>
        <w:spacing w:before="200" w:after="200" w:line="276" w:lineRule="auto"/>
        <w:ind w:left="360"/>
        <w:contextualSpacing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15"/>
        <w:gridCol w:w="6135"/>
      </w:tblGrid>
      <w:tr w:rsidR="006E162F" w:rsidRPr="00045251" w:rsidTr="00B649C0">
        <w:trPr>
          <w:trHeight w:val="346"/>
          <w:jc w:val="center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spacing w:before="120" w:after="12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Naziv projekta: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EE5EFB" w:rsidRDefault="006E162F" w:rsidP="00B649C0">
            <w:pPr>
              <w:spacing w:before="120" w:after="120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nove železničke pruge (Kramovik– Đakovica ), 20 km</w:t>
            </w:r>
          </w:p>
        </w:tc>
      </w:tr>
      <w:tr w:rsidR="006E162F" w:rsidRPr="00045251" w:rsidTr="00B649C0">
        <w:trPr>
          <w:trHeight w:val="330"/>
          <w:jc w:val="center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162F" w:rsidRPr="00045251" w:rsidRDefault="006E162F" w:rsidP="00B649C0">
            <w:pPr>
              <w:spacing w:before="120" w:after="12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Sektor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F" w:rsidRPr="00EE5EFB" w:rsidRDefault="006E162F" w:rsidP="00B649C0">
            <w:pPr>
              <w:spacing w:before="120" w:after="120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Transport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  <w:tr w:rsidR="006E162F" w:rsidRPr="00045251" w:rsidTr="00B649C0">
        <w:trPr>
          <w:trHeight w:val="330"/>
          <w:jc w:val="center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spacing w:before="120" w:after="12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Podsektor* (vidi spisak na poslednjoj strani)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EE5EFB" w:rsidRDefault="006E162F" w:rsidP="00B649C0">
            <w:pPr>
              <w:spacing w:before="120" w:after="120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Železnica</w:t>
            </w:r>
          </w:p>
        </w:tc>
      </w:tr>
      <w:tr w:rsidR="006E162F" w:rsidRPr="00045251" w:rsidTr="00B649C0">
        <w:trPr>
          <w:trHeight w:val="330"/>
          <w:jc w:val="center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spacing w:before="120" w:after="12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Vodeći korisnik projekta/predlagač: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EE5EFB" w:rsidRDefault="006E162F" w:rsidP="00786A40">
            <w:pPr>
              <w:ind w:left="29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životne sredine, prostornog planiranja i infrastrukture (MŽSPPI) i Ministarstvo ekonomije (ME); Železnička infrastuktura Kosova A.D.– INFRAKOS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6E162F" w:rsidRPr="00045251" w:rsidTr="00B649C0">
        <w:trPr>
          <w:trHeight w:val="330"/>
          <w:jc w:val="center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spacing w:before="120" w:after="120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Institucija autor predloga projekta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EE5EFB" w:rsidRDefault="00EE5EFB" w:rsidP="00B649C0">
            <w:pPr>
              <w:spacing w:before="120" w:after="120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Železnička infrastuktura Kosova A.D.– INFRAKOS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6E162F" w:rsidRPr="00EE5EFB" w:rsidRDefault="00EE5EFB" w:rsidP="00B649C0">
            <w:pPr>
              <w:spacing w:before="120" w:after="120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MŽSPPI</w:t>
            </w:r>
          </w:p>
        </w:tc>
      </w:tr>
      <w:tr w:rsidR="006E162F" w:rsidRPr="00045251" w:rsidTr="00B649C0">
        <w:trPr>
          <w:trHeight w:val="330"/>
          <w:jc w:val="center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Lokacija/mapa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5C2856" w:rsidRDefault="006E162F" w:rsidP="00B649C0">
            <w:pPr>
              <w:spacing w:before="60" w:after="60" w:line="260" w:lineRule="atLeast"/>
              <w:rPr>
                <w:i/>
                <w:color w:val="2E74B5" w:themeColor="accent5" w:themeShade="BF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color w:val="2E74B5" w:themeColor="accent5" w:themeShade="BF"/>
                <w:sz w:val="20"/>
                <w:rFonts w:ascii="Arial" w:hAnsi="Arial"/>
              </w:rPr>
              <w:drawing>
                <wp:inline distT="0" distB="0" distL="0" distR="0" wp14:anchorId="7220A881" wp14:editId="69ED41A4">
                  <wp:extent cx="3718119" cy="3609892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590" cy="361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62F" w:rsidRPr="00045251" w:rsidTr="00B649C0">
        <w:trPr>
          <w:trHeight w:val="330"/>
          <w:jc w:val="center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Ukupna procenjena investicija:</w:t>
            </w:r>
          </w:p>
          <w:p w:rsidR="006E162F" w:rsidRPr="00045251" w:rsidRDefault="006E162F" w:rsidP="006E162F">
            <w:pPr>
              <w:numPr>
                <w:ilvl w:val="0"/>
                <w:numId w:val="1"/>
              </w:num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Pripremne aktivnosti (planska dokumentacija, tehnička dokumentacija, kupovima zemljišta, itd.)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6E162F" w:rsidRPr="00045251" w:rsidRDefault="006E162F" w:rsidP="006E162F">
            <w:pPr>
              <w:numPr>
                <w:ilvl w:val="0"/>
                <w:numId w:val="1"/>
              </w:num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Građevinski radovi</w:t>
            </w:r>
          </w:p>
          <w:p w:rsidR="006E162F" w:rsidRPr="00045251" w:rsidRDefault="006E162F" w:rsidP="006E162F">
            <w:pPr>
              <w:numPr>
                <w:ilvl w:val="0"/>
                <w:numId w:val="1"/>
              </w:num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Nadzor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952BE5" w:rsidRDefault="006E162F" w:rsidP="00B649C0">
            <w:pPr>
              <w:spacing w:before="60" w:after="60" w:line="260" w:lineRule="atLeast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Ukupna procenjena investicija: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63.802.000 EUR</w:t>
            </w:r>
          </w:p>
          <w:p w:rsidR="006E162F" w:rsidRPr="00AF3D1E" w:rsidRDefault="006E162F" w:rsidP="00B649C0">
            <w:pPr>
              <w:spacing w:before="60" w:after="60" w:line="260" w:lineRule="atLeast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Od čega:</w:t>
            </w:r>
          </w:p>
          <w:p w:rsidR="006E162F" w:rsidRPr="00403075" w:rsidRDefault="00403075" w:rsidP="00403075">
            <w:pPr>
              <w:spacing w:before="60" w:after="60" w:line="260" w:lineRule="atLeast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Pripremne aktivnosti: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3.500.000 EUR</w:t>
            </w:r>
          </w:p>
          <w:p w:rsidR="00403075" w:rsidRPr="00403075" w:rsidRDefault="00403075" w:rsidP="00403075">
            <w:pPr>
              <w:spacing w:before="60" w:after="60" w:line="260" w:lineRule="atLeast"/>
              <w:rPr>
                <w:bCs/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Građevinski radovi:</w:t>
            </w:r>
            <w:r>
              <w:rPr>
                <w:sz w:val="20"/>
                <w:rFonts w:ascii="Arial" w:hAnsi="Arial"/>
              </w:rPr>
              <w:t xml:space="preserve">   </w:t>
            </w:r>
            <w:r>
              <w:rPr>
                <w:sz w:val="20"/>
                <w:rFonts w:ascii="Arial" w:hAnsi="Arial"/>
              </w:rPr>
              <w:t xml:space="preserve">57.302.000 EUR</w:t>
            </w:r>
          </w:p>
          <w:p w:rsidR="006E162F" w:rsidRPr="00403075" w:rsidRDefault="00403075" w:rsidP="00403075">
            <w:pPr>
              <w:spacing w:before="60" w:after="60" w:line="260" w:lineRule="atLeast"/>
              <w:rPr>
                <w:bCs/>
                <w:sz w:val="20"/>
                <w:szCs w:val="20"/>
                <w:rFonts w:cs="Arial"/>
              </w:rPr>
            </w:pPr>
            <w:r>
              <w:rPr>
                <w:sz w:val="20"/>
                <w:rFonts w:ascii="Arial" w:hAnsi="Arial"/>
              </w:rPr>
              <w:t xml:space="preserve">Nadzor:</w:t>
            </w:r>
            <w:r>
              <w:rPr>
                <w:sz w:val="20"/>
                <w:rFonts w:ascii="Arial" w:hAnsi="Arial"/>
              </w:rPr>
              <w:t xml:space="preserve">  </w:t>
            </w:r>
            <w:r>
              <w:rPr>
                <w:sz w:val="20"/>
                <w:rFonts w:ascii="Arial" w:hAnsi="Arial"/>
              </w:rPr>
              <w:t xml:space="preserve">3.000.000 EUR</w:t>
            </w:r>
          </w:p>
        </w:tc>
      </w:tr>
      <w:tr w:rsidR="006E162F" w:rsidRPr="00045251" w:rsidTr="00B649C0">
        <w:trPr>
          <w:trHeight w:val="346"/>
          <w:jc w:val="center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Odgovorno ili ovlašćeno lice za kontakt: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2F" w:rsidRPr="00AF3D1E" w:rsidRDefault="006E162F" w:rsidP="00B649C0">
            <w:pPr>
              <w:spacing w:before="60" w:after="60" w:line="260" w:lineRule="atLeast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Naser Krasnići</w:t>
            </w:r>
          </w:p>
        </w:tc>
      </w:tr>
      <w:tr w:rsidR="006E162F" w:rsidRPr="00045251" w:rsidTr="00B649C0">
        <w:trPr>
          <w:trHeight w:val="346"/>
          <w:jc w:val="center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Naziv - radno mesto: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F3D1E" w:rsidRDefault="006E162F" w:rsidP="00B649C0">
            <w:p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Izvršni direktor Železničke infrastukture Kosova A.D. - INFRAKOS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6E162F" w:rsidRPr="00045251" w:rsidTr="00B649C0">
        <w:trPr>
          <w:trHeight w:val="346"/>
          <w:jc w:val="center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spacing w:before="60" w:after="60" w:line="260" w:lineRule="atLeast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E-mail adresa - telefon: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9F2326" w:rsidRDefault="006701E5" w:rsidP="00B649C0">
            <w:pPr>
              <w:spacing w:before="60" w:after="60" w:line="260" w:lineRule="atLeast"/>
              <w:rPr>
                <w:color w:val="2E74B5" w:themeColor="accent5" w:themeShade="BF"/>
                <w:sz w:val="20"/>
                <w:szCs w:val="20"/>
                <w:rFonts w:ascii="Arial" w:eastAsia="Times New Roman" w:hAnsi="Arial" w:cs="Arial"/>
              </w:rPr>
            </w:pPr>
            <w:hyperlink r:id="rId8" w:history="1">
              <w:r>
                <w:rPr>
                  <w:rStyle w:val="Hyperlink"/>
                  <w:sz w:val="20"/>
                  <w:rFonts w:ascii="Arial" w:hAnsi="Arial"/>
                </w:rPr>
                <w:t xml:space="preserve">naser.krasniqi@kosovorailway.com</w:t>
              </w:r>
            </w:hyperlink>
            <w:r>
              <w:rPr>
                <w:sz w:val="20"/>
                <w:rFonts w:ascii="Arial" w:hAnsi="Arial"/>
              </w:rPr>
              <w:t xml:space="preserve"> </w:t>
            </w:r>
          </w:p>
          <w:p w:rsidR="006E162F" w:rsidRPr="00AF3D1E" w:rsidRDefault="006E162F" w:rsidP="00B649C0">
            <w:pPr>
              <w:spacing w:before="60" w:after="60" w:line="260" w:lineRule="atLeast"/>
              <w:rPr>
                <w:color w:val="2E74B5" w:themeColor="accent5" w:themeShade="BF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Tel: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+383 38 550 550 lok.505</w:t>
            </w:r>
          </w:p>
        </w:tc>
      </w:tr>
    </w:tbl>
    <w:p w:rsidR="006E162F" w:rsidRPr="00B04E99" w:rsidRDefault="006E162F" w:rsidP="006E162F">
      <w:pPr>
        <w:spacing w:before="200" w:after="200" w:line="276" w:lineRule="auto"/>
        <w:ind w:left="360"/>
        <w:contextualSpacing/>
        <w:rPr>
          <w:rFonts w:ascii="Arial" w:eastAsia="Times New Roman" w:hAnsi="Arial" w:cs="Arial"/>
          <w:b/>
          <w:bCs/>
        </w:rPr>
      </w:pPr>
    </w:p>
    <w:p w:rsidR="006E162F" w:rsidRDefault="006E162F" w:rsidP="006E162F">
      <w:pPr>
        <w:numPr>
          <w:ilvl w:val="0"/>
          <w:numId w:val="4"/>
        </w:numPr>
        <w:spacing w:before="200" w:after="200" w:line="276" w:lineRule="auto"/>
        <w:contextualSpacing/>
        <w:rPr>
          <w:b/>
          <w:bCs/>
          <w:szCs w:val="20"/>
          <w:rFonts w:ascii="Arial" w:eastAsia="Times New Roman" w:hAnsi="Arial" w:cs="Arial"/>
        </w:rPr>
      </w:pPr>
      <w:r>
        <w:rPr>
          <w:b/>
          <w:rFonts w:ascii="Arial" w:hAnsi="Arial"/>
        </w:rPr>
        <w:t xml:space="preserve">OPIS PROJEKTA</w:t>
      </w:r>
    </w:p>
    <w:p w:rsidR="006E162F" w:rsidRPr="00B04E99" w:rsidRDefault="006E162F" w:rsidP="006E162F">
      <w:pPr>
        <w:spacing w:before="200" w:after="200" w:line="276" w:lineRule="auto"/>
        <w:ind w:left="360"/>
        <w:contextualSpacing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12"/>
        <w:gridCol w:w="6738"/>
      </w:tblGrid>
      <w:tr w:rsidR="006E162F" w:rsidRPr="00045251" w:rsidTr="00B649C0">
        <w:trPr>
          <w:trHeight w:val="7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contextualSpacing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Svrha infrastrukturnog projekta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Opšti cilj projekta je podrška razvoju transportne infrastrukture kao i reformskim procesima u sektoru transporta na Kosovu i regionu u skladu sa relevantnim direktivama i uredbama EU.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Projekat će omogućiti bolju multimodalnost, bolju povezanost sa drugim vidovima transporta i ekološki prihvatljiva transportna rešenja koja će kombinovati drumski i železnički transport.</w:t>
            </w:r>
          </w:p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Specifični cilj ovog projekta je izgradnja nove železničke pruge između Kramovika i Đakovice u cilju stvaranja novih mogućnosti za razvoj intermodalnog i multimodalnog transporta, povećanja broja ljudi sa poboljšanim pristupom uslugama, povećanja brzine i bezbednosti transporta i ispunjenja traženih kriterijuma za interoperabilnost.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Sprovođenje ovog projekta će doprineti povećanju kapaciteta i razvoju železničkog tržišta na Kosova i šire.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6E162F" w:rsidRPr="005C2856" w:rsidRDefault="006E162F" w:rsidP="00786A40">
            <w:pPr>
              <w:spacing w:before="60" w:after="60" w:line="260" w:lineRule="atLeast"/>
              <w:jc w:val="both"/>
              <w:rPr>
                <w:bCs/>
                <w:i/>
                <w:color w:val="2E74B5" w:themeColor="accent5" w:themeShade="BF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Ova železnička linija je od velikog interesa za Kosovo, jer nudi ekonomske, socijalne i ekološke koristi.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Kroz ovaj projekat, preduzeća i industrija Kosova će imati potencijalni rast i bolje veze sa susednim zemljama i širim regionalnim preduzećima preko železničke trase 10 i veze sa lukom Drač u Albaniji.</w:t>
            </w:r>
            <w:r>
              <w:rPr>
                <w:sz w:val="20"/>
                <w:i/>
                <w:rFonts w:ascii="Arial" w:hAnsi="Arial"/>
              </w:rPr>
              <w:t xml:space="preserve"> </w:t>
            </w:r>
          </w:p>
        </w:tc>
      </w:tr>
      <w:tr w:rsidR="006E162F" w:rsidRPr="00045251" w:rsidTr="00B649C0">
        <w:trPr>
          <w:trHeight w:val="1529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contextualSpacing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Rezultati infrastrukturnog projekta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F" w:rsidRPr="00A31976" w:rsidRDefault="00D626E5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Izgradnjom ove nove pruge povezaće se dva velika grada dve susedne zemlje je omogućilo interoperabilna železnička infrastruktura koja će podržati bezbedan železnički saobraćaj i biće podržano otvaranje železničkog tržišta za domaće, regionalne i međunarodne železničke operatere.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Glavni akteri na koje utiče ovaj projekat državni železničko preduzeće Kosova (TRAINKOS) i sva druga železnička preduzeća (lokalna, regionalna i EU) koji će koristiti ovu infrastrukturu u budućnosti.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železničke pruge Kramovik – Đakovica će za posledicu imati: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6E162F" w:rsidRPr="00D626E5" w:rsidRDefault="00786A40" w:rsidP="00D626E5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bCs/>
                <w:sz w:val="20"/>
                <w:szCs w:val="20"/>
                <w:rFonts w:eastAsia="Times New Roman" w:cs="Arial"/>
              </w:rPr>
            </w:pPr>
            <w:r>
              <w:rPr>
                <w:sz w:val="20"/>
              </w:rPr>
              <w:t xml:space="preserve">bolje uslove bezbednosti i brzine ove linije;</w:t>
            </w:r>
          </w:p>
          <w:p w:rsidR="006E162F" w:rsidRPr="00D626E5" w:rsidRDefault="00786A40" w:rsidP="00D626E5">
            <w:pPr>
              <w:pStyle w:val="ListParagraph"/>
              <w:numPr>
                <w:ilvl w:val="0"/>
                <w:numId w:val="6"/>
              </w:numPr>
              <w:spacing w:before="60" w:after="60" w:line="260" w:lineRule="atLeast"/>
              <w:jc w:val="both"/>
              <w:rPr>
                <w:bCs/>
                <w:sz w:val="20"/>
                <w:szCs w:val="20"/>
                <w:rFonts w:eastAsia="Times New Roman" w:cs="Arial"/>
              </w:rPr>
            </w:pPr>
            <w:r>
              <w:rPr>
                <w:sz w:val="20"/>
              </w:rPr>
              <w:t xml:space="preserve">interoperabilna železnička infrastruktura kao veza između susednih zemalja i šireg regiona;</w:t>
            </w:r>
          </w:p>
          <w:p w:rsidR="006E162F" w:rsidRPr="00A31976" w:rsidRDefault="00786A40" w:rsidP="006E162F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bolji uslovi za razvoj putničkog i teretnog saobraćaja;</w:t>
            </w:r>
          </w:p>
          <w:p w:rsidR="006E162F" w:rsidRPr="00A31976" w:rsidRDefault="00786A40" w:rsidP="006E162F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povećan ekonomski rast i društveni razvoj;</w:t>
            </w:r>
          </w:p>
          <w:p w:rsidR="006E162F" w:rsidRPr="00A31976" w:rsidRDefault="00786A40" w:rsidP="006E162F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olakšane trgovinske i ekonomske veze sa susednim zemljama i državama članicama EU;</w:t>
            </w:r>
          </w:p>
          <w:p w:rsidR="006E162F" w:rsidRPr="00A31976" w:rsidRDefault="00786A40" w:rsidP="006E162F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transportnih kapaciteta;</w:t>
            </w:r>
          </w:p>
          <w:p w:rsidR="006E162F" w:rsidRPr="00A31976" w:rsidRDefault="00786A40" w:rsidP="006E162F">
            <w:pPr>
              <w:numPr>
                <w:ilvl w:val="0"/>
                <w:numId w:val="2"/>
              </w:numPr>
              <w:spacing w:before="60" w:after="60" w:line="260" w:lineRule="atLeast"/>
              <w:contextualSpacing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razvoj multimodalnog i intermodalnog transporta na Kosovu i šire.</w:t>
            </w:r>
          </w:p>
          <w:p w:rsidR="006E162F" w:rsidRPr="005C2856" w:rsidRDefault="006E162F" w:rsidP="00D626E5">
            <w:pPr>
              <w:spacing w:before="60" w:after="60" w:line="260" w:lineRule="atLeast"/>
              <w:jc w:val="both"/>
              <w:rPr>
                <w:bCs/>
                <w:i/>
                <w:color w:val="2E74B5" w:themeColor="accent5" w:themeShade="BF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Takođe, ovaj projekat će uspostaviti železnički saobraćaj između centralnog železničkog čvora u Kosovu Polju i južnog/zapadnog dela Kosova.</w:t>
            </w:r>
          </w:p>
        </w:tc>
      </w:tr>
      <w:tr w:rsidR="006E162F" w:rsidRPr="00045251" w:rsidTr="00B649C0">
        <w:trPr>
          <w:trHeight w:val="1709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786A40" w:rsidP="00786A40">
            <w:pPr>
              <w:contextualSpacing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Opšti opis</w:t>
            </w:r>
          </w:p>
        </w:tc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je od velikog značaja za budući razvoj železnice u ovom regionu, posebno za Kosovo.</w:t>
            </w:r>
          </w:p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Železnička linija Jug/Zapad (Kramovik – Đakovica) je veoma važna za buduće povezivanje Koridora X – železničke trase 10 i Koridora VIII.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Ovo je regionalni projekat koji prethodi povezivanju Kosova i susedne zemlje (Albanije) u budućnosti.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Doprinosi regionalnoj koheziji i pomoći će u razvoju besprekornih veza za putnike i teret na zapadnom Balkanu.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Osim veze za jug/zapad Kosova, ova linija će doprineti skraćenju železničke veze između Kosova i morske luke Drač u Albaniji u budućnosti.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6E162F" w:rsidRPr="00A31976" w:rsidRDefault="006E162F" w:rsidP="00B649C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Geografski položaj ove železničke pruge u dužini od oko 20 km je prikazan u nastavku:</w:t>
            </w:r>
          </w:p>
          <w:p w:rsidR="006E162F" w:rsidRPr="00045251" w:rsidRDefault="006E162F" w:rsidP="00B649C0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 w:line="260" w:lineRule="atLeast"/>
              <w:rPr>
                <w:i/>
                <w:color w:val="2F5496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i/>
                <w:color w:val="2F5496"/>
                <w:sz w:val="20"/>
                <w:rFonts w:ascii="Arial" w:hAnsi="Arial"/>
              </w:rPr>
              <w:drawing>
                <wp:inline distT="0" distB="0" distL="0" distR="0" wp14:anchorId="4DFC1641" wp14:editId="5AEEA81C">
                  <wp:extent cx="4094377" cy="3101009"/>
                  <wp:effectExtent l="0" t="0" r="1905" b="444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139" cy="3108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6A40" w:rsidRDefault="00786A40" w:rsidP="00786A40">
      <w:pPr>
        <w:spacing w:before="200" w:after="200" w:line="276" w:lineRule="auto"/>
        <w:ind w:left="360"/>
        <w:contextualSpacing/>
        <w:rPr>
          <w:rFonts w:ascii="Arial" w:eastAsia="Times New Roman" w:hAnsi="Arial" w:cs="Arial"/>
          <w:b/>
          <w:bCs/>
          <w:szCs w:val="20"/>
        </w:rPr>
      </w:pPr>
    </w:p>
    <w:p w:rsidR="006E162F" w:rsidRDefault="006E162F" w:rsidP="006E162F">
      <w:pPr>
        <w:numPr>
          <w:ilvl w:val="0"/>
          <w:numId w:val="4"/>
        </w:numPr>
        <w:spacing w:before="200" w:after="200" w:line="276" w:lineRule="auto"/>
        <w:contextualSpacing/>
        <w:rPr>
          <w:b/>
          <w:bCs/>
          <w:szCs w:val="20"/>
          <w:rFonts w:ascii="Arial" w:eastAsia="Times New Roman" w:hAnsi="Arial" w:cs="Arial"/>
        </w:rPr>
      </w:pPr>
      <w:r>
        <w:rPr>
          <w:b/>
          <w:rFonts w:ascii="Arial" w:hAnsi="Arial"/>
        </w:rPr>
        <w:t xml:space="preserve">PODOBNOST</w:t>
      </w:r>
    </w:p>
    <w:p w:rsidR="006E162F" w:rsidRPr="00B04E99" w:rsidRDefault="006E162F" w:rsidP="006E162F">
      <w:pPr>
        <w:spacing w:before="200" w:after="200" w:line="276" w:lineRule="auto"/>
        <w:ind w:left="360"/>
        <w:contextualSpacing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5000" w:type="pct"/>
        <w:tblInd w:w="-5" w:type="dxa"/>
        <w:tblLook w:val="01E0" w:firstRow="1" w:lastRow="1" w:firstColumn="1" w:lastColumn="1" w:noHBand="0" w:noVBand="0"/>
      </w:tblPr>
      <w:tblGrid>
        <w:gridCol w:w="3828"/>
        <w:gridCol w:w="5522"/>
      </w:tblGrid>
      <w:tr w:rsidR="006E162F" w:rsidRPr="00045251" w:rsidTr="00B649C0">
        <w:trPr>
          <w:trHeight w:val="701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Usklađenost sa važećim politikama i strategijama EU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Jugozapadna železnička linija (Kramovik – Đakovica) je regionalni projekat jer će služiti kao preduslov železničke veze između morske luke Drač u Albaniji i Kosova.</w:t>
            </w:r>
            <w:r>
              <w:rPr>
                <w:sz w:val="20"/>
                <w:rFonts w:ascii="Arial" w:hAnsi="Arial"/>
              </w:rPr>
              <w:t xml:space="preserve">  </w:t>
            </w:r>
          </w:p>
          <w:p w:rsidR="006E162F" w:rsidRPr="00A31976" w:rsidRDefault="006E162F" w:rsidP="00B649C0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 Ekonomskom i investicionom planu za zapadni Balkan, Brisel, 6.10.2020, navodi se: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„Infrastrukturne veze između luka na moru/unutrašnjim plovnim putevima i železničke mreže su trenutno slabe ili ne postoje.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Dakle, Plan predviđa da će se „preduzeti radnje na ubrzanju izgradnje nove saobraćajne infrastrukture i nadogradnje postojeće infrastrukture, u cilju dovođenja osnovne saobraćajne mreže do standarda EU“.</w:t>
            </w:r>
          </w:p>
          <w:p w:rsidR="006E162F" w:rsidRPr="00A31976" w:rsidRDefault="006E162F" w:rsidP="00B649C0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 skladu sa Evropskim zelenim dogovorom, Brisel 11.12.2019, „znatan deo od 75 odsto unutrašnjeg tereta koji se danas prevozi drumom, treba da bude prebačen na železnicu i unutrašnje plovne puteve.</w:t>
            </w:r>
          </w:p>
          <w:p w:rsidR="006E162F" w:rsidRPr="00A31976" w:rsidRDefault="006E162F" w:rsidP="00B649C0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Smernice za sprovođenje Zelene agende, Brisel 6.10.2020 za Zapadni Balkan smatraju revitalizaciju železničke mreže kao glavni prioritet i promociju multimodalnih transportnih rešenja i modalne promene, kroz ciljane politike, uključujući i ulaganja u unutrašnje plovne puteve.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6E162F" w:rsidRPr="00A31976" w:rsidRDefault="006E162F" w:rsidP="00B649C0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održive i pametne mobilnosti, Brisel, 9.12.2020, navodi „Mobilnost u Evropi treba da se zasniva na efikasnom i međusobno povezanom multimodalnom transportnom sistemu, kako za putnike tako i za teret, poboljšanom pristupačnom brzom železničkom mrežom, obilnim infrastrukturamaza punjenje i dopunu goriva za vozila sa nultom emisijom i snabdevanje obnovljivim i niskougljeničnim gorivima, čistijom i aktivnijom mobilnošću u zelenijim gradovima koji doprinose dobrom zdravlju i blagostanju svojih građana.”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Ista strategija predviđa da će se do 2030. godine brzi železnički saobraćaj udvostručiti, a da se do 2050. godine udvostruči teretni, a utrostruči brzi železnički saobraćaj.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6E162F" w:rsidRPr="00A31976" w:rsidRDefault="006E162F" w:rsidP="00B649C0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za održivu i pametnu mobilnost na zapadnom Balkanu, jul 2021. kaže: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„Potrebne su intervencije da bi se povećao kapacitet železnice i omogućile konkurentnije železničke.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Takođe, u Strategiji se navodi da: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6E162F" w:rsidRPr="00A31976" w:rsidRDefault="006E162F" w:rsidP="006E16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 2030. godine, železnički teretni saobraćaj će porasti za 20 odsto.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Ovo treba da se udvostruči do 2050. godine.</w:t>
            </w:r>
          </w:p>
          <w:p w:rsidR="006E162F" w:rsidRPr="00A31976" w:rsidRDefault="006E162F" w:rsidP="006E162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 2035. železnički i vodeni intermodalni transport će se ravnopravno takmičiti sa drumskim transportom na zapadnom Balkanu.</w:t>
            </w:r>
          </w:p>
          <w:p w:rsidR="006E162F" w:rsidRPr="00D626E5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Jedan od ciljeva EBRD-a navedenih u Strategiji transportnog sektora (2019-2024), oktobar jeste „ulaganje u sanaciju i proširenje nacionalne, regionalne i prigradske železničke infrastrukture i signalizacije, kako bi se poboljšao pristup tržištima i uslugama, i stvorile veze sa ključnim transportnim mrežama i koridorima, uključujući TEN-T, VBCN, CAREC, TRACECA i BRI u ekonomijama u koje Banka investira.”</w:t>
            </w:r>
          </w:p>
        </w:tc>
      </w:tr>
      <w:tr w:rsidR="006E162F" w:rsidRPr="00045251" w:rsidTr="00B649C0">
        <w:trPr>
          <w:trHeight w:val="330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Doprinos važećim nacionalnim razvojnim ciljevima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povezanosti unutar našeg regiona kao i sa EU je ključni faktor za rast i zapošljavanje na ZB.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U međuvremenu, razvijajući ovaj projekat, INFRAKOS i MŽSPPI će ispuniti deo svojih razvojnih strategija.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Modernizacija železničke infrastrukture smatra se jednim od vladinih ciljeva Strategije za evropske integracije.</w:t>
            </w:r>
          </w:p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Vlada namerava da preko razvojnih banaka finansira rehabilitaciju železničke pruge Istok-Zapad Kosova, koja omogućava železničku vezu sa Albanijom i Crnom Gorom; odnosno vezu sa morskim lukama na Jadranu.</w:t>
            </w:r>
          </w:p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pacing w:val="-1"/>
                <w:w w:val="10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je u skladu sa Sporazumom o stabilizaciji i pridruživanju (SSP), između Kosova i Evropske unije kao što je navedeno u članu 113 ovog sporazuma:</w:t>
            </w:r>
          </w:p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pacing w:val="-1"/>
                <w:w w:val="105"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„Saradnja između Strana će se fokusirati na prioritetne oblasti koje se odnose na pravnu tekovinu EU u oblasti saobraćaja.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Saradnja bi mogla posebno da ima za cilj restrukturiranje i modernizaciju transportnih sistema Kosova i poboljšanje povezane infrastrukture (uključujući i regionalne veze koje je identifikovala Transportna opservatorija jugoistočne Evrope), poboljšanje slobodnog kretanja putnika i robe, postizanje standarda koji su interoperabilni i uporedivi sa onima koji preovlađuju u EU i usklađivanje transportnog zakonodavstva sa zakonodavstvom EU, ukoliko objektivne okolnosti to dozvoljavaju.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Saradnja će imati za cilj da doprinese progresivnom međusobnom pristupu transportnim tržištima i objektima EU i Kosova kako je predviđeno ovim sporazumom, razvoj transportnog sistema na Kosovu kompatibilnog, interoperabilnog i povezanog sa sistemom EU, i poboljšanje zaštite životne sredine u oblasti transporta.”</w:t>
            </w:r>
          </w:p>
          <w:p w:rsidR="006E162F" w:rsidRDefault="006E162F" w:rsidP="00B649C0">
            <w:pPr>
              <w:autoSpaceDE w:val="0"/>
              <w:autoSpaceDN w:val="0"/>
              <w:adjustRightInd w:val="0"/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 Programu Vlade Republike Kosova 2021 – 2025, Vlada naglašava svoju posvećenost stvaranju integrisanog sistema drumskog, železničkog i vazdušnog saobraćaja, u cilju ekonomskog razvoja, i modernizacije i razvoja železničke infrastrukture, kako bi se pružile održivije usluge.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403D3C" w:rsidRPr="00B90718" w:rsidRDefault="00403D3C" w:rsidP="00403D3C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Program ekonomskih reformi 2024-2026 predviđa da bi dalje povezivanje sa susednim zemljama ojačalo integraciju zemlje u regionalno tržište.</w:t>
            </w:r>
          </w:p>
          <w:p w:rsidR="00403D3C" w:rsidRDefault="00403D3C" w:rsidP="00403D3C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Nacionalni program za evropske integracije 2023-2027 promoviše modernu i bolju regionalnu železničku infrastrukturu, u cilju povezivanja na panevropske koridore.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403D3C" w:rsidRPr="00B90718" w:rsidRDefault="00403D3C" w:rsidP="00403D3C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Izveštaj EU za Kosovo (2023) kaže: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„Kosovo treba da sprovede tekuće projekte povezivanja i da ojača institucionalne i administrativne kapacitete za sprovođenje strateških infrastrukturnih projekata.</w:t>
            </w:r>
          </w:p>
          <w:p w:rsidR="006E162F" w:rsidRPr="00A31976" w:rsidRDefault="006E162F" w:rsidP="00403D3C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Srednjoročni okvir rashoda 2022-2024 kaže da će „Infrastruktura nastaviti sa ulaganjima u putnu i železničku infrastrukturu od nacionalnog i međunarodnog značaja, takođe će raditi na izgradnji infrastrukture od nacionalnog značaja koja povezuje regione Kosova one koja obezbeđuje ekonomski rast“.</w:t>
            </w:r>
          </w:p>
        </w:tc>
      </w:tr>
      <w:tr w:rsidR="006E162F" w:rsidRPr="00045251" w:rsidTr="00B649C0">
        <w:trPr>
          <w:trHeight w:val="330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Usklađenost sa nacionalnim strateškim okvirom sektora saobraćaja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786A40" w:rsidP="00786A4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Strategija multimodalnog transporta 2030 ima za cilj da donese održiv i integrisan transportni sistem jačanjem različitih vidova (drumski, železnički i vazdušni), kao što su pogodnost, brzina, cena, pouzdanost, predvidljivost, itd., i u kombinaciji, može ponuditi efikasnija transportna rešenja za ljude i robu što će pomoći da se smanji pritisak na našim zakrčenim putevima i da ceo sektor učini ekološki prihvatljivijim, bezbednijim i isplativijim.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Takođe navodi se da je „transportna politika EU prirodno usklađena sa gore navedenim globalnim trendovima.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Međutim, može se naglasiti da se posebna pažnja poklanja uvođenju vozila sa nultom emisijom, razvoju železničkog saobraćaja i jačanju jedinstvenog tržišta koje se zasniva na principu korisnik plaća.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</w:tbl>
    <w:p w:rsidR="006E162F" w:rsidRPr="00B04E99" w:rsidRDefault="006E162F" w:rsidP="006E162F">
      <w:pPr>
        <w:spacing w:line="276" w:lineRule="auto"/>
        <w:rPr>
          <w:rFonts w:ascii="Arial" w:eastAsia="Times New Roman" w:hAnsi="Arial" w:cs="Arial"/>
          <w:bCs/>
        </w:rPr>
      </w:pPr>
    </w:p>
    <w:p w:rsidR="006E162F" w:rsidRDefault="006E162F" w:rsidP="006E162F">
      <w:pPr>
        <w:numPr>
          <w:ilvl w:val="0"/>
          <w:numId w:val="4"/>
        </w:numPr>
        <w:spacing w:line="276" w:lineRule="auto"/>
        <w:ind w:hanging="270"/>
        <w:contextualSpacing/>
        <w:rPr>
          <w:b/>
          <w:bCs/>
          <w:szCs w:val="20"/>
          <w:rFonts w:ascii="Arial" w:eastAsia="Times New Roman" w:hAnsi="Arial" w:cs="Arial"/>
        </w:rPr>
      </w:pPr>
      <w:r>
        <w:rPr>
          <w:b/>
          <w:rFonts w:ascii="Arial" w:hAnsi="Arial"/>
        </w:rPr>
        <w:t xml:space="preserve">STRATEŠKA RELEVANTNOST</w:t>
      </w:r>
    </w:p>
    <w:p w:rsidR="006E162F" w:rsidRPr="00B04E99" w:rsidRDefault="006E162F" w:rsidP="006E162F">
      <w:pPr>
        <w:spacing w:line="276" w:lineRule="auto"/>
        <w:ind w:left="360"/>
        <w:contextualSpacing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2"/>
      </w:tblGrid>
      <w:tr w:rsidR="006E162F" w:rsidRPr="00045251" w:rsidTr="00B649C0">
        <w:trPr>
          <w:trHeight w:val="4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045251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Objasnite karakteristike projekta u smislu:</w:t>
            </w:r>
          </w:p>
        </w:tc>
      </w:tr>
      <w:tr w:rsidR="00A31976" w:rsidRPr="00A31976" w:rsidTr="00B649C0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Poboljšanje intermodalnosti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786A40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Izgradnjom ove linije, Kosovo će poboljšati i razviti intermodalni transport najvišeg nivoa na lokalnom, regionalnom i međunarodnom nivou.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  <w:tr w:rsidR="00A31976" w:rsidRPr="00A31976" w:rsidTr="00B649C0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Povećanje međunarodnog saobraćaja (teret, lica)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786A40" w:rsidP="00403D3C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Kroz sprovođenje ovog projekta, Kosovo će povećati putnički i teretni saobraćaj i istovremeno poboljšati uslove za transport.</w:t>
            </w:r>
          </w:p>
        </w:tc>
      </w:tr>
      <w:tr w:rsidR="00A31976" w:rsidRPr="00A31976" w:rsidTr="00B649C0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Uključen u najnoviji višegodišnji plan (MAP) SEETO-a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Ne, ovaj projekat nije uključen u SEETO MAP 2018.</w:t>
            </w:r>
          </w:p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drawing>
                <wp:inline distT="0" distB="0" distL="0" distR="0" wp14:anchorId="040C9DE1" wp14:editId="731162AE">
                  <wp:extent cx="3337932" cy="2663190"/>
                  <wp:effectExtent l="0" t="0" r="0" b="381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740" cy="2671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976" w:rsidRPr="00A31976" w:rsidTr="00B649C0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Obezbeđivanje veze sa TEN-T koridorima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786A4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Linija će služiti kao veza u budućnosti Jugozapadne železničke linije sa železničkom trasom 10 i TEN-T koridorom X.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A31976" w:rsidRPr="00A31976" w:rsidTr="00B649C0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doprinos poboljšanju uslova bezbednosti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Sanacija ove pruge biće urađena u skladu sa savremenim standardima bezbednosti na železnici i imala bi značajan uticaj na bezbednosni aspekt.</w:t>
            </w:r>
          </w:p>
        </w:tc>
      </w:tr>
      <w:tr w:rsidR="00A31976" w:rsidRPr="00A31976" w:rsidTr="00B649C0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Nova, nadograđena ili rehabilitovana infrastruktura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403D3C" w:rsidP="00403D3C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Izgradnja nove infrastrukture.</w:t>
            </w:r>
          </w:p>
        </w:tc>
      </w:tr>
      <w:tr w:rsidR="00A31976" w:rsidRPr="00A31976" w:rsidTr="00B649C0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Zadovoljavanje godišnjeg rasta potražnje saobraćaja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Projekat ispunjava tražene kriterijume za rast saobraćaja.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  <w:tr w:rsidR="00A31976" w:rsidRPr="00A31976" w:rsidTr="00B649C0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Smanjenje vremena putovanja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62F" w:rsidRPr="00A31976" w:rsidRDefault="006E162F" w:rsidP="00403D3C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Plan razvoja mreže INFRAKOS-a (2018) predviđa da će izgradnjom ove nove linije putovanje od Kramovika do Đakovice trajati 15 minuta, a u poređenju sa drumskim saobraćajem, vreme putovanja će biti skraćeno.</w:t>
            </w:r>
          </w:p>
        </w:tc>
      </w:tr>
      <w:tr w:rsidR="00A31976" w:rsidRPr="00A31976" w:rsidTr="00B649C0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efekat na smanjenje emisije CO</w:t>
            </w:r>
            <w:r>
              <w:rPr>
                <w:sz w:val="20"/>
                <w:vertAlign w:val="subscript"/>
                <w:rFonts w:ascii="Arial" w:hAnsi="Arial"/>
              </w:rPr>
              <w:t xml:space="preserve">2</w:t>
            </w:r>
            <w:r>
              <w:rPr>
                <w:sz w:val="20"/>
                <w:rFonts w:ascii="Arial" w:hAnsi="Arial"/>
              </w:rPr>
              <w:t xml:space="preserve"> i buke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Sprovođenje ovog projekta će dovesti do toga da se veći deo drumskog teretnog saobraćaja prebaci na železnicu, što bi značajno uticalo na smanjenje emisije CO</w:t>
            </w:r>
            <w:r>
              <w:rPr>
                <w:sz w:val="20"/>
                <w:vertAlign w:val="subscript"/>
                <w:rFonts w:ascii="Arial" w:hAnsi="Arial"/>
              </w:rPr>
              <w:t xml:space="preserve">2</w:t>
            </w:r>
            <w:r>
              <w:rPr>
                <w:sz w:val="20"/>
                <w:rFonts w:ascii="Arial" w:hAnsi="Arial"/>
              </w:rPr>
              <w:t xml:space="preserve"> i buke.</w:t>
            </w:r>
          </w:p>
          <w:p w:rsidR="006E162F" w:rsidRPr="00A31976" w:rsidRDefault="006E162F" w:rsidP="0070552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ima održivost u odnosu na ekološke aspekte, jer je poznato da vozovi imaju veoma nisku emisiju C02 u poređenju sa drumskim vozilima.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Na taj način ćemo imati čistu životnu sredinu duž železničke pruge.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Ovaj projekat će uzeti u obzir implikacije na životnu sredinu, tako da će svaki negativni uticaj na životnu sredinu biti ili izbegnut ili ublažen tokom trajanja projekta.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  <w:tr w:rsidR="00A31976" w:rsidRPr="00A31976" w:rsidTr="00B649C0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 doprinos ukupnom ekonomskom rastu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Unapređenje saobraćajne infrastrukture širom zapadnog Balkana je ključni element za osiguranje povezanosti, održivog ekonomskog rasta i kohezije između regionalnih strana i Evropske unije.</w:t>
            </w:r>
            <w:r>
              <w:rPr>
                <w:sz w:val="20"/>
                <w:rFonts w:ascii="Arial" w:hAnsi="Arial"/>
              </w:rPr>
              <w:t xml:space="preserve"> </w:t>
            </w:r>
          </w:p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 budućnosti bi projekat omogućio značajan međuregionalni ekonomski rast jer povezuje Kosovo i susednu zemlju (Albaniju) i doprinosi regionalnoj koheziji kroz razvoj neometenih veza za putnike i teret na zapadnom Balkanu.</w:t>
            </w:r>
          </w:p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Jačanje povezanosti unutar zapadnog Balkana predstavlja strateški interes za obe strane.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Povećanje saobraćajnih veza omogućiće veću konkurentnost, ekonomski rast i sigurnost snabdevanja, a istovremeno je važan preduslov za ekonomsku integraciju u okviru zapadnog Balkana.</w:t>
            </w:r>
          </w:p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Zapadni Balkan je geografski okružen državama članicama EU i politički je prioritet povezati infrastrukturu između EU i zapadnog Balkana i ubrzati razvoj međusobno povezanih transevropskih mreža u transportu.</w:t>
            </w:r>
          </w:p>
        </w:tc>
      </w:tr>
      <w:tr w:rsidR="00A31976" w:rsidRPr="00A31976" w:rsidTr="00B649C0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Njegova integracija sa drugim projektima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je u vezi sa investicijama u železničku infrastrukturu na Kosovu, kao i sa investicijama u železničku infrastrukturu u Albaniji.</w:t>
            </w:r>
          </w:p>
        </w:tc>
      </w:tr>
      <w:tr w:rsidR="00A31976" w:rsidRPr="00A31976" w:rsidTr="00B649C0">
        <w:trPr>
          <w:trHeight w:val="467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Postojanje alternativa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spacing w:before="60" w:after="60" w:line="260" w:lineRule="atLeast"/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Da, alternativne opcije se analiziraju i dalje će se razvijati u toku pripreme projekta.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</w:tbl>
    <w:p w:rsidR="006E162F" w:rsidRPr="00A31976" w:rsidRDefault="006E162F" w:rsidP="006E162F">
      <w:pPr>
        <w:spacing w:line="260" w:lineRule="atLeast"/>
        <w:jc w:val="center"/>
        <w:rPr>
          <w:rFonts w:ascii="Arial" w:eastAsia="Times New Roman" w:hAnsi="Arial" w:cs="Arial"/>
          <w:b/>
        </w:rPr>
      </w:pPr>
    </w:p>
    <w:p w:rsidR="006E162F" w:rsidRPr="00A31976" w:rsidRDefault="006E162F" w:rsidP="006E162F">
      <w:pPr>
        <w:jc w:val="center"/>
        <w:rPr>
          <w:b/>
          <w:sz w:val="28"/>
          <w:szCs w:val="28"/>
          <w:rFonts w:ascii="Arial" w:hAnsi="Arial" w:cs="Arial"/>
        </w:rPr>
      </w:pPr>
      <w:r>
        <w:rPr>
          <w:b/>
          <w:sz w:val="28"/>
          <w:rFonts w:ascii="Arial" w:hAnsi="Arial"/>
        </w:rPr>
        <w:t xml:space="preserve">Drugi deo</w:t>
      </w:r>
    </w:p>
    <w:p w:rsidR="006E162F" w:rsidRPr="00A31976" w:rsidRDefault="006E162F" w:rsidP="006E162F">
      <w:pPr>
        <w:jc w:val="center"/>
        <w:rPr>
          <w:rFonts w:ascii="Arial" w:hAnsi="Arial" w:cs="Arial"/>
          <w:b/>
        </w:rPr>
      </w:pPr>
    </w:p>
    <w:p w:rsidR="006E162F" w:rsidRPr="00A31976" w:rsidRDefault="006E162F" w:rsidP="006E162F">
      <w:pPr>
        <w:numPr>
          <w:ilvl w:val="0"/>
          <w:numId w:val="4"/>
        </w:numPr>
        <w:spacing w:before="200" w:after="200" w:line="276" w:lineRule="auto"/>
        <w:contextualSpacing/>
        <w:rPr>
          <w:b/>
          <w:bCs/>
          <w:szCs w:val="20"/>
          <w:rFonts w:ascii="Arial" w:eastAsia="Times New Roman" w:hAnsi="Arial" w:cs="Arial"/>
        </w:rPr>
      </w:pPr>
      <w:r>
        <w:rPr>
          <w:b/>
          <w:rFonts w:ascii="Arial" w:hAnsi="Arial"/>
        </w:rPr>
        <w:t xml:space="preserve">ZRELOST</w:t>
      </w:r>
    </w:p>
    <w:p w:rsidR="006E162F" w:rsidRPr="00A31976" w:rsidRDefault="006E162F" w:rsidP="006E162F">
      <w:pPr>
        <w:spacing w:before="200" w:after="200" w:line="276" w:lineRule="auto"/>
        <w:ind w:left="360"/>
        <w:contextualSpacing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9"/>
        <w:gridCol w:w="1496"/>
        <w:gridCol w:w="1331"/>
        <w:gridCol w:w="1214"/>
      </w:tblGrid>
      <w:tr w:rsidR="00A31976" w:rsidRPr="00A31976" w:rsidTr="00B649C0">
        <w:trPr>
          <w:trHeight w:val="417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Dostupne studije i dokumenti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Spremno i odobreno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Radi se na njima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Još nije počelo</w:t>
            </w:r>
          </w:p>
        </w:tc>
      </w:tr>
      <w:tr w:rsidR="00A31976" w:rsidRPr="00A31976" w:rsidTr="00B649C0">
        <w:trPr>
          <w:trHeight w:val="260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Konceptualna ideja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A31976" w:rsidRPr="00A31976" w:rsidTr="00B649C0">
        <w:trPr>
          <w:trHeight w:val="278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Prethodna studija izvodljivosti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  <w:tr w:rsidR="00A31976" w:rsidRPr="00A31976" w:rsidTr="00B649C0">
        <w:trPr>
          <w:trHeight w:val="260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Konceptualni dizajna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A31976" w:rsidRPr="00A31976" w:rsidTr="00B649C0">
        <w:trPr>
          <w:trHeight w:val="260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izvodljivosti + CBA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A31976" w:rsidRPr="00A31976" w:rsidTr="00B649C0">
        <w:trPr>
          <w:trHeight w:val="260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Studija EIU (ako je neophodna)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A31976" w:rsidRPr="00A31976" w:rsidTr="00B649C0">
        <w:trPr>
          <w:trHeight w:val="260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Važeći dokumenti za prostorno planiranje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A31976" w:rsidRPr="00A31976" w:rsidTr="00B649C0">
        <w:trPr>
          <w:trHeight w:val="260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Imovinska pitanja rešena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A31976" w:rsidRPr="00A31976" w:rsidTr="00B649C0">
        <w:trPr>
          <w:trHeight w:val="260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Preliminarni dizajn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A31976" w:rsidRPr="00A31976" w:rsidTr="00B649C0">
        <w:trPr>
          <w:trHeight w:val="260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Glavni dizajn/detaljni dizajn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  <w:tr w:rsidR="00A31976" w:rsidRPr="00A31976" w:rsidTr="00B649C0">
        <w:trPr>
          <w:trHeight w:val="260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Tenderska dokumentacija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  <w:tr w:rsidR="00A31976" w:rsidRPr="00A31976" w:rsidTr="00B649C0">
        <w:trPr>
          <w:trHeight w:val="260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Građevinska i ostale dozvole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</w:tr>
      <w:tr w:rsidR="00A31976" w:rsidRPr="00A31976" w:rsidTr="00B649C0">
        <w:trPr>
          <w:trHeight w:val="260"/>
          <w:jc w:val="center"/>
        </w:trPr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Ugovor o gradnji potpisan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</w:tbl>
    <w:p w:rsidR="006E162F" w:rsidRPr="00A31976" w:rsidRDefault="006E162F" w:rsidP="006E162F">
      <w:pPr>
        <w:spacing w:before="200" w:line="276" w:lineRule="auto"/>
        <w:ind w:left="792"/>
        <w:contextualSpacing/>
        <w:rPr>
          <w:rFonts w:ascii="Arial" w:eastAsia="Times New Roman" w:hAnsi="Arial" w:cs="Arial"/>
          <w:b/>
          <w:bCs/>
        </w:rPr>
      </w:pPr>
    </w:p>
    <w:p w:rsidR="006E162F" w:rsidRPr="00A31976" w:rsidRDefault="006E162F" w:rsidP="006E162F">
      <w:pPr>
        <w:numPr>
          <w:ilvl w:val="0"/>
          <w:numId w:val="4"/>
        </w:numPr>
        <w:spacing w:before="200" w:after="200" w:line="276" w:lineRule="auto"/>
        <w:contextualSpacing/>
        <w:rPr>
          <w:b/>
          <w:bCs/>
          <w:szCs w:val="20"/>
          <w:rFonts w:ascii="Arial" w:eastAsia="Times New Roman" w:hAnsi="Arial" w:cs="Arial"/>
        </w:rPr>
      </w:pPr>
      <w:r>
        <w:rPr>
          <w:b/>
          <w:rFonts w:ascii="Arial" w:hAnsi="Arial"/>
        </w:rPr>
        <w:t xml:space="preserve">ODREĐIVANJE IZVORA FINANSIRANJA</w:t>
      </w:r>
    </w:p>
    <w:p w:rsidR="006E162F" w:rsidRPr="00A31976" w:rsidRDefault="006E162F" w:rsidP="006E162F">
      <w:pPr>
        <w:spacing w:before="200" w:after="200" w:line="276" w:lineRule="auto"/>
        <w:ind w:left="360"/>
        <w:contextualSpacing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638"/>
        <w:gridCol w:w="3925"/>
        <w:gridCol w:w="527"/>
      </w:tblGrid>
      <w:tr w:rsidR="00A31976" w:rsidRPr="00A31976" w:rsidTr="00B649C0">
        <w:trPr>
          <w:trHeight w:val="417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162F" w:rsidRPr="00A31976" w:rsidRDefault="006E162F" w:rsidP="00B649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162F" w:rsidRPr="00A31976" w:rsidRDefault="006E162F" w:rsidP="00B649C0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Da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162F" w:rsidRPr="00A31976" w:rsidRDefault="006E162F" w:rsidP="00B649C0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Obrazloženje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162F" w:rsidRPr="00A31976" w:rsidRDefault="006E162F" w:rsidP="00B649C0">
            <w:pPr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Ne</w:t>
            </w:r>
          </w:p>
        </w:tc>
      </w:tr>
      <w:tr w:rsidR="00A31976" w:rsidRPr="00A31976" w:rsidTr="00705520">
        <w:trPr>
          <w:trHeight w:val="1250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poboljšava povezanost?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53137A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F" w:rsidRPr="00A31976" w:rsidRDefault="006E162F" w:rsidP="00B649C0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Realizacija projekta će imati direktan uticaj na poboljšanje železničke veze unutar Kosova, sa zemljama regiona i Integrisanom mrežom EU.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31976" w:rsidRPr="00A31976" w:rsidTr="00B649C0">
        <w:trPr>
          <w:trHeight w:val="417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ima prekogranični uticaj ili uticaj na druge zemlje u regionu?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F" w:rsidRPr="00A31976" w:rsidRDefault="00705520" w:rsidP="00705520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Da, sa Albanijom i drugim susednim zemljama.</w:t>
            </w:r>
            <w:r>
              <w:rPr>
                <w:sz w:val="20"/>
                <w:rFonts w:ascii="Arial" w:hAnsi="Arial"/>
              </w:rPr>
              <w:t xml:space="preserve"> 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31976" w:rsidRPr="00A31976" w:rsidTr="00B649C0">
        <w:trPr>
          <w:trHeight w:val="417"/>
          <w:jc w:val="center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se projekat na bilo koji drugi način može označiti kao regionalni projekat?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F" w:rsidRPr="00A31976" w:rsidRDefault="006E162F" w:rsidP="00B649C0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Uzimajući u obzir SEETO sveobuhvatnu železničku mrežu, povezivanje sa TEN-T i buduće povezivanje sa Albanijom, ovaj projekat se takođe može smatrati regionalnim projektom.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X</w:t>
            </w:r>
          </w:p>
        </w:tc>
      </w:tr>
    </w:tbl>
    <w:p w:rsidR="006E162F" w:rsidRPr="00A31976" w:rsidRDefault="006E162F" w:rsidP="006E162F">
      <w:pPr>
        <w:spacing w:before="200" w:after="200" w:line="276" w:lineRule="auto"/>
        <w:ind w:left="360"/>
        <w:contextualSpacing/>
        <w:rPr>
          <w:rFonts w:ascii="Arial" w:eastAsia="Times New Roman" w:hAnsi="Arial" w:cs="Arial"/>
          <w:b/>
          <w:bCs/>
        </w:rPr>
      </w:pPr>
    </w:p>
    <w:p w:rsidR="006E162F" w:rsidRPr="00A31976" w:rsidRDefault="006E162F" w:rsidP="006E162F">
      <w:pPr>
        <w:numPr>
          <w:ilvl w:val="0"/>
          <w:numId w:val="4"/>
        </w:numPr>
        <w:spacing w:before="200" w:after="200" w:line="276" w:lineRule="auto"/>
        <w:contextualSpacing/>
        <w:rPr>
          <w:b/>
          <w:bCs/>
          <w:szCs w:val="20"/>
          <w:rFonts w:ascii="Arial" w:eastAsia="Times New Roman" w:hAnsi="Arial" w:cs="Arial"/>
        </w:rPr>
      </w:pPr>
      <w:r>
        <w:rPr>
          <w:b/>
          <w:rFonts w:ascii="Arial" w:hAnsi="Arial"/>
        </w:rPr>
        <w:t xml:space="preserve">RASPORED POTROŠNJE</w:t>
      </w:r>
    </w:p>
    <w:p w:rsidR="006E162F" w:rsidRPr="00A31976" w:rsidRDefault="006E162F" w:rsidP="006E162F">
      <w:pPr>
        <w:spacing w:before="200" w:after="200" w:line="276" w:lineRule="auto"/>
        <w:ind w:left="360"/>
        <w:contextualSpacing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754"/>
        <w:gridCol w:w="686"/>
        <w:gridCol w:w="686"/>
        <w:gridCol w:w="686"/>
        <w:gridCol w:w="793"/>
        <w:gridCol w:w="686"/>
        <w:gridCol w:w="746"/>
        <w:gridCol w:w="793"/>
        <w:gridCol w:w="828"/>
        <w:gridCol w:w="707"/>
        <w:gridCol w:w="701"/>
      </w:tblGrid>
      <w:tr w:rsidR="00A31976" w:rsidRPr="00A31976" w:rsidTr="00B649C0">
        <w:tc>
          <w:tcPr>
            <w:tcW w:w="686" w:type="pct"/>
            <w:shd w:val="clear" w:color="auto" w:fill="D9D9D9"/>
            <w:vAlign w:val="center"/>
          </w:tcPr>
          <w:p w:rsidR="006E162F" w:rsidRPr="00A31976" w:rsidRDefault="006E162F" w:rsidP="006E162F">
            <w:pPr>
              <w:numPr>
                <w:ilvl w:val="0"/>
                <w:numId w:val="4"/>
              </w:numPr>
              <w:spacing w:line="260" w:lineRule="atLeast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2015-2020</w:t>
            </w:r>
          </w:p>
        </w:tc>
        <w:tc>
          <w:tcPr>
            <w:tcW w:w="367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2021</w:t>
            </w:r>
          </w:p>
        </w:tc>
        <w:tc>
          <w:tcPr>
            <w:tcW w:w="367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2022</w:t>
            </w:r>
          </w:p>
        </w:tc>
        <w:tc>
          <w:tcPr>
            <w:tcW w:w="367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2023</w:t>
            </w:r>
          </w:p>
        </w:tc>
        <w:tc>
          <w:tcPr>
            <w:tcW w:w="424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2024</w:t>
            </w:r>
          </w:p>
        </w:tc>
        <w:tc>
          <w:tcPr>
            <w:tcW w:w="367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2025</w:t>
            </w:r>
          </w:p>
        </w:tc>
        <w:tc>
          <w:tcPr>
            <w:tcW w:w="399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2026</w:t>
            </w:r>
          </w:p>
        </w:tc>
        <w:tc>
          <w:tcPr>
            <w:tcW w:w="424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2027</w:t>
            </w:r>
          </w:p>
        </w:tc>
        <w:tc>
          <w:tcPr>
            <w:tcW w:w="443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2028</w:t>
            </w:r>
          </w:p>
        </w:tc>
        <w:tc>
          <w:tcPr>
            <w:tcW w:w="378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2029</w:t>
            </w:r>
          </w:p>
        </w:tc>
        <w:tc>
          <w:tcPr>
            <w:tcW w:w="378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2030</w:t>
            </w:r>
          </w:p>
        </w:tc>
      </w:tr>
      <w:tr w:rsidR="00A31976" w:rsidRPr="00A31976" w:rsidTr="00B649C0">
        <w:tc>
          <w:tcPr>
            <w:tcW w:w="686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Cena (u milionima EUR) od čega: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1,00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2,00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20,50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jc w:val="center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 </w:t>
            </w:r>
            <w:r>
              <w:rPr>
                <w:b/>
                <w:sz w:val="20"/>
                <w:rFonts w:ascii="Arial" w:hAnsi="Arial"/>
              </w:rPr>
              <w:t xml:space="preserve">20,00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/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20,302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31976" w:rsidRPr="00A31976" w:rsidTr="00B649C0">
        <w:tc>
          <w:tcPr>
            <w:tcW w:w="686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Priprema projekta (TA)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1,00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2,00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1,5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1,00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31976" w:rsidRPr="00A31976" w:rsidTr="00B649C0">
        <w:tc>
          <w:tcPr>
            <w:tcW w:w="686" w:type="pct"/>
            <w:shd w:val="clear" w:color="auto" w:fill="D9D9D9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Ulaganje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19,00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19,00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jc w:val="center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19,302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6E162F" w:rsidRPr="00A31976" w:rsidRDefault="006E162F" w:rsidP="00B649C0">
            <w:pPr>
              <w:spacing w:line="260" w:lineRule="atLeas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6E162F" w:rsidRPr="00A31976" w:rsidRDefault="006E162F" w:rsidP="006E162F">
      <w:pPr>
        <w:spacing w:line="276" w:lineRule="auto"/>
        <w:rPr>
          <w:rFonts w:ascii="Arial" w:eastAsia="Times New Roman" w:hAnsi="Arial" w:cs="Arial"/>
          <w:b/>
          <w:bCs/>
        </w:rPr>
      </w:pPr>
    </w:p>
    <w:p w:rsidR="006E162F" w:rsidRPr="00A31976" w:rsidRDefault="006E162F" w:rsidP="006E162F">
      <w:pPr>
        <w:numPr>
          <w:ilvl w:val="0"/>
          <w:numId w:val="4"/>
        </w:numPr>
        <w:spacing w:line="276" w:lineRule="auto"/>
        <w:contextualSpacing/>
        <w:rPr>
          <w:b/>
          <w:bCs/>
          <w:szCs w:val="20"/>
          <w:rFonts w:ascii="Arial" w:eastAsia="Times New Roman" w:hAnsi="Arial" w:cs="Arial"/>
        </w:rPr>
      </w:pPr>
      <w:r>
        <w:rPr>
          <w:b/>
          <w:rFonts w:ascii="Arial" w:hAnsi="Arial"/>
        </w:rPr>
        <w:t xml:space="preserve">OSTALI ASPEKTI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5530"/>
      </w:tblGrid>
      <w:tr w:rsidR="00A31976" w:rsidRPr="00A31976" w:rsidTr="00B649C0">
        <w:trPr>
          <w:trHeight w:val="46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su u projekat uključene MFI ili drugi donatori?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Kada?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Koje je bilo njihovo mišljenje?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53137A" w:rsidRDefault="0053137A" w:rsidP="00B649C0">
            <w:pPr>
              <w:jc w:val="both"/>
              <w:rPr>
                <w:sz w:val="20"/>
                <w:szCs w:val="20"/>
                <w:rFonts w:ascii="Arial" w:eastAsia="Arial Unicode MS" w:hAnsi="Arial" w:cs="Arial"/>
              </w:rPr>
            </w:pPr>
            <w:r>
              <w:rPr>
                <w:sz w:val="20"/>
                <w:rFonts w:ascii="Arial" w:hAnsi="Arial"/>
              </w:rPr>
              <w:t xml:space="preserve">Konsultativni sastanak sa donatorima održan je 10. maja 2023. godine, gde su međunarodne finansijske institucije i drugi donatori pozvani da učestvuju u opštoj diskusiji o projektima u saobraćajnom sektoru pre njihovog potvrđivanja i odobrenja.</w:t>
            </w:r>
          </w:p>
        </w:tc>
      </w:tr>
      <w:tr w:rsidR="00A31976" w:rsidRPr="00A31976" w:rsidTr="00B649C0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Postojeća podrška EU ili WBIF (TA): iznos, svrha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Br.</w:t>
            </w:r>
          </w:p>
        </w:tc>
      </w:tr>
      <w:tr w:rsidR="00A31976" w:rsidRPr="00A31976" w:rsidTr="00B649C0">
        <w:trPr>
          <w:trHeight w:val="245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je Ministarstvo finansija konsultovano u vezi sa projektom?</w:t>
            </w:r>
            <w:r>
              <w:rPr>
                <w:sz w:val="20"/>
                <w:rFonts w:ascii="Arial" w:hAnsi="Arial"/>
              </w:rPr>
              <w:t xml:space="preserve"> </w:t>
            </w:r>
            <w:r>
              <w:rPr>
                <w:sz w:val="20"/>
                <w:rFonts w:ascii="Arial" w:hAnsi="Arial"/>
              </w:rPr>
              <w:t xml:space="preserve">Opišite povratne informacije.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786A40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Ministarstvo finansija, rada i transfera je obavešteno o ovom projektu i podržava ovaj projekat.</w:t>
            </w:r>
          </w:p>
        </w:tc>
      </w:tr>
      <w:tr w:rsidR="00A31976" w:rsidRPr="00A31976" w:rsidTr="00B649C0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Da li projekat ostvaruje prihode od krajnjih korisnika?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Ovaj projekat je preduslov za budući razvoj i ostvariće prihode od železničkih operatera.</w:t>
            </w:r>
          </w:p>
        </w:tc>
      </w:tr>
      <w:tr w:rsidR="00A31976" w:rsidRPr="00A31976" w:rsidTr="00B649C0">
        <w:trPr>
          <w:trHeight w:val="348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162F" w:rsidRPr="00A31976" w:rsidRDefault="006E162F" w:rsidP="00B649C0">
            <w:pPr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Opis projektnog tima za realizaciju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F" w:rsidRPr="00A31976" w:rsidRDefault="006E162F" w:rsidP="00B649C0">
            <w:pPr>
              <w:jc w:val="both"/>
              <w:rPr>
                <w:bCs/>
                <w:sz w:val="20"/>
                <w:szCs w:val="20"/>
                <w:rFonts w:ascii="Arial" w:eastAsia="Times New Roman" w:hAnsi="Arial" w:cs="Arial"/>
              </w:rPr>
            </w:pPr>
            <w:r>
              <w:rPr>
                <w:sz w:val="20"/>
                <w:rFonts w:ascii="Arial" w:hAnsi="Arial"/>
              </w:rPr>
              <w:t xml:space="preserve">INFRAKOS će uspostaviti JRP za ovaj projekat.</w:t>
            </w:r>
            <w:r>
              <w:rPr>
                <w:sz w:val="20"/>
                <w:rFonts w:ascii="Arial" w:hAnsi="Arial"/>
              </w:rPr>
              <w:t xml:space="preserve"> </w:t>
            </w:r>
          </w:p>
        </w:tc>
      </w:tr>
    </w:tbl>
    <w:p w:rsidR="006E162F" w:rsidRPr="00A31976" w:rsidRDefault="006E162F" w:rsidP="006E162F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6E162F" w:rsidRPr="00A31976" w:rsidRDefault="006E162F" w:rsidP="006E162F">
      <w:pPr>
        <w:rPr>
          <w:rFonts w:ascii="Arial" w:hAnsi="Arial" w:cs="Arial"/>
          <w:sz w:val="20"/>
          <w:szCs w:val="20"/>
        </w:rPr>
      </w:pPr>
    </w:p>
    <w:p w:rsidR="0007239F" w:rsidRPr="00A31976" w:rsidRDefault="0007239F"/>
    <w:sectPr w:rsidR="0007239F" w:rsidRPr="00A3197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8C" w:rsidRDefault="0091328C" w:rsidP="006E162F">
      <w:r>
        <w:separator/>
      </w:r>
    </w:p>
  </w:endnote>
  <w:endnote w:type="continuationSeparator" w:id="0">
    <w:p w:rsidR="0091328C" w:rsidRDefault="0091328C" w:rsidP="006E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62F" w:rsidRPr="006E162F" w:rsidRDefault="006E162F" w:rsidP="0053137A">
    <w:pPr>
      <w:pStyle w:val="Footer"/>
      <w:rPr>
        <w:rFonts w:ascii="Arial" w:hAnsi="Arial" w:cs="Arial"/>
        <w:sz w:val="22"/>
        <w:szCs w:val="22"/>
      </w:rPr>
    </w:pPr>
  </w:p>
  <w:p w:rsidR="006E162F" w:rsidRDefault="006E1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8C" w:rsidRDefault="0091328C" w:rsidP="006E162F">
      <w:r>
        <w:separator/>
      </w:r>
    </w:p>
  </w:footnote>
  <w:footnote w:type="continuationSeparator" w:id="0">
    <w:p w:rsidR="0091328C" w:rsidRDefault="0091328C" w:rsidP="006E1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ACD"/>
    <w:multiLevelType w:val="hybridMultilevel"/>
    <w:tmpl w:val="AFC83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0957"/>
    <w:multiLevelType w:val="hybridMultilevel"/>
    <w:tmpl w:val="FF924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97EBC"/>
    <w:multiLevelType w:val="hybridMultilevel"/>
    <w:tmpl w:val="9D3E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F0F73"/>
    <w:multiLevelType w:val="hybridMultilevel"/>
    <w:tmpl w:val="6750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407BF"/>
    <w:multiLevelType w:val="hybridMultilevel"/>
    <w:tmpl w:val="A1BAE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86541"/>
    <w:multiLevelType w:val="hybridMultilevel"/>
    <w:tmpl w:val="78BAE72A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2F"/>
    <w:rsid w:val="0007239F"/>
    <w:rsid w:val="00085778"/>
    <w:rsid w:val="000D0541"/>
    <w:rsid w:val="00347EB1"/>
    <w:rsid w:val="003772D8"/>
    <w:rsid w:val="0040103B"/>
    <w:rsid w:val="00403075"/>
    <w:rsid w:val="00403D3C"/>
    <w:rsid w:val="00416BEB"/>
    <w:rsid w:val="004D1637"/>
    <w:rsid w:val="00500A80"/>
    <w:rsid w:val="0053137A"/>
    <w:rsid w:val="006701E5"/>
    <w:rsid w:val="006E162F"/>
    <w:rsid w:val="00705520"/>
    <w:rsid w:val="00786A40"/>
    <w:rsid w:val="0091328C"/>
    <w:rsid w:val="00952BE5"/>
    <w:rsid w:val="009F2326"/>
    <w:rsid w:val="00A31976"/>
    <w:rsid w:val="00AF3D1E"/>
    <w:rsid w:val="00BA501B"/>
    <w:rsid w:val="00CD5326"/>
    <w:rsid w:val="00CE3167"/>
    <w:rsid w:val="00D44A65"/>
    <w:rsid w:val="00D626E5"/>
    <w:rsid w:val="00DA5701"/>
    <w:rsid w:val="00EA7C36"/>
    <w:rsid w:val="00EE5EFB"/>
    <w:rsid w:val="00F37493"/>
    <w:rsid w:val="00FB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D9175-43D9-4257-9FBF-E8C81033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62F"/>
    <w:rPr>
      <w:rFonts w:ascii="Times New Roman" w:eastAsia="MS Mincho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"/>
    <w:basedOn w:val="Normal"/>
    <w:link w:val="ListParagraphChar"/>
    <w:uiPriority w:val="34"/>
    <w:qFormat/>
    <w:rsid w:val="006E162F"/>
    <w:pPr>
      <w:ind w:left="720"/>
      <w:contextualSpacing/>
    </w:pPr>
    <w:rPr>
      <w:rFonts w:ascii="Arial" w:eastAsiaTheme="minorHAnsi" w:hAnsi="Arial" w:cstheme="minorBidi"/>
      <w:szCs w:val="22"/>
    </w:rPr>
  </w:style>
  <w:style w:type="character" w:styleId="Hyperlink">
    <w:name w:val="Hyperlink"/>
    <w:uiPriority w:val="99"/>
    <w:rsid w:val="006E162F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link w:val="ListParagraph"/>
    <w:uiPriority w:val="34"/>
    <w:qFormat/>
    <w:locked/>
    <w:rsid w:val="006E162F"/>
    <w:rPr>
      <w:rFonts w:ascii="Arial" w:hAnsi="Arial" w:cstheme="minorBidi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6E1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62F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E1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2F"/>
    <w:rPr>
      <w:rFonts w:ascii="Times New Roman" w:eastAsia="MS Mincho" w:hAnsi="Times New Roman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5EFB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sz w:val="52"/>
      <w:szCs w:val="52"/>
      <w:lang w:val="sr-Latn-RS"/>
    </w:rPr>
  </w:style>
  <w:style w:type="character" w:customStyle="1" w:styleId="TitleChar">
    <w:name w:val="Title Char"/>
    <w:basedOn w:val="DefaultParagraphFont"/>
    <w:link w:val="Title"/>
    <w:uiPriority w:val="10"/>
    <w:rsid w:val="00EE5EFB"/>
    <w:rPr>
      <w:rFonts w:ascii="Calibri Light" w:eastAsia="Times New Roman" w:hAnsi="Calibri Light" w:cs="Times New Roman"/>
      <w:color w:val="323E4F"/>
      <w:spacing w:val="5"/>
      <w:sz w:val="52"/>
      <w:szCs w:val="5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mailto:naser.krasniqi@kosovorailwa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8</cp:revision>
  <dcterms:created xsi:type="dcterms:W3CDTF">2024-07-23T07:38:00Z</dcterms:created>
  <dcterms:modified xsi:type="dcterms:W3CDTF">2024-08-20T09:08:00Z</dcterms:modified>
</cp:coreProperties>
</file>