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794" w:rsidRPr="00C3127A" w:rsidRDefault="00C3127A" w:rsidP="001E070F">
      <w:pPr>
        <w:pStyle w:val="Title"/>
        <w:pBdr>
          <w:bottom w:val="single" w:sz="8" w:space="0" w:color="5B9BD5"/>
        </w:pBdr>
        <w:spacing w:before="120" w:after="0" w:line="276" w:lineRule="auto"/>
        <w:jc w:val="center"/>
        <w:rPr>
          <w:sz w:val="36"/>
          <w:szCs w:val="36"/>
          <w:rFonts w:ascii="Arial" w:hAnsi="Arial" w:cs="Arial"/>
        </w:rPr>
      </w:pPr>
      <w:r>
        <w:rPr>
          <w:sz w:val="36"/>
          <w:rFonts w:ascii="Arial" w:hAnsi="Arial"/>
        </w:rPr>
        <w:t xml:space="preserve">Formular za identifikaciju projekta (FIP):</w:t>
      </w:r>
      <w:r>
        <w:rPr>
          <w:sz w:val="36"/>
          <w:rFonts w:ascii="Arial" w:hAnsi="Arial"/>
        </w:rPr>
        <w:t xml:space="preserve"> </w:t>
      </w:r>
      <w:r>
        <w:rPr>
          <w:sz w:val="36"/>
          <w:rFonts w:ascii="Arial" w:hAnsi="Arial"/>
        </w:rPr>
        <w:t xml:space="preserve">Transportni sektor</w:t>
      </w:r>
    </w:p>
    <w:p w:rsidR="00F75794" w:rsidRPr="006D4C74" w:rsidRDefault="00F75794" w:rsidP="00C3127A">
      <w:pPr>
        <w:spacing w:before="240"/>
        <w:jc w:val="center"/>
        <w:rPr>
          <w:b/>
          <w:sz w:val="28"/>
          <w:szCs w:val="28"/>
          <w:rFonts w:ascii="Arial" w:hAnsi="Arial" w:cs="Arial"/>
        </w:rPr>
      </w:pPr>
      <w:bookmarkStart w:id="0" w:name="_Toc125162136"/>
      <w:bookmarkStart w:id="1" w:name="_Toc125536168"/>
      <w:r>
        <w:rPr>
          <w:b/>
          <w:sz w:val="28"/>
          <w:rFonts w:ascii="Arial" w:hAnsi="Arial"/>
        </w:rPr>
        <w:t xml:space="preserve">Prvi deo</w:t>
      </w:r>
      <w:bookmarkEnd w:id="0"/>
      <w:bookmarkEnd w:id="1"/>
    </w:p>
    <w:p w:rsidR="00F75794" w:rsidRPr="006D4C74" w:rsidRDefault="00F75794" w:rsidP="00F75794">
      <w:pPr>
        <w:tabs>
          <w:tab w:val="left" w:pos="1176"/>
        </w:tabs>
        <w:jc w:val="center"/>
        <w:rPr>
          <w:rFonts w:ascii="Arial" w:hAnsi="Arial" w:cs="Arial"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before="200"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OPŠTE INFORMACIJE</w:t>
      </w:r>
    </w:p>
    <w:p w:rsidR="00F75794" w:rsidRPr="006D4C74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515"/>
        <w:gridCol w:w="5835"/>
      </w:tblGrid>
      <w:tr w:rsidR="00F75794" w:rsidRPr="00611DF8" w:rsidTr="00B71E51">
        <w:trPr>
          <w:trHeight w:val="346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Naziv projekta: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BC3B72" w:rsidRDefault="00F75794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Izgradnja nove železničke pruge Uroševac (Kosovo) – Gnjilane (Kosovo) – granica sa Srbijom – Bujanovac (Srbija), 59 km</w:t>
            </w:r>
          </w:p>
        </w:tc>
      </w:tr>
      <w:tr w:rsidR="00F75794" w:rsidRPr="00611DF8" w:rsidTr="00B71E51">
        <w:trPr>
          <w:trHeight w:val="330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Sektor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BC3B72" w:rsidRDefault="00F75794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Transport</w:t>
            </w:r>
            <w:r>
              <w:rPr>
                <w:sz w:val="20"/>
                <w:rFonts w:ascii="Arial" w:hAnsi="Arial"/>
              </w:rPr>
              <w:t xml:space="preserve">  </w:t>
            </w:r>
          </w:p>
        </w:tc>
      </w:tr>
      <w:tr w:rsidR="00F75794" w:rsidRPr="00611DF8" w:rsidTr="00B71E51">
        <w:trPr>
          <w:trHeight w:val="330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Podsektor* (vidi spisak na poslednjoj strani)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BC3B72" w:rsidRDefault="00F75794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Železnica</w:t>
            </w:r>
          </w:p>
        </w:tc>
      </w:tr>
      <w:tr w:rsidR="00F75794" w:rsidRPr="00611DF8" w:rsidTr="00B71E51">
        <w:trPr>
          <w:trHeight w:val="330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Vodeći korisnik projekta/predlagač: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BC3B72" w:rsidRDefault="00F75794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Ministarstvo životne sredine, prostornog planiranja i infrastrukture (MŽSPPI) i Ministarstvo ekonomije (ME)</w:t>
            </w:r>
          </w:p>
          <w:p w:rsidR="00F75794" w:rsidRPr="00BC3B72" w:rsidRDefault="00BC3B72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Železnička infrastuktura Kosova A.D.– INFRAKOS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F75794" w:rsidRPr="00611DF8" w:rsidTr="00B71E51">
        <w:trPr>
          <w:trHeight w:val="330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Institucija autor predloga projekta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BC3B72" w:rsidRDefault="00BC3B72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Železnička infrastuktura Kosova A.D.– INFRAKOS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BC3B72" w:rsidRDefault="00BC3B72" w:rsidP="00B649C0">
            <w:pPr>
              <w:spacing w:before="60" w:after="60" w:line="260" w:lineRule="atLeast"/>
              <w:jc w:val="both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MŽSPPI</w:t>
            </w:r>
          </w:p>
        </w:tc>
      </w:tr>
      <w:tr w:rsidR="00F75794" w:rsidRPr="00611DF8" w:rsidTr="00B71E51">
        <w:trPr>
          <w:trHeight w:val="330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Lokacija/mapa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spacing w:before="60" w:after="60" w:line="260" w:lineRule="atLeast"/>
              <w:rPr>
                <w:i/>
                <w:color w:val="2E74B5" w:themeColor="accent5" w:themeShade="BF"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i/>
                <w:color w:val="2E74B5" w:themeColor="accent5" w:themeShade="BF"/>
                <w:sz w:val="20"/>
                <w:rFonts w:ascii="Arial" w:hAnsi="Arial"/>
              </w:rPr>
              <w:drawing>
                <wp:inline distT="0" distB="0" distL="0" distR="0" wp14:anchorId="7F956BDF" wp14:editId="22583829">
                  <wp:extent cx="3568390" cy="3679691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214" cy="368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94" w:rsidRPr="00611DF8" w:rsidTr="00B71E51">
        <w:trPr>
          <w:trHeight w:val="330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Ukupna procenjena investicija:</w:t>
            </w:r>
          </w:p>
          <w:p w:rsidR="00F75794" w:rsidRPr="00611DF8" w:rsidRDefault="00F75794" w:rsidP="00F75794">
            <w:pPr>
              <w:numPr>
                <w:ilvl w:val="0"/>
                <w:numId w:val="1"/>
              </w:num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Pripremne aktivnosti (planska dokumentacija, tehnička dokumentacija, kupovima zemljišta, itd.)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611DF8" w:rsidRDefault="00F75794" w:rsidP="00F75794">
            <w:pPr>
              <w:numPr>
                <w:ilvl w:val="0"/>
                <w:numId w:val="1"/>
              </w:num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Građevinski radovi</w:t>
            </w:r>
          </w:p>
          <w:p w:rsidR="00F75794" w:rsidRPr="00611DF8" w:rsidRDefault="00F75794" w:rsidP="00F75794">
            <w:pPr>
              <w:numPr>
                <w:ilvl w:val="0"/>
                <w:numId w:val="1"/>
              </w:num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Nadzor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72" w:rsidRPr="00FC4376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Ukupna procenjena investicija: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188.215.000 EUR</w:t>
            </w:r>
          </w:p>
          <w:p w:rsidR="00F75794" w:rsidRPr="00BC3B72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Od čega:</w:t>
            </w:r>
          </w:p>
          <w:p w:rsidR="00F75794" w:rsidRPr="00BC3B72" w:rsidRDefault="00F75794" w:rsidP="00F75794">
            <w:pPr>
              <w:pStyle w:val="ListParagraph"/>
              <w:numPr>
                <w:ilvl w:val="0"/>
                <w:numId w:val="5"/>
              </w:numPr>
              <w:spacing w:before="60" w:after="60" w:line="260" w:lineRule="atLeast"/>
              <w:rPr>
                <w:sz w:val="20"/>
                <w:szCs w:val="20"/>
                <w:rFonts w:eastAsia="Times New Roman" w:cs="Arial"/>
              </w:rPr>
            </w:pPr>
            <w:r>
              <w:rPr>
                <w:sz w:val="20"/>
              </w:rPr>
              <w:t xml:space="preserve">Pripremne aktivnosti:</w:t>
            </w: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6.000.000 EUR</w:t>
            </w:r>
          </w:p>
          <w:p w:rsidR="00F75794" w:rsidRPr="00BC3B72" w:rsidRDefault="00F75794" w:rsidP="00F75794">
            <w:pPr>
              <w:pStyle w:val="ListParagraph"/>
              <w:numPr>
                <w:ilvl w:val="0"/>
                <w:numId w:val="5"/>
              </w:numPr>
              <w:spacing w:before="60" w:after="60" w:line="260" w:lineRule="atLeast"/>
              <w:rPr>
                <w:sz w:val="20"/>
                <w:szCs w:val="20"/>
                <w:rFonts w:eastAsia="Times New Roman" w:cs="Arial"/>
              </w:rPr>
            </w:pPr>
            <w:r>
              <w:rPr>
                <w:sz w:val="20"/>
              </w:rPr>
              <w:t xml:space="preserve">Građevinski radovi:</w:t>
            </w: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172.815.000 EUR</w:t>
            </w:r>
          </w:p>
          <w:p w:rsidR="00F75794" w:rsidRPr="00BC3B72" w:rsidRDefault="001D02E1" w:rsidP="00F75794">
            <w:pPr>
              <w:pStyle w:val="ListParagraph"/>
              <w:numPr>
                <w:ilvl w:val="0"/>
                <w:numId w:val="5"/>
              </w:numPr>
              <w:spacing w:before="60" w:after="60" w:line="260" w:lineRule="atLeast"/>
              <w:rPr>
                <w:sz w:val="20"/>
                <w:szCs w:val="20"/>
                <w:rFonts w:eastAsia="Times New Roman" w:cs="Arial"/>
              </w:rPr>
            </w:pPr>
            <w:r>
              <w:rPr>
                <w:sz w:val="20"/>
              </w:rPr>
              <w:t xml:space="preserve">Nadzor: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9.400.000 EUR</w:t>
            </w:r>
          </w:p>
        </w:tc>
      </w:tr>
      <w:tr w:rsidR="00F75794" w:rsidRPr="00611DF8" w:rsidTr="00B71E51">
        <w:trPr>
          <w:trHeight w:val="346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Odgovorno ili ovlašćeno lice za kontakt: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94" w:rsidRPr="00BC3B72" w:rsidRDefault="00F75794" w:rsidP="00B649C0">
            <w:pPr>
              <w:spacing w:line="276" w:lineRule="auto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Naser Krasnići</w:t>
            </w:r>
          </w:p>
        </w:tc>
      </w:tr>
      <w:tr w:rsidR="00F75794" w:rsidRPr="00611DF8" w:rsidTr="00B71E51">
        <w:trPr>
          <w:trHeight w:val="346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Naziv - radno mesto: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BC3B72" w:rsidRDefault="00BC3B72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Izvršni direktor Železničke infrastukture Kosova A.D. INFRAKOS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F75794" w:rsidRPr="00611DF8" w:rsidTr="00B71E51">
        <w:trPr>
          <w:trHeight w:val="346"/>
          <w:jc w:val="center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E-mail adresa - telefon: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BC3B72" w:rsidRDefault="00B71E51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hyperlink r:id="rId8" w:history="1">
              <w:r>
                <w:rPr>
                  <w:rStyle w:val="Hyperlink"/>
                  <w:color w:val="auto"/>
                  <w:sz w:val="20"/>
                  <w:rFonts w:ascii="Arial" w:hAnsi="Arial"/>
                </w:rPr>
                <w:t xml:space="preserve">naser.krasniqi@kosovorailway.com</w:t>
              </w:r>
            </w:hyperlink>
            <w:r>
              <w:rPr>
                <w:rStyle w:val="Hyperlink"/>
                <w:color w:val="auto"/>
                <w:sz w:val="20"/>
                <w:rFonts w:ascii="Arial" w:hAnsi="Arial"/>
              </w:rPr>
              <w:t xml:space="preserve">;</w:t>
            </w:r>
          </w:p>
          <w:p w:rsidR="00F75794" w:rsidRPr="00BC3B72" w:rsidRDefault="00F75794" w:rsidP="00B649C0">
            <w:pPr>
              <w:spacing w:before="60" w:after="60" w:line="260" w:lineRule="atLeast"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Tel: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+383 38 550 550 lok.505</w:t>
            </w:r>
          </w:p>
        </w:tc>
      </w:tr>
    </w:tbl>
    <w:p w:rsidR="00F75794" w:rsidRPr="006D4C74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before="200"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OPIS PROJEKTA</w:t>
      </w:r>
    </w:p>
    <w:p w:rsidR="00F75794" w:rsidRPr="006D4C74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761"/>
        <w:gridCol w:w="5589"/>
      </w:tblGrid>
      <w:tr w:rsidR="00F75794" w:rsidRPr="00611DF8" w:rsidTr="00B649C0">
        <w:trPr>
          <w:trHeight w:val="539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contextualSpacing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Svrha infrastrukturnog projekta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BC3B72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Opšti cilj projekta je podrška razvoju transportne infrastrukture kao i reformskim procesima u sektoru transporta na Kosovu i regionu u skladu sa relevantnim direktivama i uredbama EU.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Projekat će omogućiti bolju multimodalnost, bolju povezanost sa drugim vidovima transporta i ekološki prihvatljiva transportna rešenja koja će kombinovati drumski i železnički transport.</w:t>
            </w:r>
          </w:p>
          <w:p w:rsidR="00F75794" w:rsidRPr="00BC3B72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Specifični cilj ovog projekta je stvaranje nove železničke linije između železničke stanice Uroševac na Kosovu i Železničke stanice Bujanovac u Srbiji, kako bi se povezao železnički put 10 i pristup privrede jugoistočnog Kosova sa Koridorom X.</w:t>
            </w:r>
          </w:p>
          <w:p w:rsidR="00F75794" w:rsidRPr="00844AAB" w:rsidRDefault="00F75794" w:rsidP="00BC3B72">
            <w:pPr>
              <w:spacing w:before="60" w:after="60" w:line="260" w:lineRule="atLeast"/>
              <w:jc w:val="both"/>
              <w:rPr>
                <w:bCs/>
                <w:i/>
                <w:color w:val="2E74B5" w:themeColor="accent5" w:themeShade="BF"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Sprovođenjem ovog projekta, Kosovo će razviti dobru vezu sa regionalnim železnicama i panevropskim koridorima; intermodalni i multimodalni transport; povećaće broj ljudi sa poboljšanim pristupom uslugama;  i otvoriće železničko tržište za domaće, regionalne i međunarodne železničke operatere.</w:t>
            </w:r>
          </w:p>
        </w:tc>
      </w:tr>
      <w:tr w:rsidR="00F75794" w:rsidRPr="00611DF8" w:rsidTr="00B649C0">
        <w:trPr>
          <w:trHeight w:val="1529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contextualSpacing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Rezultati infrastrukturnog projekta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7E6683" w:rsidRDefault="00813588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Izgradnjom ove nove pruge povezaće se dva grada dve susedne zemlje i omogućiti interoperabilna železnička infrastruktura koja će podržati bezbedan železnički saobraćaj i železničko tržište za domaće, regionalne i međunarodne železničke operatere.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Glavni akteri na koje utiče ovaj projekat državni železničko preduzeće Kosova (TRAINKOS) i sva druga železnička preduzeća (lokalna, regionalna i EU) koji će koristiti ovu infrastrukturu u budućnosti.</w:t>
            </w:r>
            <w:r>
              <w:rPr>
                <w:sz w:val="20"/>
                <w:rFonts w:ascii="Arial" w:hAnsi="Arial"/>
              </w:rPr>
              <w:t xml:space="preserve">   </w:t>
            </w:r>
          </w:p>
          <w:p w:rsidR="00F75794" w:rsidRPr="007E6683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Generalna sanacija železničke trase 10 je preduslov za razvoj železničkog sektora na Kosovu, a sprovođenje ovog projekta će za posledicu imati: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Povećane uslove bezbednosti i brzine na ovoj pruzi;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Interoperabilna železnička infrastruktura kao veza između susednih zemalja i šireg regiona;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Bolji uslovi za razvoj putničkog i teretnog saobraćaja;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Povećani ekonomski rast i društveni razvoj;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Olakšane trgovinske i ekonomske veze sa susednim zemljama i državama članicama EU;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Poboljšanje transportnih kapaciteta;</w:t>
            </w:r>
          </w:p>
          <w:p w:rsidR="00F75794" w:rsidRPr="007E6683" w:rsidRDefault="00F75794" w:rsidP="00F75794">
            <w:pPr>
              <w:numPr>
                <w:ilvl w:val="0"/>
                <w:numId w:val="3"/>
              </w:numPr>
              <w:spacing w:before="60" w:after="60" w:line="260" w:lineRule="atLeast"/>
              <w:contextualSpacing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Razvoj multimodalnog i intermodalnog transporta na Kosovu i šire.</w:t>
            </w:r>
          </w:p>
        </w:tc>
      </w:tr>
      <w:tr w:rsidR="00F75794" w:rsidRPr="00611DF8" w:rsidTr="00B649C0">
        <w:trPr>
          <w:trHeight w:val="260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1D02E1" w:rsidP="001D02E1">
            <w:pPr>
              <w:contextualSpacing/>
              <w:rPr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Opšti opis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584929" w:rsidRDefault="002C4B7E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Izgradnjom ove pruge biće omogućeno kraće povezivanje železničke trase 10 sa železničkim koridorom X.</w:t>
            </w:r>
          </w:p>
          <w:p w:rsidR="00F75794" w:rsidRPr="00584929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Ovaj projekat je od velikog značaja za budući socio-ekonomski razvoj regiona, posebno za Kosovo.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Takođe, doprinosi regionalnoj koheziji i pomoći će u razvoju besprekornih veza za putnike i teret na zapadnom Balkanu.</w:t>
            </w:r>
          </w:p>
          <w:p w:rsidR="00F75794" w:rsidRPr="00584929" w:rsidRDefault="002C4B7E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Nova železnička linija u dužini od približno 59 km unutar Kosova stvoriće železničku vezu između železničke stanice u Uroševcu na Kosovu i Bujanovca u Srbiji.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2C4B7E" w:rsidRDefault="00F75794" w:rsidP="00B649C0">
            <w:pPr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60" w:lineRule="atLeast"/>
              <w:rPr>
                <w:i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i/>
                <w:sz w:val="20"/>
                <w:rFonts w:ascii="Arial" w:hAnsi="Arial"/>
              </w:rPr>
              <w:drawing>
                <wp:inline distT="0" distB="0" distL="0" distR="0" wp14:anchorId="5F01EDF9" wp14:editId="681340BF">
                  <wp:extent cx="3318612" cy="275038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01" cy="275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794" w:rsidRPr="002C4B7E" w:rsidRDefault="00F75794" w:rsidP="002C4B7E">
            <w:pPr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60" w:lineRule="atLeast"/>
              <w:rPr>
                <w:i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i/>
                <w:sz w:val="20"/>
                <w:rFonts w:ascii="Arial" w:hAnsi="Arial"/>
              </w:rPr>
              <w:drawing>
                <wp:inline distT="0" distB="0" distL="0" distR="0" wp14:anchorId="45A7D0AE" wp14:editId="51FD6F43">
                  <wp:extent cx="3291561" cy="2788388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74" cy="282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794" w:rsidRPr="006D4C74" w:rsidRDefault="00F75794" w:rsidP="00F75794">
      <w:pPr>
        <w:spacing w:before="200" w:line="276" w:lineRule="auto"/>
        <w:contextualSpacing/>
        <w:rPr>
          <w:rFonts w:ascii="Arial" w:eastAsia="Times New Roman" w:hAnsi="Arial" w:cs="Arial"/>
          <w:b/>
          <w:bCs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before="200"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PODOBNOST</w:t>
      </w:r>
    </w:p>
    <w:p w:rsidR="00F75794" w:rsidRPr="006D4C74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761"/>
        <w:gridCol w:w="5589"/>
      </w:tblGrid>
      <w:tr w:rsidR="00F75794" w:rsidRPr="00611DF8" w:rsidTr="00B649C0">
        <w:trPr>
          <w:trHeight w:val="701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Usklađenost sa važećim politikama i strategijama EU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AF2A1C" w:rsidRDefault="00F75794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Železnička linija ima očiglednu stratešku dimenziju sa regionalnog aspekta za razvoj železničkog saobraćaja i u skladu je sa politikama i strategijama EU.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AF2A1C" w:rsidRDefault="00F75794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 Ekonomskom i investicionom planu za zapadni Balkan, Brisel, 6.10.2020, navodi se da su „brze i efikasne transportne veze, kako unutar regiona, tako i sa susednim državama članicama EU, i održivi transport sa daljim ulaganjem u železnicu i unutrašnje plovne puteve od ključne važnosti.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Ovo promoviše „dalju regionalnu saradnju i integraciju, povezujući prestonice u regionu i sa EU“ i promoviše „multimodalna transportna rešenja i modalnu promenu, kao i smanjenje zagađenja u vezi sa transportom“.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AF2A1C" w:rsidRDefault="00115C9A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Evropski zeleni dogovor, Brisel 11.12.2019, navodi da „znatan deo od 75 odsto unutrašnjeg tereta koji se danas prevozi drumom, treba da bude prebačen na železnicu i unutrašnje plovne puteve.</w:t>
            </w:r>
          </w:p>
          <w:p w:rsidR="00F75794" w:rsidRPr="00AF2A1C" w:rsidRDefault="00F75794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Strategija održive i pametne mobilnosti, Brisel, 9.12.2020, navodi da „mobilnost u Evropi treba da se zasniva na efikasnom i međusobno povezanom multimodalnom transportnom sistemu, kako za putnike tako i za teret, poboljšan pristupačnom brzom železničkom mrežom, obilnim punjenjem i Infrastrukturama za dopunu goriva za vozila sa nultom emisijom i snabdevanje obnovljivim i niskougljeničnim gorivima, čistijom i aktivnijom mobilnošću u zelenijim gradovima koji doprinose dobrom zdravlju i blagostanju svojih građana.”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Ista strategija predviđa da će se do 2030. godine brzi železnički saobraćaj udvostručiti, a do 2050. godine udvostručiti se teretni, a utrostručiti brzi železnički saobraćaj.</w:t>
            </w:r>
          </w:p>
          <w:p w:rsidR="00F75794" w:rsidRPr="00AF2A1C" w:rsidRDefault="00F75794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Strategija za održivu i pametnu mobilnost na zapadnom Balkanu, jul 2021, glasi: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„Potrebne su intervencije da bi se povećao kapacitet železnice i omogućile konkurentnije železničke usluge.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Takođe, prema strategiji:</w:t>
            </w:r>
          </w:p>
          <w:p w:rsidR="00F75794" w:rsidRPr="00AF2A1C" w:rsidRDefault="00F75794" w:rsidP="00F7579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Do 2030. godine, železnički teretni saobraćaj povećati za 20 procenata; ovo će se udvostručiti do 2050.</w:t>
            </w:r>
          </w:p>
          <w:p w:rsidR="00F75794" w:rsidRPr="00AF2A1C" w:rsidRDefault="00F75794" w:rsidP="00F7579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Do 2035. godine, železnički i vodeni intermodalni transport će se ravnopravno takmičiti sa drumskim transportom na Zapadnom Balkanu.</w:t>
            </w:r>
          </w:p>
          <w:p w:rsidR="00F75794" w:rsidRPr="00AF2A1C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Jedan od ciljeva EBRD-a navedenih u Strategiji transportnog sektora (2019-2024), oktobar 2019, jeste „ulaganje u rehabilitaciju i proširenje nacionalne, regionalne i prigradske železničke infrastrukture i signalizacije, kako bi se poboljšao pristup tržištima i uslugama, i stvorile veze sa ključnim transportnim mrežama i koridorima, uključujući TEN-T, VBCN, CAREC, TRACECA i BRI u ekonomijama u koje Banka investira.”</w:t>
            </w:r>
          </w:p>
          <w:p w:rsidR="00F75794" w:rsidRPr="002C4B7E" w:rsidRDefault="0006001B" w:rsidP="00B649C0">
            <w:pPr>
              <w:spacing w:before="60" w:after="60" w:line="260" w:lineRule="atLeast"/>
              <w:jc w:val="both"/>
              <w:rPr>
                <w:bCs/>
                <w:i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Integracija Kosova u regionalne železničke transportne mreže biće olakšana preko Investicionog okvira za Zapadni Balkan (WBIF) i relevantnih regionalnih programa.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Takođe, razmatra se za ulaganje Evropske banke za obnovu i razvoj (EBRD).</w:t>
            </w:r>
          </w:p>
        </w:tc>
      </w:tr>
      <w:tr w:rsidR="00F75794" w:rsidRPr="00611DF8" w:rsidTr="00B649C0">
        <w:trPr>
          <w:trHeight w:val="1169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Doprinos važećim nacionalnim razvojnim ciljevima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E4A44" w:rsidRDefault="00F75794" w:rsidP="00B649C0">
            <w:pPr>
              <w:spacing w:before="60" w:after="60" w:line="260" w:lineRule="atLeast"/>
              <w:jc w:val="both"/>
              <w:rPr>
                <w:bCs/>
                <w:spacing w:val="-1"/>
                <w:w w:val="105"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je u skladu sa Sporazumom o stabilizaciji i pridruživanju (SSP), između Kosova i Evropske unije kao što je navedeno u članu 113 ovog sporazuma:</w:t>
            </w:r>
          </w:p>
          <w:p w:rsidR="00F75794" w:rsidRPr="00FE4A44" w:rsidRDefault="00F75794" w:rsidP="00B649C0">
            <w:pPr>
              <w:spacing w:before="60" w:after="60" w:line="260" w:lineRule="atLeast"/>
              <w:jc w:val="both"/>
              <w:rPr>
                <w:bCs/>
                <w:spacing w:val="-1"/>
                <w:w w:val="105"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„Saradnja između Strana će se fokusirati na prioritetne oblasti koje se odnose na pravne tekovine EU u oblasti saobraćaja.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Saradnja bi mogla posebno da ima za cilj restrukturiranje i modernizaciju transportnih sistema Kosova i poboljšanje povezane infrastrukture (uključujući i regionalne veze koje je identifikovala Transportna opservatorija jugoistočne Evrope), poboljšanje slobodnog kretanja putnika i robe, postizanje standarda koji su interoperabilni i uporedivi sa onima koji preovlađuju u EU i usklađivanje transportnog zakonodavstva sa zakonodavstvom EU, ukoliko objektivne okolnosti to dozvoljavaju.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Saradnja će imati za cilj da doprinese progresivnom međusobnom pristupu transportnim tržištima i objektima EU i Kosova kako je predviđeno ovim sporazumom, razvoj transportnog sistema na Kosovu kompatibilnog, interoperabilnog i povezanog sa sistemom EU, i poboljšanje zaštite životne sredine u oblasti transporta.”</w:t>
            </w:r>
          </w:p>
          <w:p w:rsidR="00F75794" w:rsidRPr="00FE4A44" w:rsidRDefault="00F75794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 Programu vlade Republike Kosovo 2021 – 2025, vlada naglašava svoju posvećenost stvaranju integrisanog sistema drumskog, železničkog i vazdušnog saobraćaja, u cilju ekonomskog razvoja, i modernizacije i razvoja železničke infrastrukture, u kako bi se pružile održivije usluge.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55436E" w:rsidRDefault="00FE4A4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Izveštaj EU za Kosovo navodi: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„Kosovo treba da sprovede tekuće projekte povezivanja i da ojača institucionalne i administrativne kapacitete za sprovođenje strateških infrastrukturnih projekata.</w:t>
            </w:r>
          </w:p>
          <w:p w:rsidR="0055436E" w:rsidRPr="00B90718" w:rsidRDefault="0055436E" w:rsidP="0055436E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Program ekonomskih reformi 2024-2026 predviđa da bi dalje povezivanje sa susednim zemljama ojačalo integraciju zemlje u regionalno tržište.</w:t>
            </w:r>
          </w:p>
          <w:p w:rsidR="0055436E" w:rsidRPr="00B90718" w:rsidRDefault="0055436E" w:rsidP="0055436E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Nacionalni program za evropske integracije 2023-2027 promoviše modernu i bolju regionalnu železničku infrastrukturu, u cilju povezivanja na panevropske koridore.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55436E" w:rsidRPr="00FE4A44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Srednjoročni okvir rashoda 2022-2024, april 2021. kaže da će „Infrastruktura nastaviti sa ulaganjima u putnu i železničku infrastrukturu od nacionalnog i međunarodnog značaja, takođe će raditi na izgradnji infrastrukture od nacionalnog značaja koja povezuje regione Kosova i one koja obezbeđuju ekonomski rast.”</w:t>
            </w:r>
          </w:p>
          <w:p w:rsidR="00F75794" w:rsidRPr="00FE4A44" w:rsidRDefault="00F75794" w:rsidP="00B649C0">
            <w:pPr>
              <w:autoSpaceDE w:val="0"/>
              <w:autoSpaceDN w:val="0"/>
              <w:adjustRightInd w:val="0"/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Vlada namerava da preko razvojnih banaka finansira sanaciju ove železničke pruge.</w:t>
            </w:r>
          </w:p>
        </w:tc>
      </w:tr>
      <w:tr w:rsidR="0055436E" w:rsidRPr="0055436E" w:rsidTr="00B649C0">
        <w:trPr>
          <w:trHeight w:val="330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55436E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Usklađenost sa nacionalnim strateškim okvirom sektora saobraćaja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55436E" w:rsidRDefault="00584929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Strategija multimodalnog transporta 2030 ima za cilj da donese održiv i integrisan transportni sistem jačanjem različitih vidova (drumski, železnički i vazdušni), kao što su pogodnost, brzina, cena, pouzdanost, predvidljivost, itd., i u kombinaciji, može ponuditi efikasnija transportna rešenja za ljude i robu što će pomoći da se smanji pritisak na našim zakrčenim putevima i da ceo sektor učini ekološki prihvatljivijim, bezbednijim i isplativijim.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Takođe, navodi se da je „transportna politika EU prirodno usklađena sa gore navedenim globalnim trendovima.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Međutim, može se naglasiti da se posebna pažnja poklanja uvođenju vozila sa nultom emisijom, razvoju železničkog saobraćaja i jačanju jedinstvenog tržišta koje se zasniva na principu korisnik plaća.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Takođe navodi da „Pored niskog kvaliteta infrastrukture, kosovskoj železnici takođe nedostaje ERTMS.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Ovo je ključna komponenta za konkurentnost i bezbednost železničkog saobraćaja i stoga bi svi projekti modernizacije trebalo da uključuju uvođenje ERTMS-a.</w:t>
            </w:r>
            <w:r>
              <w:rPr>
                <w:sz w:val="20"/>
                <w:rFonts w:ascii="Arial" w:hAnsi="Arial"/>
              </w:rPr>
              <w:t xml:space="preserve">  </w:t>
            </w:r>
            <w:r>
              <w:rPr>
                <w:sz w:val="20"/>
                <w:rFonts w:ascii="Arial" w:hAnsi="Arial"/>
              </w:rPr>
              <w:t xml:space="preserve">Kako se većina nesreća na železnici dešava na putno-železničkim prelazima, postavljanje ERTMS-a će takođe pomoći da se smanji broj poginulih u železničkom saobraćaju.</w:t>
            </w:r>
          </w:p>
        </w:tc>
      </w:tr>
    </w:tbl>
    <w:p w:rsidR="00F75794" w:rsidRPr="0055436E" w:rsidRDefault="00F75794" w:rsidP="00F75794">
      <w:pPr>
        <w:spacing w:line="276" w:lineRule="auto"/>
        <w:rPr>
          <w:rFonts w:ascii="Arial" w:eastAsia="Times New Roman" w:hAnsi="Arial" w:cs="Arial"/>
          <w:bCs/>
          <w:lang w:val="en-GB"/>
        </w:rPr>
      </w:pPr>
    </w:p>
    <w:p w:rsidR="00F75794" w:rsidRPr="0055436E" w:rsidRDefault="00F75794" w:rsidP="00F75794">
      <w:pPr>
        <w:numPr>
          <w:ilvl w:val="0"/>
          <w:numId w:val="2"/>
        </w:numPr>
        <w:spacing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STRATEŠKA RELEVANTNOST</w:t>
      </w:r>
    </w:p>
    <w:p w:rsidR="00F75794" w:rsidRPr="0055436E" w:rsidRDefault="00F75794" w:rsidP="00F75794">
      <w:pPr>
        <w:spacing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5631"/>
      </w:tblGrid>
      <w:tr w:rsidR="0055436E" w:rsidRPr="0055436E" w:rsidTr="00B649C0">
        <w:trPr>
          <w:trHeight w:val="46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55436E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Objasnite karakteristike projekta u smislu:</w:t>
            </w:r>
          </w:p>
        </w:tc>
      </w:tr>
      <w:tr w:rsidR="0055436E" w:rsidRPr="0055436E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55436E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Poboljšanje intermodalnosti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55436E" w:rsidRDefault="00F75794" w:rsidP="00584929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Implementacijom izgradnje ove linije, Kosovo će poboljšati i razviti intermodalni transport najvišeg nivoa na lokalnom, regionalnom i međunarodnom nivou.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Ovo će olakšati transport „od vrata do vrata“ korišćenjem železničkih i drumskih vozila.</w:t>
            </w:r>
            <w:r>
              <w:rPr>
                <w:sz w:val="20"/>
                <w:rFonts w:ascii="Arial" w:hAnsi="Arial"/>
              </w:rPr>
              <w:t xml:space="preserve">    </w:t>
            </w:r>
          </w:p>
        </w:tc>
      </w:tr>
      <w:tr w:rsidR="0055436E" w:rsidRPr="0055436E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55436E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Povećanje međunarodnog saobraćaja (teret, lica)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55436E" w:rsidRDefault="00F9580D" w:rsidP="00F9580D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Da.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Uključen u najnoviji višegodišnji plan (MAP) SEETO-a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Ne, ovaj projekat nije uključen u SEETO MAP 2018.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Obezbeđivanje veze sa TEN-T koridorima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Linija će se povezati sa železničkom rutom 10 i TEN-T koridorom X.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9580D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 doprinos poboljšanju uslova bezbednosti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F9580D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Rehabilitacija ove pruge biće urađena u skladu sa savremenim standardima bezbednosti u železničkom saobraćaju.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Imajući u vidu trenutno stanje dotične železničke pruge, ovaj projekat će značajno poboljšati bezbednosne uslove.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Nova, nadograđena ili sanirana infrastruktura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9580D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Sanirana infrastruktura.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Zadovoljavanje godišnjeg rasta tražnje saobraćaja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ispunjava tražene kriterijume za rast saobraćaja.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Smanjenje vremena putovanja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F9580D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Izgradnja ove pruge obezbediće kraće i bezbednije putovanje između Kosova i Srbije i između tržišta za više od dva sata.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Njen efekat na smanjenje emisije CO2 i buke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Realizacija ovog projekta će dovesti do toga da se veći deo drumskog teretnog transporta prebaci na železnicu, što bi značajno uticalo na smanjenje emisije CO</w:t>
            </w:r>
            <w:r>
              <w:rPr>
                <w:sz w:val="20"/>
                <w:vertAlign w:val="subscript"/>
                <w:rFonts w:ascii="Arial" w:hAnsi="Arial"/>
              </w:rPr>
              <w:t xml:space="preserve">2</w:t>
            </w:r>
            <w:r>
              <w:rPr>
                <w:sz w:val="20"/>
                <w:rFonts w:ascii="Arial" w:hAnsi="Arial"/>
              </w:rPr>
              <w:t xml:space="preserve"> i buke.</w:t>
            </w:r>
          </w:p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Ovaj projekat ima održivost u odnosu na ekološke aspekte, jer je poznato da vozovi imaju veoma nisku emisiju C02 u poređenju sa drumskim vozilima.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Na taj način ćemo imati čist ekološki ambijent duž železničke pruge.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Ovaj projekat će uzeti u obzir implikacije na životnu sredinu, tako da će svaki negativni uticaj na životnu sredinu biti ili izbegnut ili ublažen tokom trajanja projekta.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 doprinos ukupnom ekonomskom rastu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Unapređenje saobraćajne infrastrukture širom Zapadnog Balkana je ključni element za osiguranje povezanosti, održivog ekonomskog rasta i kohezije između regionalnih strana i Evropske unije.</w:t>
            </w:r>
            <w:r>
              <w:rPr>
                <w:sz w:val="20"/>
                <w:rFonts w:ascii="Arial" w:hAnsi="Arial"/>
              </w:rPr>
              <w:t xml:space="preserve"> </w:t>
            </w:r>
          </w:p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Projekat će omogućiti značajan međuregionalni ekonomski rast i doprineti regionalnoj koheziji i pomoći u razvoju besprekornih veza za putnike i teret na Zapadnom Balkanu, pre svega povezivanjem Kosova i susednih zemalja.</w:t>
            </w:r>
          </w:p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Jačanje povezanosti unutar Zapadnog Balkana predstavlja strateški interes za obe strane.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Povećanje saobraćajnih veza omogućiće veću konkurentnost, ekonomski rast i sigurnost snabdevanja, a istovremeno je važan preduslov za ekonomsku integraciju u okviru Zapadnog Balkana.</w:t>
            </w:r>
          </w:p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Zapadni Balkan je geografski okružen državama članicama EU i politički je prioritet povezati infrastrukturu između EU i Zapadnog Balkana i ubrzati razvoj međusobno povezanih transevropskih mreža u transportu.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Njegova integracija sa drugim projektima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Ovaj projekat je usko povezan sa investicijama na železničkoj trasi 10 na Kosovu i investicijama u železničkom Koridoru X u Srbiji.</w:t>
            </w:r>
          </w:p>
        </w:tc>
      </w:tr>
      <w:tr w:rsidR="00F75794" w:rsidRPr="00611DF8" w:rsidTr="00B649C0">
        <w:trPr>
          <w:trHeight w:val="467"/>
          <w:jc w:val="center"/>
        </w:trPr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Postojanje alternativa</w:t>
            </w:r>
          </w:p>
        </w:tc>
        <w:tc>
          <w:tcPr>
            <w:tcW w:w="3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Alternativne opcije biće analizirane u toku izrade tehničke dokumentacije za izgradnju nove železničke veze.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</w:tbl>
    <w:p w:rsidR="00F75794" w:rsidRDefault="00F75794" w:rsidP="00F75794">
      <w:pPr>
        <w:spacing w:before="60" w:after="60" w:line="260" w:lineRule="atLeast"/>
        <w:jc w:val="center"/>
        <w:rPr>
          <w:rFonts w:ascii="Arial" w:eastAsia="Times New Roman" w:hAnsi="Arial" w:cs="Arial"/>
          <w:b/>
          <w:szCs w:val="20"/>
          <w:lang w:val="en-GB"/>
        </w:rPr>
      </w:pPr>
    </w:p>
    <w:p w:rsidR="00F75794" w:rsidRDefault="00F75794" w:rsidP="00F75794">
      <w:pPr>
        <w:spacing w:before="60" w:after="60" w:line="260" w:lineRule="atLeast"/>
        <w:jc w:val="center"/>
        <w:rPr>
          <w:rFonts w:ascii="Arial" w:eastAsia="Times New Roman" w:hAnsi="Arial" w:cs="Arial"/>
          <w:b/>
          <w:szCs w:val="20"/>
          <w:lang w:val="en-GB"/>
        </w:rPr>
      </w:pPr>
    </w:p>
    <w:p w:rsidR="00F75794" w:rsidRDefault="00F75794" w:rsidP="00F75794">
      <w:pPr>
        <w:spacing w:before="60" w:after="60" w:line="260" w:lineRule="atLeast"/>
        <w:jc w:val="center"/>
        <w:rPr>
          <w:rFonts w:ascii="Arial" w:eastAsia="Times New Roman" w:hAnsi="Arial" w:cs="Arial"/>
          <w:b/>
          <w:szCs w:val="20"/>
          <w:lang w:val="en-GB"/>
        </w:rPr>
      </w:pPr>
    </w:p>
    <w:p w:rsidR="00F75794" w:rsidRDefault="00F75794" w:rsidP="00F75794">
      <w:pPr>
        <w:jc w:val="center"/>
        <w:rPr>
          <w:b/>
          <w:sz w:val="28"/>
          <w:szCs w:val="28"/>
          <w:rFonts w:ascii="Arial" w:hAnsi="Arial" w:cs="Arial"/>
        </w:rPr>
      </w:pPr>
      <w:r>
        <w:rPr>
          <w:b/>
          <w:sz w:val="28"/>
          <w:rFonts w:ascii="Arial" w:hAnsi="Arial"/>
        </w:rPr>
        <w:t xml:space="preserve">Drugi deo</w:t>
      </w:r>
    </w:p>
    <w:p w:rsidR="00F75794" w:rsidRPr="009167AF" w:rsidRDefault="00F75794" w:rsidP="00F75794">
      <w:pPr>
        <w:jc w:val="center"/>
        <w:rPr>
          <w:rFonts w:ascii="Arial" w:hAnsi="Arial" w:cs="Arial"/>
          <w:b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ZRELOST</w:t>
      </w:r>
    </w:p>
    <w:p w:rsidR="00F75794" w:rsidRPr="009167AF" w:rsidRDefault="00F75794" w:rsidP="00F75794">
      <w:pPr>
        <w:spacing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4947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3"/>
        <w:gridCol w:w="1480"/>
        <w:gridCol w:w="1317"/>
        <w:gridCol w:w="1201"/>
      </w:tblGrid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Dostupne studije i dokumenti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jc w:val="center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Spremno i odobreno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jc w:val="center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Radi se na njima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jc w:val="center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Još nije počelo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Konceptualna ideja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Prethodna studija izvodljivosti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Konceptualni dizajna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Studija izvodljivosti + CBA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Studija EIU (ako je neophodna)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Važeći dokumenti za prostorno planiranje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Imovinska pitanja rešena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Preliminarni dizajn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Glavni dizajn/detaljni dizajn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Tenderska dokumentacija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Građevinska i ostale dozvole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Ugovor o gradnji potpisan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844AAB" w:rsidRDefault="00F75794" w:rsidP="00B649C0">
            <w:pPr>
              <w:jc w:val="center"/>
              <w:rPr>
                <w:rFonts w:ascii="Arial" w:eastAsia="Times New Roman" w:hAnsi="Arial" w:cs="Arial"/>
                <w:bCs/>
                <w:i/>
                <w:color w:val="2E74B5" w:themeColor="accent5" w:themeShade="BF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</w:tr>
    </w:tbl>
    <w:p w:rsidR="00F75794" w:rsidRPr="009167AF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before="200"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ODREĐIVANJE IZVORA FINANSIRANJA</w:t>
      </w:r>
    </w:p>
    <w:p w:rsidR="00F75794" w:rsidRPr="009167AF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0"/>
        <w:gridCol w:w="636"/>
        <w:gridCol w:w="3925"/>
        <w:gridCol w:w="529"/>
      </w:tblGrid>
      <w:tr w:rsidR="00F75794" w:rsidRPr="00611DF8" w:rsidTr="00B649C0">
        <w:trPr>
          <w:trHeight w:val="41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jc w:val="center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Da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jc w:val="center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Obrazloženje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jc w:val="center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Ne</w:t>
            </w:r>
          </w:p>
        </w:tc>
      </w:tr>
      <w:tr w:rsidR="00F75794" w:rsidRPr="00611DF8" w:rsidTr="00B649C0">
        <w:trPr>
          <w:trHeight w:val="26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projekat poboljšava povezanost?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spacing w:before="60" w:after="60" w:line="260" w:lineRule="atLeast"/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Realizacija projekta će imati direktan uticaj na poboljšanje železničke veze unutar Kosova, sa zemljama regiona i Integrisanom mrežom EU.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611DF8" w:rsidRDefault="00F75794" w:rsidP="00B649C0">
            <w:pPr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projekat ima prekogranični uticaj ili uticaj na druge zemlje u regionu?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spacing w:before="60" w:after="60" w:line="260" w:lineRule="atLeast"/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  <w:p w:rsidR="00F75794" w:rsidRPr="00F9580D" w:rsidRDefault="00F75794" w:rsidP="00B649C0">
            <w:pPr>
              <w:spacing w:before="60" w:after="60" w:line="260" w:lineRule="atLeast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F9580D" w:rsidRDefault="00F75794" w:rsidP="00B649C0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Ova železnička linija ima prekogranični uticaj sa Srbijom, a imaće uticaj i na druge susednih zemlje.</w:t>
            </w:r>
            <w:r>
              <w:rPr>
                <w:sz w:val="20"/>
                <w:rFonts w:ascii="Arial" w:hAnsi="Arial"/>
              </w:rPr>
              <w:t xml:space="preserve">   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611DF8" w:rsidRDefault="00F75794" w:rsidP="00B649C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F75794" w:rsidRPr="00611DF8" w:rsidTr="00B649C0">
        <w:trPr>
          <w:trHeight w:val="41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se projekat na bilo koji drugi način može označiti kao regionalni projekat?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1D02E1" w:rsidP="00B649C0">
            <w:pPr>
              <w:spacing w:before="60" w:after="60" w:line="260" w:lineRule="atLeast"/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X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94" w:rsidRPr="00F9580D" w:rsidRDefault="00F75794" w:rsidP="00F9580D">
            <w:pPr>
              <w:spacing w:before="60" w:after="60" w:line="260" w:lineRule="atLeast"/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Imajući u vidu regionalni razvoj, vezu sa Bujanovcem i pristup Koridoru X, ovaj projekat se može smatrati i regionalnim projektom.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611DF8" w:rsidRDefault="00F75794" w:rsidP="00B649C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</w:tr>
    </w:tbl>
    <w:p w:rsidR="00F75794" w:rsidRPr="009167AF" w:rsidRDefault="00F75794" w:rsidP="00F75794">
      <w:pPr>
        <w:spacing w:before="200" w:after="200" w:line="276" w:lineRule="auto"/>
        <w:contextualSpacing/>
        <w:rPr>
          <w:rFonts w:ascii="Arial" w:eastAsia="Times New Roman" w:hAnsi="Arial" w:cs="Arial"/>
          <w:b/>
          <w:bCs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before="200"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RASPORED POTROŠNJE</w:t>
      </w:r>
    </w:p>
    <w:p w:rsidR="00F75794" w:rsidRPr="009167AF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758"/>
        <w:gridCol w:w="682"/>
        <w:gridCol w:w="683"/>
        <w:gridCol w:w="683"/>
        <w:gridCol w:w="797"/>
        <w:gridCol w:w="683"/>
        <w:gridCol w:w="752"/>
        <w:gridCol w:w="797"/>
        <w:gridCol w:w="683"/>
        <w:gridCol w:w="717"/>
        <w:gridCol w:w="828"/>
      </w:tblGrid>
      <w:tr w:rsidR="00F75794" w:rsidRPr="00611DF8" w:rsidTr="00B649C0">
        <w:tc>
          <w:tcPr>
            <w:tcW w:w="697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2015-2020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2021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2022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2023</w:t>
            </w:r>
          </w:p>
        </w:tc>
        <w:tc>
          <w:tcPr>
            <w:tcW w:w="434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2024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2025</w:t>
            </w:r>
          </w:p>
        </w:tc>
        <w:tc>
          <w:tcPr>
            <w:tcW w:w="410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2026</w:t>
            </w:r>
          </w:p>
        </w:tc>
        <w:tc>
          <w:tcPr>
            <w:tcW w:w="434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2027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2028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2029</w:t>
            </w:r>
          </w:p>
        </w:tc>
        <w:tc>
          <w:tcPr>
            <w:tcW w:w="373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2030</w:t>
            </w:r>
          </w:p>
        </w:tc>
      </w:tr>
      <w:tr w:rsidR="00F75794" w:rsidRPr="00611DF8" w:rsidTr="00B649C0">
        <w:tc>
          <w:tcPr>
            <w:tcW w:w="697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Cena (u milionima EUR) od čega: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0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6,00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91,60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b/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b/>
                <w:sz w:val="20"/>
                <w:rFonts w:ascii="Arial" w:hAnsi="Arial"/>
              </w:rPr>
              <w:t xml:space="preserve">90,615</w:t>
            </w:r>
          </w:p>
        </w:tc>
      </w:tr>
      <w:tr w:rsidR="00F75794" w:rsidRPr="00611DF8" w:rsidTr="00B649C0">
        <w:tc>
          <w:tcPr>
            <w:tcW w:w="697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Priprema projekta (TA)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10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6,00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4,7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jc w:val="center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4,7</w:t>
            </w:r>
          </w:p>
        </w:tc>
      </w:tr>
      <w:tr w:rsidR="00F75794" w:rsidRPr="00611DF8" w:rsidTr="00B649C0">
        <w:tc>
          <w:tcPr>
            <w:tcW w:w="697" w:type="pct"/>
            <w:shd w:val="clear" w:color="auto" w:fill="D9D9D9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Ulaganje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611DF8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10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86,90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75794" w:rsidRPr="00F9580D" w:rsidRDefault="00F75794" w:rsidP="00B649C0">
            <w:pPr>
              <w:spacing w:line="260" w:lineRule="atLeast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85,915</w:t>
            </w:r>
          </w:p>
        </w:tc>
      </w:tr>
    </w:tbl>
    <w:p w:rsidR="00F75794" w:rsidRPr="009167AF" w:rsidRDefault="00F75794" w:rsidP="00F75794">
      <w:pPr>
        <w:spacing w:line="276" w:lineRule="auto"/>
        <w:ind w:left="90"/>
        <w:rPr>
          <w:rFonts w:ascii="Arial" w:eastAsia="Times New Roman" w:hAnsi="Arial" w:cs="Arial"/>
          <w:b/>
          <w:bCs/>
          <w:lang w:val="en-GB"/>
        </w:rPr>
      </w:pPr>
    </w:p>
    <w:p w:rsidR="00F75794" w:rsidRDefault="00F75794" w:rsidP="00F75794">
      <w:pPr>
        <w:numPr>
          <w:ilvl w:val="0"/>
          <w:numId w:val="2"/>
        </w:numPr>
        <w:spacing w:before="200" w:after="200" w:line="276" w:lineRule="auto"/>
        <w:contextualSpacing/>
        <w:rPr>
          <w:b/>
          <w:bCs/>
          <w:szCs w:val="20"/>
          <w:rFonts w:ascii="Arial" w:eastAsia="Times New Roman" w:hAnsi="Arial" w:cs="Arial"/>
        </w:rPr>
      </w:pPr>
      <w:r>
        <w:rPr>
          <w:b/>
          <w:rFonts w:ascii="Arial" w:hAnsi="Arial"/>
        </w:rPr>
        <w:t xml:space="preserve">OSTALI ASPEKTI</w:t>
      </w:r>
    </w:p>
    <w:p w:rsidR="00F75794" w:rsidRPr="009167AF" w:rsidRDefault="00F75794" w:rsidP="00F75794">
      <w:pPr>
        <w:spacing w:before="200" w:after="200" w:line="276" w:lineRule="auto"/>
        <w:ind w:left="450"/>
        <w:contextualSpacing/>
        <w:rPr>
          <w:rFonts w:ascii="Arial" w:eastAsia="Times New Roman" w:hAnsi="Arial" w:cs="Arial"/>
          <w:b/>
          <w:bCs/>
          <w:sz w:val="16"/>
          <w:szCs w:val="16"/>
          <w:lang w:val="en-GB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530"/>
      </w:tblGrid>
      <w:tr w:rsidR="00F75794" w:rsidRPr="00611DF8" w:rsidTr="00B649C0">
        <w:trPr>
          <w:trHeight w:val="467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su u projekat uključene MFI ili drugi donatori?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Kada?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Koje je bilo njihovo mišljenje?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1D02E1" w:rsidRDefault="001D02E1" w:rsidP="00B649C0">
            <w:pPr>
              <w:jc w:val="both"/>
              <w:rPr>
                <w:sz w:val="20"/>
                <w:szCs w:val="20"/>
                <w:rFonts w:ascii="Arial" w:eastAsia="Arial Unicode MS" w:hAnsi="Arial" w:cs="Arial"/>
              </w:rPr>
            </w:pPr>
            <w:r>
              <w:rPr>
                <w:sz w:val="20"/>
                <w:rFonts w:ascii="Arial" w:hAnsi="Arial"/>
              </w:rPr>
              <w:t xml:space="preserve">Konsultativni sastanak sa donatorima održan je 10. maja 2023. godine, gde su međunarodne finansijske institucije i drugi donatori pozvani da učestvuju u opštoj diskusiji o projektima u saobraćajnom sektoru pre njihovog potvrđivanja i odobrenja.</w:t>
            </w:r>
          </w:p>
        </w:tc>
      </w:tr>
      <w:tr w:rsidR="00F75794" w:rsidRPr="00611DF8" w:rsidTr="00B649C0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Postojeća podrška EU ili WBIF (TA): iznos, svrha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584929" w:rsidP="00B649C0">
            <w:pPr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Br.</w:t>
            </w:r>
          </w:p>
        </w:tc>
      </w:tr>
      <w:tr w:rsidR="00F75794" w:rsidRPr="00611DF8" w:rsidTr="00B649C0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je Ministarstvo finansija konsultovano u vezi sa projektom?</w:t>
            </w:r>
            <w:r>
              <w:rPr>
                <w:sz w:val="20"/>
                <w:rFonts w:ascii="Arial" w:hAnsi="Arial"/>
              </w:rPr>
              <w:t xml:space="preserve"> </w:t>
            </w:r>
            <w:r>
              <w:rPr>
                <w:sz w:val="20"/>
                <w:rFonts w:ascii="Arial" w:hAnsi="Arial"/>
              </w:rPr>
              <w:t xml:space="preserve">Opišite povratne informacije.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Ministarstvo finansija, rada i transfera je obavešteno o ovom projektu i podržaće ovaj projekat.</w:t>
            </w:r>
          </w:p>
        </w:tc>
      </w:tr>
      <w:tr w:rsidR="00F75794" w:rsidRPr="00611DF8" w:rsidTr="00B649C0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Da li projekat ostvaruje prihode od krajnjih korisnika?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Ovaj projekat je preduslov za budući razvoj i ostvariće prihode od železničkih operatera.</w:t>
            </w:r>
          </w:p>
        </w:tc>
      </w:tr>
      <w:tr w:rsidR="00F75794" w:rsidRPr="00611DF8" w:rsidTr="00B649C0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5794" w:rsidRPr="00611DF8" w:rsidRDefault="00F75794" w:rsidP="00B649C0">
            <w:pPr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Opis projektnog tima za realizaciju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94" w:rsidRPr="00F9580D" w:rsidRDefault="00F75794" w:rsidP="00B649C0">
            <w:pPr>
              <w:jc w:val="both"/>
              <w:rPr>
                <w:bCs/>
                <w:sz w:val="20"/>
                <w:szCs w:val="20"/>
                <w:rFonts w:ascii="Arial" w:eastAsia="Times New Roman" w:hAnsi="Arial" w:cs="Arial"/>
              </w:rPr>
            </w:pPr>
            <w:r>
              <w:rPr>
                <w:sz w:val="20"/>
                <w:rFonts w:ascii="Arial" w:hAnsi="Arial"/>
              </w:rPr>
              <w:t xml:space="preserve">INFRAKOS će uspostaviti JRP za realizaciju ovog projekta.</w:t>
            </w:r>
            <w:r>
              <w:rPr>
                <w:sz w:val="20"/>
                <w:rFonts w:ascii="Arial" w:hAnsi="Arial"/>
              </w:rPr>
              <w:t xml:space="preserve"> </w:t>
            </w:r>
          </w:p>
        </w:tc>
      </w:tr>
    </w:tbl>
    <w:p w:rsidR="00F75794" w:rsidRPr="00611DF8" w:rsidRDefault="00F75794" w:rsidP="00F75794">
      <w:pPr>
        <w:tabs>
          <w:tab w:val="left" w:pos="1176"/>
        </w:tabs>
        <w:jc w:val="center"/>
        <w:rPr>
          <w:rFonts w:ascii="Arial" w:hAnsi="Arial" w:cs="Arial"/>
          <w:sz w:val="22"/>
          <w:szCs w:val="22"/>
          <w:lang w:val="en-GB"/>
        </w:rPr>
      </w:pPr>
    </w:p>
    <w:p w:rsidR="00F75794" w:rsidRPr="00611DF8" w:rsidRDefault="00F75794" w:rsidP="00F75794">
      <w:pPr>
        <w:tabs>
          <w:tab w:val="left" w:pos="1176"/>
        </w:tabs>
        <w:jc w:val="center"/>
        <w:rPr>
          <w:rFonts w:ascii="Arial" w:hAnsi="Arial" w:cs="Arial"/>
          <w:sz w:val="22"/>
          <w:szCs w:val="22"/>
          <w:lang w:val="en-GB"/>
        </w:rPr>
      </w:pPr>
    </w:p>
    <w:p w:rsidR="0007239F" w:rsidRDefault="0007239F"/>
    <w:sectPr w:rsidR="0007239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E53" w:rsidRDefault="00765E53" w:rsidP="00F75794">
      <w:r>
        <w:separator/>
      </w:r>
    </w:p>
  </w:endnote>
  <w:endnote w:type="continuationSeparator" w:id="0">
    <w:p w:rsidR="00765E53" w:rsidRDefault="00765E53" w:rsidP="00F7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794" w:rsidRPr="00F75794" w:rsidRDefault="00F75794" w:rsidP="001D02E1">
    <w:pPr>
      <w:pStyle w:val="Footer"/>
      <w:rPr>
        <w:rFonts w:ascii="Arial" w:hAnsi="Arial" w:cs="Arial"/>
        <w:sz w:val="22"/>
        <w:szCs w:val="22"/>
      </w:rPr>
    </w:pPr>
  </w:p>
  <w:p w:rsidR="00F75794" w:rsidRDefault="00F757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E53" w:rsidRDefault="00765E53" w:rsidP="00F75794">
      <w:r>
        <w:separator/>
      </w:r>
    </w:p>
  </w:footnote>
  <w:footnote w:type="continuationSeparator" w:id="0">
    <w:p w:rsidR="00765E53" w:rsidRDefault="00765E53" w:rsidP="00F75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F65A3"/>
    <w:multiLevelType w:val="hybridMultilevel"/>
    <w:tmpl w:val="FBAECD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97EBC"/>
    <w:multiLevelType w:val="hybridMultilevel"/>
    <w:tmpl w:val="9D3E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663B8"/>
    <w:multiLevelType w:val="hybridMultilevel"/>
    <w:tmpl w:val="4508D6B0"/>
    <w:lvl w:ilvl="0" w:tplc="041C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C0019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24654B"/>
    <w:multiLevelType w:val="hybridMultilevel"/>
    <w:tmpl w:val="C972B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9489E"/>
    <w:multiLevelType w:val="hybridMultilevel"/>
    <w:tmpl w:val="20549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794"/>
    <w:rsid w:val="0006001B"/>
    <w:rsid w:val="0007239F"/>
    <w:rsid w:val="00115C9A"/>
    <w:rsid w:val="001D02E1"/>
    <w:rsid w:val="001E070F"/>
    <w:rsid w:val="002A06CF"/>
    <w:rsid w:val="002C4B7E"/>
    <w:rsid w:val="00347EB1"/>
    <w:rsid w:val="003A460E"/>
    <w:rsid w:val="003E4D01"/>
    <w:rsid w:val="00493904"/>
    <w:rsid w:val="00497245"/>
    <w:rsid w:val="004F7F5E"/>
    <w:rsid w:val="0055436E"/>
    <w:rsid w:val="00584929"/>
    <w:rsid w:val="00765E53"/>
    <w:rsid w:val="0079231A"/>
    <w:rsid w:val="007E6683"/>
    <w:rsid w:val="007F329E"/>
    <w:rsid w:val="00813588"/>
    <w:rsid w:val="0082462D"/>
    <w:rsid w:val="009A72A9"/>
    <w:rsid w:val="00AF2154"/>
    <w:rsid w:val="00AF2A1C"/>
    <w:rsid w:val="00B71E51"/>
    <w:rsid w:val="00BC3B72"/>
    <w:rsid w:val="00C3127A"/>
    <w:rsid w:val="00CD5326"/>
    <w:rsid w:val="00D44A65"/>
    <w:rsid w:val="00D53F57"/>
    <w:rsid w:val="00E56B3F"/>
    <w:rsid w:val="00E7489D"/>
    <w:rsid w:val="00EA7C36"/>
    <w:rsid w:val="00F37493"/>
    <w:rsid w:val="00F75794"/>
    <w:rsid w:val="00F9580D"/>
    <w:rsid w:val="00FC4376"/>
    <w:rsid w:val="00FE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92F39-1015-44B1-A11D-B7A77902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Arial"/>
        <w:sz w:val="22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794"/>
    <w:rPr>
      <w:rFonts w:ascii="Times New Roman" w:eastAsia="MS Mincho" w:hAnsi="Times New Roman" w:cs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7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75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Indent Paragraph,Lettre d'introduction,Heading 2_sj,Dot pt,List Paragraph Char Char Char,Indicator Text,List Paragraph1,Numbered Para 1,List Paragraph12,Bullet Points,MAIN CONTENT,Bullet 1,List Paragraph (numbered (a)),Bullit,PROVERE 1"/>
    <w:basedOn w:val="Normal"/>
    <w:link w:val="ListParagraphChar"/>
    <w:uiPriority w:val="34"/>
    <w:qFormat/>
    <w:rsid w:val="00F75794"/>
    <w:pPr>
      <w:ind w:left="720"/>
      <w:contextualSpacing/>
    </w:pPr>
    <w:rPr>
      <w:rFonts w:ascii="Arial" w:eastAsiaTheme="minorHAnsi" w:hAnsi="Arial" w:cstheme="minorBidi"/>
      <w:szCs w:val="22"/>
    </w:rPr>
  </w:style>
  <w:style w:type="character" w:styleId="Hyperlink">
    <w:name w:val="Hyperlink"/>
    <w:uiPriority w:val="99"/>
    <w:rsid w:val="00F75794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Indent Paragraph Char,Lettre d'introduction Char,Heading 2_sj Char,Dot pt Char,List Paragraph Char Char Char Char,Indicator Text Char,List Paragraph1 Char,Numbered Para 1 Char,List Paragraph12 Char,Bullet Points Char,Bullet 1 Char"/>
    <w:link w:val="ListParagraph"/>
    <w:uiPriority w:val="34"/>
    <w:qFormat/>
    <w:locked/>
    <w:rsid w:val="00F75794"/>
    <w:rPr>
      <w:rFonts w:ascii="Arial" w:hAnsi="Arial" w:cstheme="minorBidi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F75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794"/>
    <w:rPr>
      <w:rFonts w:ascii="Times New Roman" w:eastAsia="MS Mincho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75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794"/>
    <w:rPr>
      <w:rFonts w:ascii="Times New Roman" w:eastAsia="MS Mincho" w:hAnsi="Times New Roman" w:cs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3127A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/>
      <w:color w:val="323E4F"/>
      <w:spacing w:val="5"/>
      <w:sz w:val="52"/>
      <w:szCs w:val="52"/>
      <w:lang w:val="sr-Latn-RS"/>
    </w:rPr>
  </w:style>
  <w:style w:type="character" w:customStyle="1" w:styleId="TitleChar">
    <w:name w:val="Title Char"/>
    <w:basedOn w:val="DefaultParagraphFont"/>
    <w:link w:val="Title"/>
    <w:uiPriority w:val="10"/>
    <w:rsid w:val="00C3127A"/>
    <w:rPr>
      <w:rFonts w:ascii="Calibri Light" w:eastAsia="Times New Roman" w:hAnsi="Calibri Light" w:cs="Times New Roman"/>
      <w:color w:val="323E4F"/>
      <w:spacing w:val="5"/>
      <w:sz w:val="52"/>
      <w:szCs w:val="52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hyperlink" Target="mailto:naser.krasniqi@kosovorailway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2376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Xhevat Ramosaj</dc:creator>
  <cp:keywords/>
  <dc:description/>
  <cp:lastModifiedBy>Tringe Sokoli</cp:lastModifiedBy>
  <cp:revision>6</cp:revision>
  <dcterms:created xsi:type="dcterms:W3CDTF">2024-07-23T07:34:00Z</dcterms:created>
  <dcterms:modified xsi:type="dcterms:W3CDTF">2024-08-20T09:05:00Z</dcterms:modified>
</cp:coreProperties>
</file>