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89E" w:rsidRPr="007C7BD6" w:rsidRDefault="008717A6" w:rsidP="0022089E">
      <w:pPr>
        <w:pStyle w:val="Heading2"/>
        <w:jc w:val="both"/>
        <w:rPr>
          <w:b/>
          <w:color w:val="auto"/>
          <w:sz w:val="24"/>
          <w:szCs w:val="24"/>
          <w:rFonts w:ascii="Arial" w:hAnsi="Arial" w:cs="Arial"/>
        </w:rPr>
      </w:pPr>
      <w:r>
        <w:rPr>
          <w:b/>
          <w:color w:val="auto"/>
          <w:sz w:val="24"/>
          <w:smallCaps/>
          <w:rFonts w:ascii="Arial" w:hAnsi="Arial"/>
        </w:rPr>
        <w:t xml:space="preserve">GRID 7 TRA:</w:t>
      </w:r>
      <w:r>
        <w:rPr>
          <w:b/>
          <w:color w:val="auto"/>
          <w:sz w:val="24"/>
          <w:smallCaps/>
          <w:rFonts w:ascii="Arial" w:hAnsi="Arial"/>
        </w:rPr>
        <w:t xml:space="preserve"> </w:t>
      </w:r>
      <w:r>
        <w:rPr>
          <w:b/>
          <w:color w:val="auto"/>
          <w:sz w:val="24"/>
          <w:rFonts w:ascii="Arial" w:hAnsi="Arial"/>
        </w:rPr>
        <w:t xml:space="preserve">Generalna rehabilitacija i modernizacija zapadne železničke pruge (Kosovo Polje – Klina – Peć), 81,94 km</w:t>
      </w:r>
    </w:p>
    <w:p w:rsidR="0022089E" w:rsidRPr="007C7BD6" w:rsidRDefault="0022089E" w:rsidP="0022089E">
      <w:pP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GridTable1Light-Accent514"/>
        <w:tblW w:w="5000" w:type="pct"/>
        <w:tblInd w:w="-5" w:type="dxa"/>
        <w:tblLook w:val="04A0" w:firstRow="1" w:lastRow="0" w:firstColumn="1" w:lastColumn="0" w:noHBand="0" w:noVBand="1"/>
      </w:tblPr>
      <w:tblGrid>
        <w:gridCol w:w="2385"/>
        <w:gridCol w:w="4975"/>
        <w:gridCol w:w="717"/>
        <w:gridCol w:w="1273"/>
      </w:tblGrid>
      <w:tr w:rsidR="00C61BCF" w:rsidRPr="007C7BD6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Korisnik WBIF:</w:t>
            </w:r>
          </w:p>
        </w:tc>
        <w:tc>
          <w:tcPr>
            <w:tcW w:w="2661" w:type="pct"/>
            <w:noWrap/>
            <w:vAlign w:val="center"/>
            <w:hideMark/>
          </w:tcPr>
          <w:p w:rsidR="0022089E" w:rsidRPr="007C7BD6" w:rsidRDefault="00C26646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 </w:t>
            </w:r>
            <w:r>
              <w:rPr>
                <w:b w:val="0"/>
                <w:sz w:val="20"/>
                <w:rFonts w:ascii="Arial" w:hAnsi="Arial"/>
              </w:rPr>
              <w:t xml:space="preserve">Železnička infrastuktura Kosova - INFRAKOS A.D.</w:t>
            </w:r>
          </w:p>
        </w:tc>
        <w:tc>
          <w:tcPr>
            <w:tcW w:w="383" w:type="pct"/>
            <w:noWrap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Datum:</w:t>
            </w:r>
          </w:p>
        </w:tc>
        <w:tc>
          <w:tcPr>
            <w:tcW w:w="680" w:type="pct"/>
            <w:noWrap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 </w:t>
            </w:r>
            <w:r>
              <w:rPr>
                <w:b w:val="0"/>
                <w:sz w:val="20"/>
                <w:rFonts w:ascii="Arial" w:hAnsi="Arial"/>
              </w:rPr>
              <w:t xml:space="preserve">07.06.2024</w:t>
            </w:r>
          </w:p>
        </w:tc>
      </w:tr>
      <w:tr w:rsidR="00C61BCF" w:rsidRPr="007C7BD6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Sektor:</w:t>
            </w:r>
          </w:p>
        </w:tc>
        <w:tc>
          <w:tcPr>
            <w:tcW w:w="3724" w:type="pct"/>
            <w:gridSpan w:val="3"/>
            <w:noWrap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</w:p>
        </w:tc>
      </w:tr>
      <w:tr w:rsidR="00C61BCF" w:rsidRPr="007C7BD6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vAlign w:val="center"/>
          </w:tcPr>
          <w:p w:rsidR="0022089E" w:rsidRPr="007C7BD6" w:rsidRDefault="0022089E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Podsektor</w:t>
            </w:r>
          </w:p>
        </w:tc>
        <w:tc>
          <w:tcPr>
            <w:tcW w:w="3724" w:type="pct"/>
            <w:gridSpan w:val="3"/>
            <w:noWrap/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Železnica</w:t>
            </w:r>
          </w:p>
        </w:tc>
      </w:tr>
      <w:tr w:rsidR="00C61BCF" w:rsidRPr="007C7BD6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Resorno ministarstvo:</w:t>
            </w:r>
          </w:p>
        </w:tc>
        <w:tc>
          <w:tcPr>
            <w:tcW w:w="3724" w:type="pct"/>
            <w:gridSpan w:val="3"/>
            <w:noWrap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</w:tr>
      <w:tr w:rsidR="00C61BCF" w:rsidRPr="007C7BD6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Predloženi infrastrukturni projekat:</w:t>
            </w:r>
          </w:p>
        </w:tc>
        <w:tc>
          <w:tcPr>
            <w:tcW w:w="3724" w:type="pct"/>
            <w:gridSpan w:val="3"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Generalna rehabilitacija i modernizacija zapadne železničke pruge (Kosovo Polje – Klina – Peć)</w:t>
            </w:r>
          </w:p>
        </w:tc>
      </w:tr>
    </w:tbl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22089E" w:rsidRPr="007C7BD6" w:rsidRDefault="0022089E" w:rsidP="0022089E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 podobnosti</w:t>
      </w:r>
    </w:p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626"/>
        <w:gridCol w:w="2943"/>
        <w:gridCol w:w="595"/>
        <w:gridCol w:w="595"/>
        <w:gridCol w:w="4595"/>
      </w:tblGrid>
      <w:tr w:rsidR="00C61BCF" w:rsidRPr="007C7BD6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573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podobnosti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</w:t>
            </w:r>
          </w:p>
        </w:tc>
        <w:tc>
          <w:tcPr>
            <w:tcW w:w="24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Komentari</w:t>
            </w:r>
          </w:p>
        </w:tc>
      </w:tr>
      <w:tr w:rsidR="00C61BCF" w:rsidRPr="007C7BD6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e1</w:t>
            </w:r>
          </w:p>
        </w:tc>
        <w:tc>
          <w:tcPr>
            <w:tcW w:w="1573" w:type="pct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važećim politikama i strategijama EU?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318" w:type="pct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8" w:type="pct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456" w:type="pct"/>
            <w:tcBorders>
              <w:right w:val="single" w:sz="2" w:space="0" w:color="B8CCE4"/>
            </w:tcBorders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Ekonomski i investicioni plan za zapadni Balkan, Brisel, 6.10.2020;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Prema Evropskom zelenom dogovoru, Brisel, 11.12.2019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Smernice za sprovođenje Zelene agende, Brisel, 6.10. 2020;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Kredibilna perspektiva proširenja i pojačan angažman EU na Zapadnom Balkanu, Strazbur, 6.2.2018;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održive i pametne mobilnosti, Brisel, 9.12.2020;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za održivu i pametnu mobilnost na zapadnom Balkanu, jul 2021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za transportni sektor (2019-2024);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Instrument za pretpristupnu pomoć (IPA III) 2021-2027.</w:t>
            </w:r>
          </w:p>
        </w:tc>
      </w:tr>
      <w:tr w:rsidR="00C61BCF" w:rsidRPr="007C7BD6" w:rsidTr="008717A6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e2</w:t>
            </w:r>
          </w:p>
        </w:tc>
        <w:tc>
          <w:tcPr>
            <w:tcW w:w="1573" w:type="pct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doprinosi važećim nacionalnim razvojnim ciljevima?</w:t>
            </w:r>
          </w:p>
        </w:tc>
        <w:tc>
          <w:tcPr>
            <w:tcW w:w="318" w:type="pct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8" w:type="pct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4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Nacionalni program za evropske integracije 2023- 2027;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 skladu sa Sporazumom o stabilizaciji i pridruživanju (SSP) između Kosova i  Evropske unije;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Program Vlade Republike Kosovo 2021 – 2025;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22089E" w:rsidRPr="007C7BD6" w:rsidRDefault="0022089E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Srednjoročni okvir rashoda 2022, april 2021;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C26646" w:rsidRPr="007C7BD6" w:rsidRDefault="00C26646" w:rsidP="008717A6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Program ekonomskih reformi, 2024-2026.</w:t>
            </w:r>
          </w:p>
        </w:tc>
      </w:tr>
      <w:tr w:rsidR="00C61BCF" w:rsidRPr="007C7BD6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e3</w:t>
            </w:r>
          </w:p>
        </w:tc>
        <w:tc>
          <w:tcPr>
            <w:tcW w:w="1573" w:type="pct"/>
            <w:tcBorders>
              <w:bottom w:val="double" w:sz="4" w:space="0" w:color="B8CCE4"/>
            </w:tcBorders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nacionalnim strateškim okvirom za transportni sektor?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4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22089E" w:rsidRPr="007C7BD6" w:rsidRDefault="008717A6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za multimodalni transport 2030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C61BCF" w:rsidRPr="007C7BD6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Zaključak: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Da li projekat ispunjava kriterijume podobnosti?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4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 </w:t>
            </w:r>
          </w:p>
        </w:tc>
      </w:tr>
      <w:tr w:rsidR="00C61BCF" w:rsidRPr="007C7BD6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22089E" w:rsidRPr="007C7BD6" w:rsidRDefault="0022089E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AKO NIJE PODOBAN, PROCENA U NASTAVKU NIJE NEOPHODNA!</w:t>
            </w:r>
          </w:p>
        </w:tc>
      </w:tr>
    </w:tbl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  <w:highlight w:val="yellow"/>
        </w:rPr>
      </w:pPr>
    </w:p>
    <w:p w:rsidR="0022089E" w:rsidRPr="007C7BD6" w:rsidRDefault="0022089E" w:rsidP="0022089E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Procena projektne grupe</w:t>
      </w:r>
    </w:p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15"/>
        <w:tblW w:w="5000" w:type="pct"/>
        <w:tblLook w:val="04A0" w:firstRow="1" w:lastRow="0" w:firstColumn="1" w:lastColumn="0" w:noHBand="0" w:noVBand="1"/>
      </w:tblPr>
      <w:tblGrid>
        <w:gridCol w:w="8542"/>
        <w:gridCol w:w="808"/>
      </w:tblGrid>
      <w:tr w:rsidR="00C61BCF" w:rsidRPr="007C7BD6" w:rsidTr="00B649C0">
        <w:tc>
          <w:tcPr>
            <w:tcW w:w="4568" w:type="pct"/>
            <w:shd w:val="clear" w:color="auto" w:fill="DEEAF6"/>
            <w:vAlign w:val="center"/>
          </w:tcPr>
          <w:p w:rsidR="0022089E" w:rsidRPr="007C7BD6" w:rsidRDefault="0022089E" w:rsidP="00B649C0">
            <w:pPr>
              <w:rPr>
                <w:b/>
                <w:bCs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Kategorije grupa</w:t>
            </w:r>
          </w:p>
        </w:tc>
        <w:tc>
          <w:tcPr>
            <w:tcW w:w="432" w:type="pct"/>
            <w:shd w:val="clear" w:color="auto" w:fill="DEEAF6"/>
            <w:vAlign w:val="center"/>
          </w:tcPr>
          <w:p w:rsidR="0022089E" w:rsidRPr="007C7BD6" w:rsidRDefault="0022089E" w:rsidP="00B649C0">
            <w:pPr>
              <w:jc w:val="center"/>
              <w:rPr>
                <w:b/>
                <w:bCs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C61BCF" w:rsidRPr="007C7BD6" w:rsidTr="00B649C0">
        <w:tc>
          <w:tcPr>
            <w:tcW w:w="5000" w:type="pct"/>
            <w:gridSpan w:val="2"/>
          </w:tcPr>
          <w:p w:rsidR="0022089E" w:rsidRPr="007C7BD6" w:rsidRDefault="0022089E" w:rsidP="00B649C0">
            <w:pPr>
              <w:rPr>
                <w:b/>
                <w:bCs/>
                <w:sz w:val="20"/>
                <w:rFonts w:ascii="Arial" w:hAnsi="Arial" w:cs="Arial"/>
              </w:rPr>
            </w:pPr>
            <w:r>
              <w:rPr>
                <w:b/>
                <w:sz w:val="20"/>
                <w:u w:val="single"/>
                <w:rFonts w:ascii="Arial" w:hAnsi="Arial"/>
              </w:rPr>
              <w:t xml:space="preserve">Grupa 1</w:t>
            </w:r>
            <w:r>
              <w:rPr>
                <w:b/>
                <w:sz w:val="20"/>
                <w:rFonts w:ascii="Arial" w:hAnsi="Arial"/>
              </w:rPr>
              <w:t xml:space="preserve"> – Spremni za tender i realizaciju investicija</w:t>
            </w:r>
          </w:p>
        </w:tc>
      </w:tr>
      <w:tr w:rsidR="00C61BCF" w:rsidRPr="007C7BD6" w:rsidTr="00B649C0">
        <w:tc>
          <w:tcPr>
            <w:tcW w:w="4568" w:type="pct"/>
          </w:tcPr>
          <w:p w:rsidR="0022089E" w:rsidRPr="007C7BD6" w:rsidRDefault="0022089E" w:rsidP="00B649C0">
            <w:pPr>
              <w:spacing w:beforeLines="40" w:before="96" w:afterLines="40" w:after="96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1a</w:t>
            </w:r>
            <w:r>
              <w:rPr>
                <w:sz w:val="20"/>
                <w:rFonts w:ascii="Arial" w:hAnsi="Arial"/>
              </w:rPr>
              <w:t xml:space="preserve"> – projekti sa pripremljenom tehničkom dokumentacijom, spremni za pripremu tendera ili tenderski postupak</w:t>
            </w:r>
          </w:p>
        </w:tc>
        <w:tc>
          <w:tcPr>
            <w:tcW w:w="432" w:type="pct"/>
            <w:vAlign w:val="center"/>
          </w:tcPr>
          <w:p w:rsidR="0022089E" w:rsidRPr="007C7BD6" w:rsidRDefault="0022089E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C61BCF" w:rsidRPr="007C7BD6" w:rsidTr="00B649C0">
        <w:tc>
          <w:tcPr>
            <w:tcW w:w="4568" w:type="pct"/>
          </w:tcPr>
          <w:p w:rsidR="0022089E" w:rsidRPr="007C7BD6" w:rsidRDefault="0022089E" w:rsidP="00B649C0">
            <w:pPr>
              <w:spacing w:beforeLines="40" w:before="96" w:afterLines="40" w:after="96"/>
              <w:ind w:left="-15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1b</w:t>
            </w:r>
            <w:r>
              <w:rPr>
                <w:sz w:val="20"/>
                <w:rFonts w:ascii="Arial" w:hAnsi="Arial"/>
              </w:rPr>
              <w:t xml:space="preserve"> – projekti u kojima je u toku priprema tehničke dokumentacije, spremni za tender kada se završi ili nedostaju neka konačna odobrenja/dozvole</w:t>
            </w:r>
          </w:p>
        </w:tc>
        <w:tc>
          <w:tcPr>
            <w:tcW w:w="432" w:type="pct"/>
            <w:vAlign w:val="center"/>
          </w:tcPr>
          <w:p w:rsidR="0022089E" w:rsidRPr="007C7BD6" w:rsidRDefault="0022089E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C61BCF" w:rsidRPr="007C7BD6" w:rsidTr="00B649C0">
        <w:tc>
          <w:tcPr>
            <w:tcW w:w="5000" w:type="pct"/>
            <w:gridSpan w:val="2"/>
          </w:tcPr>
          <w:p w:rsidR="0022089E" w:rsidRPr="007C7BD6" w:rsidRDefault="0022089E" w:rsidP="00B649C0">
            <w:pPr>
              <w:rPr>
                <w:b/>
                <w:bCs/>
                <w:sz w:val="20"/>
                <w:rFonts w:ascii="Arial" w:hAnsi="Arial" w:cs="Arial"/>
              </w:rPr>
            </w:pPr>
            <w:r>
              <w:rPr>
                <w:b/>
                <w:sz w:val="20"/>
                <w:b/>
                <w:bCs/>
                <w:rFonts w:ascii="Arial" w:hAnsi="Arial"/>
              </w:rPr>
              <w:t xml:space="preserve">Grupa 2</w:t>
            </w:r>
            <w:r>
              <w:rPr>
                <w:b/>
                <w:sz w:val="20"/>
                <w:rFonts w:ascii="Arial" w:hAnsi="Arial"/>
              </w:rPr>
              <w:t xml:space="preserve"> – Spremni za pripremu tehničke dokumentacije</w:t>
            </w:r>
          </w:p>
        </w:tc>
      </w:tr>
      <w:tr w:rsidR="00C61BCF" w:rsidRPr="007C7BD6" w:rsidTr="00B649C0">
        <w:tc>
          <w:tcPr>
            <w:tcW w:w="4568" w:type="pct"/>
          </w:tcPr>
          <w:p w:rsidR="0022089E" w:rsidRPr="007C7BD6" w:rsidRDefault="0022089E" w:rsidP="00B649C0">
            <w:pPr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2a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rešenim imovinskim pitanjima</w:t>
            </w:r>
          </w:p>
        </w:tc>
        <w:tc>
          <w:tcPr>
            <w:tcW w:w="432" w:type="pct"/>
            <w:vAlign w:val="center"/>
          </w:tcPr>
          <w:p w:rsidR="0022089E" w:rsidRPr="007C7BD6" w:rsidRDefault="0022089E" w:rsidP="00B649C0">
            <w:pPr>
              <w:jc w:val="center"/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C61BCF" w:rsidRPr="007C7BD6" w:rsidTr="00B649C0">
        <w:tc>
          <w:tcPr>
            <w:tcW w:w="4568" w:type="pct"/>
          </w:tcPr>
          <w:p w:rsidR="0022089E" w:rsidRPr="007C7BD6" w:rsidRDefault="0022089E" w:rsidP="00B649C0">
            <w:pPr>
              <w:spacing w:beforeLines="40" w:before="96" w:afterLines="40" w:after="96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2b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rešavanjem imovinskih pitanja u toku ili nerešenim imovinsko-pravnim pitanjima;</w:t>
            </w:r>
          </w:p>
        </w:tc>
        <w:tc>
          <w:tcPr>
            <w:tcW w:w="432" w:type="pct"/>
            <w:vAlign w:val="center"/>
          </w:tcPr>
          <w:p w:rsidR="0022089E" w:rsidRPr="007C7BD6" w:rsidRDefault="0022089E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22089E" w:rsidRPr="007C7BD6" w:rsidTr="00B649C0">
        <w:tc>
          <w:tcPr>
            <w:tcW w:w="4568" w:type="pct"/>
          </w:tcPr>
          <w:p w:rsidR="0022089E" w:rsidRPr="007C7BD6" w:rsidRDefault="0022089E" w:rsidP="00B649C0">
            <w:pPr>
              <w:spacing w:beforeLines="40" w:before="96" w:afterLines="40" w:after="96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2c</w:t>
            </w:r>
            <w:r>
              <w:rPr>
                <w:sz w:val="20"/>
                <w:rFonts w:ascii="Arial" w:hAnsi="Arial"/>
              </w:rPr>
              <w:t xml:space="preserve"> – projekti sa prazninama u prostorno-planskoj dokumentaciji i rešavanjem imovinskih pitanja u toku ili nerešenim imovinskim pitanjima.</w:t>
            </w:r>
          </w:p>
        </w:tc>
        <w:tc>
          <w:tcPr>
            <w:tcW w:w="432" w:type="pct"/>
            <w:vAlign w:val="center"/>
          </w:tcPr>
          <w:p w:rsidR="0022089E" w:rsidRPr="007C7BD6" w:rsidRDefault="0022089E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</w:tbl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22089E" w:rsidRPr="007C7BD6" w:rsidRDefault="0022089E" w:rsidP="0022089E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Kriterijumi za stratešku relevantnost</w:t>
      </w:r>
    </w:p>
    <w:p w:rsidR="0022089E" w:rsidRPr="007C7BD6" w:rsidRDefault="0022089E" w:rsidP="0022089E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5"/>
        <w:tblW w:w="9553" w:type="dxa"/>
        <w:jc w:val="center"/>
        <w:tblLook w:val="04A0" w:firstRow="1" w:lastRow="0" w:firstColumn="1" w:lastColumn="0" w:noHBand="0" w:noVBand="1"/>
      </w:tblPr>
      <w:tblGrid>
        <w:gridCol w:w="572"/>
        <w:gridCol w:w="2645"/>
        <w:gridCol w:w="810"/>
        <w:gridCol w:w="3330"/>
        <w:gridCol w:w="1080"/>
        <w:gridCol w:w="1116"/>
      </w:tblGrid>
      <w:tr w:rsidR="00C61BCF" w:rsidRPr="007C7BD6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2645" w:type="dxa"/>
            <w:shd w:val="clear" w:color="auto" w:fill="DBE5F1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prioritizacije za stratešku relevantnost</w:t>
            </w:r>
          </w:p>
        </w:tc>
        <w:tc>
          <w:tcPr>
            <w:tcW w:w="810" w:type="dxa"/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Bodovi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(1-5)</w:t>
            </w:r>
          </w:p>
        </w:tc>
        <w:tc>
          <w:tcPr>
            <w:tcW w:w="3330" w:type="dxa"/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Vodič za bodovanje</w:t>
            </w:r>
          </w:p>
        </w:tc>
        <w:tc>
          <w:tcPr>
            <w:tcW w:w="1080" w:type="dxa"/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Težina</w:t>
            </w:r>
          </w:p>
        </w:tc>
        <w:tc>
          <w:tcPr>
            <w:tcW w:w="1116" w:type="dxa"/>
            <w:shd w:val="clear" w:color="auto" w:fill="DBE5F1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Dodeljeno bodova</w:t>
            </w:r>
          </w:p>
        </w:tc>
      </w:tr>
      <w:tr w:rsidR="00C61BCF" w:rsidRPr="007C7BD6" w:rsidTr="00B649C0">
        <w:trPr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</w:t>
            </w:r>
          </w:p>
        </w:tc>
        <w:tc>
          <w:tcPr>
            <w:tcW w:w="2645" w:type="dxa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poboljšava inter-modalnost</w:t>
            </w:r>
          </w:p>
        </w:tc>
        <w:tc>
          <w:tcPr>
            <w:tcW w:w="810" w:type="dxa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3330" w:type="dxa"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intermodalni centri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Postojeći intermodalni centri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 intermodalnosti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C61BCF" w:rsidRPr="007C7BD6" w:rsidTr="00B649C0">
        <w:trPr>
          <w:trHeight w:val="1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S2</w:t>
            </w:r>
          </w:p>
        </w:tc>
        <w:tc>
          <w:tcPr>
            <w:tcW w:w="2645" w:type="dxa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povećava međunarodni saobraćaj putnika i tereta</w:t>
            </w:r>
          </w:p>
        </w:tc>
        <w:tc>
          <w:tcPr>
            <w:tcW w:w="810" w:type="dxa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3330" w:type="dxa"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povećanje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Umereno povećanje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povećanje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C61BCF" w:rsidRPr="007C7BD6" w:rsidTr="00B649C0">
        <w:trPr>
          <w:trHeight w:val="9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S3</w:t>
            </w:r>
          </w:p>
        </w:tc>
        <w:tc>
          <w:tcPr>
            <w:tcW w:w="2645" w:type="dxa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uključen u najnoviji višegodišnji plan (MAP) SEETO-a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810" w:type="dxa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3330" w:type="dxa"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Lista prioriteta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Pripremna lista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Nije uključen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1116" w:type="dxa"/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2</w:t>
            </w:r>
          </w:p>
        </w:tc>
      </w:tr>
      <w:tr w:rsidR="00C61BCF" w:rsidRPr="007C7BD6" w:rsidTr="00B649C0">
        <w:trPr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S4</w:t>
            </w:r>
          </w:p>
        </w:tc>
        <w:tc>
          <w:tcPr>
            <w:tcW w:w="2645" w:type="dxa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pruža vezu sa TEN-T koridorima</w:t>
            </w:r>
          </w:p>
        </w:tc>
        <w:tc>
          <w:tcPr>
            <w:tcW w:w="810" w:type="dxa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3330" w:type="dxa"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C61BCF" w:rsidRPr="007C7BD6" w:rsidTr="00B649C0">
        <w:trPr>
          <w:trHeight w:val="10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S5</w:t>
            </w:r>
          </w:p>
        </w:tc>
        <w:tc>
          <w:tcPr>
            <w:tcW w:w="2645" w:type="dxa"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bavi značajnim bezbednosnim problemom</w:t>
            </w:r>
          </w:p>
        </w:tc>
        <w:tc>
          <w:tcPr>
            <w:tcW w:w="810" w:type="dxa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Značajni bezbednosni problemi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Bezbednosni problemi umerene prirode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evidencije o bezbednosnim problemima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C61BCF" w:rsidRPr="007C7BD6" w:rsidTr="00B649C0">
        <w:trPr>
          <w:trHeight w:val="1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bottom w:val="single" w:sz="4" w:space="0" w:color="B6DDE8"/>
            </w:tcBorders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S6</w:t>
            </w:r>
          </w:p>
        </w:tc>
        <w:tc>
          <w:tcPr>
            <w:tcW w:w="2645" w:type="dxa"/>
            <w:tcBorders>
              <w:bottom w:val="single" w:sz="4" w:space="0" w:color="B6DDE8"/>
            </w:tcBorders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Tehničke karakteristike infrastrukture</w:t>
            </w:r>
          </w:p>
        </w:tc>
        <w:tc>
          <w:tcPr>
            <w:tcW w:w="810" w:type="dxa"/>
            <w:tcBorders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tcBorders>
              <w:bottom w:val="single" w:sz="4" w:space="0" w:color="B6DDE8"/>
            </w:tcBorders>
            <w:vAlign w:val="center"/>
            <w:hideMark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Nova infrastruktura, sa visokim standardima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karakteristika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Rehabilitacija zadržavanje istih karakteristika = 1</w:t>
            </w:r>
          </w:p>
        </w:tc>
        <w:tc>
          <w:tcPr>
            <w:tcW w:w="1080" w:type="dxa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tcBorders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C61BCF" w:rsidRPr="007C7BD6" w:rsidTr="00B649C0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S7</w:t>
            </w:r>
          </w:p>
        </w:tc>
        <w:tc>
          <w:tcPr>
            <w:tcW w:w="2645" w:type="dxa"/>
            <w:tcBorders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Godišnji rast saobraćajne potražnje</w:t>
            </w:r>
          </w:p>
        </w:tc>
        <w:tc>
          <w:tcPr>
            <w:tcW w:w="810" w:type="dxa"/>
            <w:tcBorders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tcBorders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Značajan rast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 rast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 rasta = 1</w:t>
            </w:r>
          </w:p>
        </w:tc>
        <w:tc>
          <w:tcPr>
            <w:tcW w:w="1080" w:type="dxa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tcBorders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C61BCF" w:rsidRPr="007C7BD6" w:rsidTr="00B649C0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S8</w:t>
            </w:r>
          </w:p>
        </w:tc>
        <w:tc>
          <w:tcPr>
            <w:tcW w:w="2645" w:type="dxa"/>
            <w:tcBorders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Ekološki efekti</w:t>
            </w:r>
          </w:p>
        </w:tc>
        <w:tc>
          <w:tcPr>
            <w:tcW w:w="810" w:type="dxa"/>
            <w:tcBorders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tcBorders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 efekata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Minimalni efekti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Ozbiljni efekti = 1</w:t>
            </w:r>
          </w:p>
        </w:tc>
        <w:tc>
          <w:tcPr>
            <w:tcW w:w="1080" w:type="dxa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1116" w:type="dxa"/>
            <w:tcBorders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C61BCF" w:rsidRPr="007C7BD6" w:rsidTr="00B649C0">
        <w:trPr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S9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doprinosi sveukupnom ekonomskom rastu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Inter-regionalno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Regionalno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Zemlja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C61BCF" w:rsidRPr="007C7BD6" w:rsidTr="00B649C0">
        <w:trPr>
          <w:trHeight w:val="10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S10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deo programa, nastavljajući postojeću investiciju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Završetak investicije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Nastavak ulaganja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projekat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C61BCF" w:rsidRPr="007C7BD6" w:rsidTr="00B649C0">
        <w:trPr>
          <w:trHeight w:val="1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S11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glavno transportno rešenje u istoj vezi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drugog alternativnog rešenja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drugi vid transporta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isti vid transporta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C61BCF" w:rsidRPr="007C7BD6" w:rsidTr="00B649C0">
        <w:trPr>
          <w:trHeight w:val="1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S12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obezbeđuje poboljšane tranzitne/transportne objekte, pristup novim tržištima i poslovima/obrazovne i zdravstvene usluge i stimuliše mobilnost i nove investicije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poboljšanje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Srednje poboljšanje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poboljšanje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C61BCF" w:rsidRPr="007C7BD6" w:rsidTr="00B649C0">
        <w:trPr>
          <w:trHeight w:val="1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S13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Definisana je ukupna cena projekta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i potvrđeno studijama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ali nije potvrđeno studijama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Površno definisano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C61BCF" w:rsidRPr="007C7BD6" w:rsidTr="00B649C0">
        <w:trPr>
          <w:trHeight w:val="1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S14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Kapacitet rukovodstva predlagača za sprovođenje/operaciju/održavanje je adekvatan za ovu vrstu projekta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Adekvatan kapacitet = 5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Aranžmani za jačanje kapaciteta uspostavljeni = 3</w:t>
            </w:r>
          </w:p>
          <w:p w:rsidR="0022089E" w:rsidRPr="007C7BD6" w:rsidRDefault="0022089E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Nedovoljan kapacitet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22089E" w:rsidRPr="007C7BD6" w:rsidRDefault="0022089E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22089E" w:rsidRPr="007C7BD6" w:rsidRDefault="0022089E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C61BCF" w:rsidRPr="007C7BD6" w:rsidTr="00B649C0">
        <w:trPr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7" w:type="dxa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22089E" w:rsidRPr="007C7BD6" w:rsidRDefault="0022089E" w:rsidP="00B649C0">
            <w:pPr>
              <w:spacing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Konačno bodovanje projekta:</w:t>
            </w:r>
          </w:p>
        </w:tc>
        <w:tc>
          <w:tcPr>
            <w:tcW w:w="1116" w:type="dxa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22089E" w:rsidRPr="007C7BD6" w:rsidRDefault="0022089E" w:rsidP="00B649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64</w:t>
            </w:r>
          </w:p>
        </w:tc>
      </w:tr>
    </w:tbl>
    <w:p w:rsidR="0022089E" w:rsidRPr="007C7BD6" w:rsidRDefault="0022089E" w:rsidP="0022089E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22089E" w:rsidRPr="007C7BD6" w:rsidRDefault="0022089E" w:rsidP="0022089E">
      <w:pPr>
        <w:spacing w:after="200" w:line="276" w:lineRule="auto"/>
        <w:rPr>
          <w:rFonts w:ascii="Arial" w:eastAsia="Times New Roman" w:hAnsi="Arial" w:cs="Arial"/>
          <w:bCs/>
          <w:sz w:val="20"/>
          <w:szCs w:val="20"/>
        </w:rPr>
      </w:pPr>
    </w:p>
    <w:p w:rsidR="0007239F" w:rsidRPr="007C7BD6" w:rsidRDefault="0007239F">
      <w:pPr>
        <w:rPr>
          <w:rFonts w:ascii="Arial" w:hAnsi="Arial" w:cs="Arial"/>
          <w:sz w:val="20"/>
          <w:szCs w:val="20"/>
        </w:rPr>
      </w:pPr>
    </w:p>
    <w:sectPr w:rsidR="0007239F" w:rsidRPr="007C7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8B" w:rsidRDefault="0082708B" w:rsidP="0022089E">
      <w:r>
        <w:separator/>
      </w:r>
    </w:p>
  </w:endnote>
  <w:endnote w:type="continuationSeparator" w:id="0">
    <w:p w:rsidR="0082708B" w:rsidRDefault="0082708B" w:rsidP="0022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8B" w:rsidRDefault="0082708B" w:rsidP="0022089E">
      <w:r>
        <w:separator/>
      </w:r>
    </w:p>
  </w:footnote>
  <w:footnote w:type="continuationSeparator" w:id="0">
    <w:p w:rsidR="0082708B" w:rsidRDefault="0082708B" w:rsidP="00220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9E"/>
    <w:rsid w:val="0002496A"/>
    <w:rsid w:val="000412C1"/>
    <w:rsid w:val="0007239F"/>
    <w:rsid w:val="001775CD"/>
    <w:rsid w:val="0022089E"/>
    <w:rsid w:val="00347EB1"/>
    <w:rsid w:val="003844E6"/>
    <w:rsid w:val="0049784C"/>
    <w:rsid w:val="007C7BD6"/>
    <w:rsid w:val="007E4EA3"/>
    <w:rsid w:val="0082708B"/>
    <w:rsid w:val="00857787"/>
    <w:rsid w:val="008717A6"/>
    <w:rsid w:val="009E751E"/>
    <w:rsid w:val="00A22D0B"/>
    <w:rsid w:val="00B26AEB"/>
    <w:rsid w:val="00B920B2"/>
    <w:rsid w:val="00BB18CD"/>
    <w:rsid w:val="00C26646"/>
    <w:rsid w:val="00C61BCF"/>
    <w:rsid w:val="00CC06B3"/>
    <w:rsid w:val="00CD5326"/>
    <w:rsid w:val="00D051F1"/>
    <w:rsid w:val="00D44A65"/>
    <w:rsid w:val="00EA7C36"/>
    <w:rsid w:val="00F3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75E9F"/>
  <w15:chartTrackingRefBased/>
  <w15:docId w15:val="{7997F2CC-D538-41EA-881E-0C0F685E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89E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8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08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22089E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22089E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22089E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5">
    <w:name w:val="Table Grid15"/>
    <w:basedOn w:val="TableNormal"/>
    <w:next w:val="TableGrid"/>
    <w:uiPriority w:val="39"/>
    <w:rsid w:val="0022089E"/>
    <w:rPr>
      <w:rFonts w:eastAsia="Times New Roman" w:cs="Times New Roman"/>
      <w:sz w:val="20"/>
      <w:szCs w:val="20"/>
      <w:lang w:val="sr-Latn-R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89E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0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89E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8</cp:revision>
  <dcterms:created xsi:type="dcterms:W3CDTF">2024-07-23T07:31:00Z</dcterms:created>
  <dcterms:modified xsi:type="dcterms:W3CDTF">2024-08-12T13:34:00Z</dcterms:modified>
</cp:coreProperties>
</file>