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25" w:rsidRPr="006B27E8" w:rsidRDefault="00753125" w:rsidP="00753125">
      <w:pPr>
        <w:pStyle w:val="Heading2"/>
        <w:spacing w:before="0"/>
        <w:jc w:val="both"/>
        <w:rPr>
          <w:b/>
          <w:color w:val="auto"/>
          <w:sz w:val="24"/>
          <w:szCs w:val="24"/>
          <w:rFonts w:ascii="Arial" w:hAnsi="Arial" w:cs="Arial"/>
        </w:rPr>
      </w:pPr>
      <w:r>
        <w:rPr>
          <w:b/>
          <w:color w:val="auto"/>
          <w:sz w:val="24"/>
          <w:rFonts w:ascii="Arial" w:hAnsi="Arial"/>
        </w:rPr>
        <w:t xml:space="preserve">GRID 1 TRA:</w:t>
      </w:r>
      <w:r>
        <w:rPr>
          <w:b/>
          <w:color w:val="auto"/>
          <w:sz w:val="24"/>
          <w:rFonts w:ascii="Arial" w:hAnsi="Arial"/>
        </w:rPr>
        <w:t xml:space="preserve"> </w:t>
      </w:r>
      <w:r>
        <w:rPr>
          <w:b/>
          <w:color w:val="auto"/>
          <w:sz w:val="24"/>
          <w:rFonts w:ascii="Arial" w:hAnsi="Arial"/>
        </w:rPr>
        <w:t xml:space="preserve">Generalna sanacija i modernizacija železničke trase 10 (granica sa Srbijom - Lešak - Kosovo Polje - Elez Han - granica sa Severnom Makedonijom), 149,11 km</w:t>
      </w: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</w:rPr>
      </w:pPr>
    </w:p>
    <w:tbl>
      <w:tblPr>
        <w:tblStyle w:val="GridTable1Light-Accent514"/>
        <w:tblW w:w="4947" w:type="pct"/>
        <w:tblInd w:w="108" w:type="dxa"/>
        <w:tblLook w:val="04A0" w:firstRow="1" w:lastRow="0" w:firstColumn="1" w:lastColumn="0" w:noHBand="0" w:noVBand="1"/>
      </w:tblPr>
      <w:tblGrid>
        <w:gridCol w:w="2391"/>
        <w:gridCol w:w="4651"/>
        <w:gridCol w:w="717"/>
        <w:gridCol w:w="1492"/>
      </w:tblGrid>
      <w:tr w:rsidR="007D378D" w:rsidRPr="006B27E8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2323" w:type="pct"/>
            <w:noWrap/>
            <w:vAlign w:val="center"/>
            <w:hideMark/>
          </w:tcPr>
          <w:p w:rsidR="00753125" w:rsidRPr="00C9075B" w:rsidRDefault="00A637DF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Železnička infrastuktura Kosova - INFRAKOS A.D.</w:t>
            </w:r>
          </w:p>
        </w:tc>
        <w:tc>
          <w:tcPr>
            <w:tcW w:w="410" w:type="pct"/>
            <w:noWrap/>
            <w:vAlign w:val="center"/>
            <w:hideMark/>
          </w:tcPr>
          <w:p w:rsidR="00753125" w:rsidRPr="00C9075B" w:rsidRDefault="00753125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911" w:type="pct"/>
            <w:noWrap/>
            <w:vAlign w:val="center"/>
            <w:hideMark/>
          </w:tcPr>
          <w:p w:rsidR="00753125" w:rsidRPr="00C9075B" w:rsidRDefault="00616CDC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7D378D" w:rsidRPr="006B27E8" w:rsidTr="00EA40E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753125" w:rsidRPr="00C9075B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7D378D" w:rsidRPr="006B27E8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753125" w:rsidRPr="00C9075B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Železnica</w:t>
            </w:r>
          </w:p>
        </w:tc>
      </w:tr>
      <w:tr w:rsidR="007D378D" w:rsidRPr="006B27E8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753125" w:rsidRPr="00C9075B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7D378D" w:rsidRPr="006B27E8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3644" w:type="pct"/>
            <w:gridSpan w:val="3"/>
            <w:vAlign w:val="center"/>
            <w:hideMark/>
          </w:tcPr>
          <w:p w:rsidR="00753125" w:rsidRPr="00C9075B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Generalna sanacija i modernizacija železničke trase 10 (granica sa Srbijom -– Kosovo Polje– Elez Han– granica sa Severnom Makedonijom)</w:t>
            </w:r>
          </w:p>
        </w:tc>
      </w:tr>
    </w:tbl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753125" w:rsidRPr="006B27E8" w:rsidRDefault="00753125" w:rsidP="00753125">
      <w:pPr>
        <w:rPr>
          <w:b/>
          <w:bCs/>
          <w:i/>
          <w:sz w:val="20"/>
          <w:szCs w:val="20"/>
          <w:rFonts w:ascii="Arial" w:eastAsia="Times New Roman" w:hAnsi="Arial" w:cs="Arial"/>
        </w:rPr>
      </w:pPr>
      <w:r>
        <w:rPr>
          <w:b/>
          <w:i/>
          <w:sz w:val="20"/>
          <w:rFonts w:ascii="Arial" w:hAnsi="Arial"/>
        </w:rPr>
        <w:t xml:space="preserve">Kriterijum podobnosti</w:t>
      </w: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111"/>
        <w:gridCol w:w="595"/>
        <w:gridCol w:w="595"/>
        <w:gridCol w:w="4426"/>
      </w:tblGrid>
      <w:tr w:rsidR="007D378D" w:rsidRPr="006B27E8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663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36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Komentari</w:t>
            </w:r>
          </w:p>
        </w:tc>
      </w:tr>
      <w:tr w:rsidR="007D378D" w:rsidRPr="006B27E8" w:rsidTr="00EA40E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663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8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366" w:type="pct"/>
            <w:tcBorders>
              <w:right w:val="single" w:sz="2" w:space="0" w:color="B8CCE4"/>
            </w:tcBorders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Ekonomski i investicioni plan za zapadni Balkan, Brisel, 6.10.2020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Evropski zeleni dogovor, Brisel, 11.12.2019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Smernice za sprovođenje Zelene agende za Zapadni Balkan, Brisel, 6.10. 2020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Kredibilna perspektiva proširenja i pojačan angažman EU na Zapadnom Balkanu, Strazbur, 6.2.2018.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održive i pametne mobilnosti, Brisel, 9.12.2020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Četvrti železnički paket EU (2013)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Jedan od ciljeva EBRD-a naveden u Strategiji transportnog sektora (2019-2024), oktobar 2019.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Instrument za pretpristupnu pomoć (IPA III) 2021-2027</w:t>
            </w:r>
          </w:p>
          <w:p w:rsidR="00753125" w:rsidRPr="006B27E8" w:rsidRDefault="00753125" w:rsidP="005F5F0C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EKONOMSKIH REFORMI KOSOVA (2024-2026)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</w:tc>
      </w:tr>
      <w:tr w:rsidR="007D378D" w:rsidRPr="006B27E8" w:rsidTr="00EA40E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663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318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36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u skladu sa Sporazumom o stabilizaciji i pridruživanju (SSP), između Kosova i Evropske unije.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Vlade Republike Kosova 2021 – 2025,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evropske integracije Kosova 2023-2027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Strateški i operativni planovi Vlade Kosova 2021-2025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753125" w:rsidRPr="006B27E8" w:rsidRDefault="00753125" w:rsidP="005F5F0C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Srednjoročni okvir rashoda 2022-2024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</w:tc>
      </w:tr>
      <w:tr w:rsidR="007D378D" w:rsidRPr="006B27E8" w:rsidTr="00EA40E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663" w:type="pct"/>
            <w:tcBorders>
              <w:bottom w:val="double" w:sz="4" w:space="0" w:color="B8CCE4"/>
            </w:tcBorders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36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753125" w:rsidRPr="006B27E8" w:rsidRDefault="00F23E93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</w:tc>
      </w:tr>
      <w:tr w:rsidR="007D378D" w:rsidRPr="006B27E8" w:rsidTr="00EA40EB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Zaključak: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  <w:r>
              <w:rPr>
                <w:i/>
                <w:sz w:val="20"/>
                <w:rFonts w:ascii="Arial" w:hAnsi="Arial"/>
              </w:rPr>
              <w:br/>
            </w:r>
            <w:r>
              <w:rPr>
                <w:i/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36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 </w:t>
            </w:r>
          </w:p>
        </w:tc>
      </w:tr>
      <w:tr w:rsidR="007D378D" w:rsidRPr="006B27E8" w:rsidTr="00EA40E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753125" w:rsidRPr="006B27E8" w:rsidRDefault="00753125" w:rsidP="00EA40EB">
            <w:pPr>
              <w:spacing w:after="200"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753125" w:rsidRPr="006B27E8" w:rsidRDefault="00753125" w:rsidP="00753125">
      <w:pPr>
        <w:rPr>
          <w:b/>
          <w:bCs/>
          <w:i/>
          <w:sz w:val="20"/>
          <w:szCs w:val="20"/>
          <w:rFonts w:ascii="Arial" w:eastAsia="Times New Roman" w:hAnsi="Arial" w:cs="Arial"/>
        </w:rPr>
      </w:pPr>
      <w:r>
        <w:rPr>
          <w:b/>
          <w:i/>
          <w:sz w:val="20"/>
          <w:rFonts w:ascii="Arial" w:hAnsi="Arial"/>
        </w:rPr>
        <w:t xml:space="preserve">Procena projektne grupe</w:t>
      </w: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8540"/>
        <w:gridCol w:w="810"/>
      </w:tblGrid>
      <w:tr w:rsidR="007D378D" w:rsidRPr="006B27E8" w:rsidTr="00EA40EB">
        <w:tc>
          <w:tcPr>
            <w:tcW w:w="4567" w:type="pct"/>
            <w:shd w:val="clear" w:color="auto" w:fill="D9E2F3"/>
            <w:vAlign w:val="center"/>
          </w:tcPr>
          <w:p w:rsidR="00753125" w:rsidRPr="006B27E8" w:rsidRDefault="00753125" w:rsidP="00EA40EB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33" w:type="pct"/>
            <w:shd w:val="clear" w:color="auto" w:fill="D9E2F3"/>
            <w:vAlign w:val="center"/>
          </w:tcPr>
          <w:p w:rsidR="00753125" w:rsidRPr="006B27E8" w:rsidRDefault="00753125" w:rsidP="00EA40EB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7D378D" w:rsidRPr="006B27E8" w:rsidTr="00EA40EB">
        <w:tc>
          <w:tcPr>
            <w:tcW w:w="5000" w:type="pct"/>
            <w:gridSpan w:val="2"/>
          </w:tcPr>
          <w:p w:rsidR="00753125" w:rsidRPr="006B27E8" w:rsidRDefault="00753125" w:rsidP="00EA40EB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i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7D378D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spacing w:beforeLines="40" w:before="96" w:afterLines="40" w:after="96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i/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7D378D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spacing w:beforeLines="40" w:before="96" w:afterLines="40" w:after="96"/>
              <w:ind w:left="-15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i/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7D378D" w:rsidRPr="006B27E8" w:rsidTr="00EA40EB">
        <w:tc>
          <w:tcPr>
            <w:tcW w:w="5000" w:type="pct"/>
            <w:gridSpan w:val="2"/>
          </w:tcPr>
          <w:p w:rsidR="00753125" w:rsidRPr="006B27E8" w:rsidRDefault="00753125" w:rsidP="00EA40EB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u w:val="single"/>
                <w:rFonts w:ascii="Arial" w:hAnsi="Arial"/>
              </w:rPr>
              <w:t xml:space="preserve">Grupa 2</w:t>
            </w:r>
            <w:r>
              <w:rPr>
                <w:b/>
                <w:i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7D378D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i/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7D378D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spacing w:beforeLines="40" w:before="96" w:afterLines="40" w:after="96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i/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753125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spacing w:beforeLines="40" w:before="96" w:afterLines="40" w:after="96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i/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</w:tbl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753125" w:rsidRPr="006B27E8" w:rsidRDefault="00753125" w:rsidP="00753125">
      <w:pPr>
        <w:rPr>
          <w:b/>
          <w:bCs/>
          <w:i/>
          <w:sz w:val="20"/>
          <w:szCs w:val="20"/>
          <w:rFonts w:ascii="Arial" w:eastAsia="Times New Roman" w:hAnsi="Arial" w:cs="Arial"/>
        </w:rPr>
      </w:pPr>
      <w:r>
        <w:rPr>
          <w:b/>
          <w:i/>
          <w:sz w:val="20"/>
          <w:rFonts w:ascii="Arial" w:hAnsi="Arial"/>
        </w:rPr>
        <w:t xml:space="preserve">Kriterijumi za stratešku relevantnost</w:t>
      </w: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7D378D" w:rsidRPr="006B27E8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bookmarkStart w:id="1" w:name="_Hlk129682209"/>
            <w:r>
              <w:rPr>
                <w:i/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Bodovi</w:t>
            </w:r>
            <w:r>
              <w:rPr>
                <w:i/>
                <w:sz w:val="20"/>
                <w:rFonts w:ascii="Arial" w:hAnsi="Arial"/>
              </w:rPr>
              <w:br/>
            </w:r>
            <w:r>
              <w:rPr>
                <w:i/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Dodeljeno bodova</w:t>
            </w:r>
          </w:p>
        </w:tc>
      </w:tr>
      <w:tr w:rsidR="007D378D" w:rsidRPr="006B27E8" w:rsidTr="00EA40EB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Novi intermodalni centri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Postojeći intermodalni centri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Značajno povećanje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Umereno povećanje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Lista prioriteta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Pripremna lista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7D378D" w:rsidRPr="006B27E8" w:rsidTr="00EA40EB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Značajni bezbednosni problemi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Bezbednosni problemi umerene prirode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Nova infrastruktura, sa visokim standardima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Poboljšanje karakteristika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Značajan rast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Umeren rast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Bez efekata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Minimalni efekti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7D378D" w:rsidRPr="006B27E8" w:rsidTr="00EA40EB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Inter-regionalno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Regionalno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7D378D" w:rsidRPr="006B27E8" w:rsidTr="00EA40EB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Završetak investicije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Nastavak ulaganja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Nema drugog alternativnog rešenja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7D378D" w:rsidRPr="006B27E8" w:rsidTr="00AC5E1D">
        <w:trPr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Značajno poboljšanje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Srednje poboljšanje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7D378D" w:rsidRPr="006B27E8" w:rsidTr="00EA40E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Definisana je ukupna cena projekta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Dobro definisano i potvrđeno studijama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Dobro definisano ali nije potvrđeno studijama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Adekvatan kapacitet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7D378D" w:rsidRPr="006B27E8" w:rsidTr="00EA40E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rPr>
                <w:bCs w:val="0"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84</w:t>
            </w:r>
          </w:p>
        </w:tc>
      </w:tr>
      <w:bookmarkEnd w:id="1"/>
    </w:tbl>
    <w:p w:rsidR="00753125" w:rsidRPr="006B27E8" w:rsidRDefault="00753125" w:rsidP="00753125">
      <w:pPr>
        <w:pStyle w:val="Heading2"/>
        <w:ind w:left="720" w:hanging="720"/>
        <w:rPr>
          <w:rFonts w:ascii="Arial" w:hAnsi="Arial" w:cs="Arial"/>
          <w:i/>
          <w:color w:val="auto"/>
          <w:sz w:val="20"/>
          <w:szCs w:val="20"/>
        </w:rPr>
      </w:pPr>
    </w:p>
    <w:p w:rsidR="00753125" w:rsidRPr="006B27E8" w:rsidRDefault="00753125" w:rsidP="00753125">
      <w:pPr>
        <w:rPr>
          <w:rFonts w:ascii="Arial" w:hAnsi="Arial" w:cs="Arial"/>
          <w:i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07239F" w:rsidRPr="006B27E8" w:rsidRDefault="0007239F" w:rsidP="00753125">
      <w:pPr>
        <w:rPr>
          <w:rFonts w:ascii="Arial" w:hAnsi="Arial" w:cs="Arial"/>
          <w:i/>
          <w:sz w:val="20"/>
          <w:szCs w:val="20"/>
        </w:rPr>
      </w:pPr>
    </w:p>
    <w:sectPr w:rsidR="0007239F" w:rsidRPr="006B27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19" w:rsidRDefault="00555F19" w:rsidP="005E1E93">
      <w:r>
        <w:separator/>
      </w:r>
    </w:p>
  </w:endnote>
  <w:endnote w:type="continuationSeparator" w:id="0">
    <w:p w:rsidR="00555F19" w:rsidRDefault="00555F19" w:rsidP="005E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93" w:rsidRPr="005E1E93" w:rsidRDefault="005E1E93" w:rsidP="0022614C">
    <w:pPr>
      <w:pStyle w:val="Footer"/>
      <w:rPr>
        <w:rFonts w:ascii="Arial" w:hAnsi="Arial" w:cs="Arial"/>
        <w:sz w:val="22"/>
        <w:szCs w:val="22"/>
      </w:rPr>
    </w:pPr>
  </w:p>
  <w:p w:rsidR="005E1E93" w:rsidRDefault="005E1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19" w:rsidRDefault="00555F19" w:rsidP="005E1E93">
      <w:r>
        <w:separator/>
      </w:r>
    </w:p>
  </w:footnote>
  <w:footnote w:type="continuationSeparator" w:id="0">
    <w:p w:rsidR="00555F19" w:rsidRDefault="00555F19" w:rsidP="005E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32"/>
    <w:rsid w:val="0007239F"/>
    <w:rsid w:val="000822C8"/>
    <w:rsid w:val="000E7F00"/>
    <w:rsid w:val="00110131"/>
    <w:rsid w:val="001515C9"/>
    <w:rsid w:val="001C1BDA"/>
    <w:rsid w:val="001E4B7C"/>
    <w:rsid w:val="0022614C"/>
    <w:rsid w:val="00263F32"/>
    <w:rsid w:val="00347EB1"/>
    <w:rsid w:val="003F292C"/>
    <w:rsid w:val="00410DA8"/>
    <w:rsid w:val="0041458A"/>
    <w:rsid w:val="004A7959"/>
    <w:rsid w:val="00555F19"/>
    <w:rsid w:val="00577B17"/>
    <w:rsid w:val="005E1E93"/>
    <w:rsid w:val="005F5F0C"/>
    <w:rsid w:val="00616CDC"/>
    <w:rsid w:val="00622118"/>
    <w:rsid w:val="00666A11"/>
    <w:rsid w:val="006B27E8"/>
    <w:rsid w:val="006C16C8"/>
    <w:rsid w:val="00753125"/>
    <w:rsid w:val="007B4FD4"/>
    <w:rsid w:val="007D378D"/>
    <w:rsid w:val="00865A50"/>
    <w:rsid w:val="0086645C"/>
    <w:rsid w:val="009158E4"/>
    <w:rsid w:val="00A44702"/>
    <w:rsid w:val="00A637DF"/>
    <w:rsid w:val="00AB6C28"/>
    <w:rsid w:val="00AC5E1D"/>
    <w:rsid w:val="00B10589"/>
    <w:rsid w:val="00B26FAB"/>
    <w:rsid w:val="00BA3FA8"/>
    <w:rsid w:val="00C37721"/>
    <w:rsid w:val="00C53F4E"/>
    <w:rsid w:val="00C9075B"/>
    <w:rsid w:val="00CD5326"/>
    <w:rsid w:val="00CE3A29"/>
    <w:rsid w:val="00CF2D32"/>
    <w:rsid w:val="00D44A65"/>
    <w:rsid w:val="00DB7213"/>
    <w:rsid w:val="00EA7C36"/>
    <w:rsid w:val="00F04BE8"/>
    <w:rsid w:val="00F23E93"/>
    <w:rsid w:val="00F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6E2C"/>
  <w15:chartTrackingRefBased/>
  <w15:docId w15:val="{130B2FD9-CFEC-4A69-9CEF-05C78635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D4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F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F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B4FD4"/>
    <w:rPr>
      <w:rFonts w:ascii="Arial" w:hAnsi="Arial" w:cstheme="minorBidi"/>
      <w:sz w:val="24"/>
      <w:szCs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E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93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93"/>
    <w:rPr>
      <w:rFonts w:ascii="Times New Roman" w:eastAsia="MS Mincho" w:hAnsi="Times New Roman" w:cs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rsid w:val="00753125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22</cp:revision>
  <dcterms:created xsi:type="dcterms:W3CDTF">2024-07-23T07:20:00Z</dcterms:created>
  <dcterms:modified xsi:type="dcterms:W3CDTF">2024-08-12T13:32:00Z</dcterms:modified>
</cp:coreProperties>
</file>