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6C" w:rsidRPr="00A6284F" w:rsidRDefault="00AE58C8">
      <w:pPr>
        <w:spacing w:before="3" w:line="273" w:lineRule="exact"/>
        <w:ind w:left="5904"/>
        <w:textAlignment w:val="baseline"/>
        <w:rPr>
          <w:rFonts w:eastAsia="Times New Roman"/>
          <w:color w:val="000000"/>
          <w:sz w:val="24"/>
          <w:lang w:val="sq-AL"/>
        </w:rPr>
      </w:pPr>
      <w:r w:rsidRPr="00A6284F">
        <w:rPr>
          <w:lang w:val="sq-AL"/>
        </w:rPr>
        <w:pict>
          <v:shapetype id="_x0000_t202" coordsize="21600,21600" o:spt="202" path="m,l,21600r21600,l21600,xe">
            <v:stroke joinstyle="miter"/>
            <v:path gradientshapeok="t" o:connecttype="rect"/>
          </v:shapetype>
          <v:shape id="_x0000_s0" o:spid="_x0000_s1103" type="#_x0000_t202" style="position:absolute;left:0;text-align:left;margin-left:70.8pt;margin-top:73pt;width:206.65pt;height:115.75pt;z-index:-2516869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30"/>
                    <w:gridCol w:w="1603"/>
                  </w:tblGrid>
                  <w:tr w:rsidR="00F23D22">
                    <w:trPr>
                      <w:trHeight w:hRule="exact" w:val="1271"/>
                    </w:trPr>
                    <w:tc>
                      <w:tcPr>
                        <w:tcW w:w="2530" w:type="dxa"/>
                        <w:tcBorders>
                          <w:top w:val="none" w:sz="0" w:space="0" w:color="000000"/>
                          <w:left w:val="none" w:sz="0" w:space="0" w:color="000000"/>
                          <w:bottom w:val="none" w:sz="0" w:space="0" w:color="000000"/>
                          <w:right w:val="none" w:sz="0" w:space="0" w:color="000000"/>
                        </w:tcBorders>
                      </w:tcPr>
                      <w:p w:rsidR="00F23D22" w:rsidRDefault="00F23D22">
                        <w:pPr>
                          <w:spacing w:before="18" w:after="9"/>
                          <w:jc w:val="center"/>
                          <w:textAlignment w:val="baseline"/>
                        </w:pPr>
                        <w:r>
                          <w:rPr>
                            <w:noProof/>
                          </w:rPr>
                          <w:drawing>
                            <wp:inline distT="0" distB="0" distL="0" distR="0" wp14:anchorId="7FC1F307" wp14:editId="4E955E9C">
                              <wp:extent cx="1606550" cy="7899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1606550" cy="789940"/>
                                      </a:xfrm>
                                      <a:prstGeom prst="rect">
                                        <a:avLst/>
                                      </a:prstGeom>
                                    </pic:spPr>
                                  </pic:pic>
                                </a:graphicData>
                              </a:graphic>
                            </wp:inline>
                          </w:drawing>
                        </w:r>
                      </w:p>
                    </w:tc>
                    <w:tc>
                      <w:tcPr>
                        <w:tcW w:w="1603" w:type="dxa"/>
                        <w:tcBorders>
                          <w:top w:val="none" w:sz="0" w:space="0" w:color="000000"/>
                          <w:left w:val="none" w:sz="0" w:space="0" w:color="000000"/>
                          <w:bottom w:val="none" w:sz="0" w:space="0" w:color="000000"/>
                          <w:right w:val="none" w:sz="0" w:space="0" w:color="000000"/>
                        </w:tcBorders>
                        <w:vAlign w:val="bottom"/>
                      </w:tcPr>
                      <w:p w:rsidR="00F23D22" w:rsidRDefault="00F23D22">
                        <w:pPr>
                          <w:spacing w:before="743" w:line="259" w:lineRule="exact"/>
                          <w:ind w:left="108"/>
                          <w:textAlignment w:val="baseline"/>
                          <w:rPr>
                            <w:rFonts w:ascii="Arial" w:eastAsia="Arial" w:hAnsi="Arial"/>
                            <w:color w:val="000000"/>
                            <w:spacing w:val="-3"/>
                            <w:sz w:val="23"/>
                          </w:rPr>
                        </w:pPr>
                        <w:r>
                          <w:rPr>
                            <w:rFonts w:ascii="Arial" w:eastAsia="Arial" w:hAnsi="Arial"/>
                            <w:color w:val="000000"/>
                            <w:spacing w:val="-3"/>
                            <w:sz w:val="23"/>
                          </w:rPr>
                          <w:t>EUROPEAN COMMISSION</w:t>
                        </w:r>
                      </w:p>
                    </w:tc>
                  </w:tr>
                </w:tbl>
                <w:p w:rsidR="00F23D22" w:rsidRDefault="00F23D22">
                  <w:pPr>
                    <w:spacing w:after="1024" w:line="20" w:lineRule="exact"/>
                  </w:pPr>
                </w:p>
              </w:txbxContent>
            </v:textbox>
            <w10:wrap type="square" anchorx="page" anchory="page"/>
          </v:shape>
        </w:pict>
      </w:r>
      <w:r w:rsidR="009E4C9A" w:rsidRPr="00A6284F">
        <w:rPr>
          <w:rFonts w:eastAsia="Times New Roman"/>
          <w:color w:val="000000"/>
          <w:sz w:val="24"/>
          <w:lang w:val="sq-AL"/>
        </w:rPr>
        <w:t>Bru</w:t>
      </w:r>
      <w:r w:rsidR="008823CF" w:rsidRPr="00A6284F">
        <w:rPr>
          <w:rFonts w:eastAsia="Times New Roman"/>
          <w:color w:val="000000"/>
          <w:sz w:val="24"/>
          <w:lang w:val="sq-AL"/>
        </w:rPr>
        <w:t>k</w:t>
      </w:r>
      <w:r w:rsidR="009E4C9A" w:rsidRPr="00A6284F">
        <w:rPr>
          <w:rFonts w:eastAsia="Times New Roman"/>
          <w:color w:val="000000"/>
          <w:sz w:val="24"/>
          <w:lang w:val="sq-AL"/>
        </w:rPr>
        <w:t xml:space="preserve">sel, 29.5.2019 </w:t>
      </w:r>
      <w:r w:rsidR="009E4C9A" w:rsidRPr="00A6284F">
        <w:rPr>
          <w:rFonts w:eastAsia="Times New Roman"/>
          <w:color w:val="000000"/>
          <w:sz w:val="24"/>
          <w:lang w:val="sq-AL"/>
        </w:rPr>
        <w:br/>
        <w:t>SWD(2019) 216 final</w:t>
      </w:r>
    </w:p>
    <w:p w:rsidR="00303676" w:rsidRPr="00A6284F" w:rsidRDefault="00303676" w:rsidP="00303676">
      <w:pPr>
        <w:spacing w:before="1078" w:line="634" w:lineRule="exact"/>
        <w:jc w:val="center"/>
        <w:textAlignment w:val="baseline"/>
        <w:rPr>
          <w:rFonts w:eastAsia="Times New Roman"/>
          <w:b/>
          <w:color w:val="000000"/>
          <w:sz w:val="24"/>
          <w:lang w:val="sq-AL"/>
        </w:rPr>
      </w:pPr>
      <w:r w:rsidRPr="00A6284F">
        <w:rPr>
          <w:rFonts w:eastAsia="Times New Roman"/>
          <w:b/>
          <w:color w:val="000000"/>
          <w:sz w:val="24"/>
          <w:lang w:val="sq-AL"/>
        </w:rPr>
        <w:t xml:space="preserve"> DOKUMENT PUNE I PERSONELIT TË KOMISIONIT </w:t>
      </w:r>
      <w:r w:rsidRPr="00A6284F">
        <w:rPr>
          <w:rFonts w:eastAsia="Times New Roman"/>
          <w:b/>
          <w:color w:val="000000"/>
          <w:sz w:val="24"/>
          <w:lang w:val="sq-AL"/>
        </w:rPr>
        <w:br/>
        <w:t xml:space="preserve">Raporti për Kosovën* 2019 </w:t>
      </w:r>
    </w:p>
    <w:p w:rsidR="00303676" w:rsidRPr="00A6284F" w:rsidRDefault="00303676" w:rsidP="00303676">
      <w:pPr>
        <w:spacing w:before="357" w:line="274" w:lineRule="exact"/>
        <w:jc w:val="center"/>
        <w:textAlignment w:val="baseline"/>
        <w:rPr>
          <w:rFonts w:eastAsia="Times New Roman"/>
          <w:b/>
          <w:i/>
          <w:color w:val="000000"/>
          <w:sz w:val="24"/>
          <w:lang w:val="sq-AL"/>
        </w:rPr>
      </w:pPr>
      <w:r w:rsidRPr="00A6284F">
        <w:rPr>
          <w:rFonts w:eastAsia="Times New Roman"/>
          <w:b/>
          <w:i/>
          <w:color w:val="000000"/>
          <w:sz w:val="24"/>
          <w:lang w:val="sq-AL"/>
        </w:rPr>
        <w:t>Në përcjellje të dokumentit</w:t>
      </w:r>
    </w:p>
    <w:p w:rsidR="00303676" w:rsidRPr="00A6284F" w:rsidRDefault="00303676" w:rsidP="00303676">
      <w:pPr>
        <w:spacing w:before="237" w:line="274" w:lineRule="exact"/>
        <w:jc w:val="center"/>
        <w:textAlignment w:val="baseline"/>
        <w:rPr>
          <w:rFonts w:eastAsia="Times New Roman"/>
          <w:b/>
          <w:color w:val="000000"/>
          <w:sz w:val="24"/>
          <w:lang w:val="sq-AL"/>
        </w:rPr>
      </w:pPr>
      <w:r w:rsidRPr="00A6284F">
        <w:rPr>
          <w:rFonts w:eastAsia="Times New Roman"/>
          <w:b/>
          <w:color w:val="000000"/>
          <w:sz w:val="24"/>
          <w:lang w:val="sq-AL"/>
        </w:rPr>
        <w:t>Komunikata nga Komisioni për Parlamentin Evropian, Këshillin, Komitetin Ekonomik dhe Social Evropian, si dhe Komitetin e Rajoneve</w:t>
      </w:r>
    </w:p>
    <w:p w:rsidR="00303676" w:rsidRPr="00A6284F" w:rsidRDefault="00303676" w:rsidP="00303676">
      <w:pPr>
        <w:spacing w:after="4051" w:line="569" w:lineRule="exact"/>
        <w:jc w:val="center"/>
        <w:textAlignment w:val="baseline"/>
        <w:rPr>
          <w:rFonts w:eastAsia="Times New Roman"/>
          <w:b/>
          <w:color w:val="000000"/>
          <w:sz w:val="24"/>
          <w:lang w:val="sq-AL"/>
        </w:rPr>
      </w:pPr>
      <w:r w:rsidRPr="00A6284F">
        <w:rPr>
          <w:rFonts w:eastAsia="Times New Roman"/>
          <w:b/>
          <w:color w:val="000000"/>
          <w:sz w:val="24"/>
          <w:lang w:val="sq-AL"/>
        </w:rPr>
        <w:t>Komunikata 2019 për Politikën e Zgjerimit të BE-së</w:t>
      </w:r>
      <w:r w:rsidRPr="00A6284F">
        <w:rPr>
          <w:rFonts w:eastAsia="Times New Roman"/>
          <w:b/>
          <w:color w:val="000000"/>
          <w:sz w:val="24"/>
          <w:lang w:val="sq-AL"/>
        </w:rPr>
        <w:br/>
      </w:r>
      <w:r w:rsidRPr="00A6284F">
        <w:rPr>
          <w:rFonts w:eastAsia="Times New Roman"/>
          <w:color w:val="000000"/>
          <w:sz w:val="24"/>
          <w:lang w:val="sq-AL"/>
        </w:rPr>
        <w:t>{COM(2019) 260 final}</w:t>
      </w:r>
    </w:p>
    <w:p w:rsidR="00303676" w:rsidRPr="00A6284F" w:rsidRDefault="00303676" w:rsidP="00303676">
      <w:pPr>
        <w:spacing w:after="4051" w:line="569" w:lineRule="exact"/>
        <w:rPr>
          <w:lang w:val="sq-AL"/>
        </w:rPr>
        <w:sectPr w:rsidR="00303676" w:rsidRPr="00A6284F">
          <w:pgSz w:w="11909" w:h="16838"/>
          <w:pgMar w:top="3775" w:right="509" w:bottom="302" w:left="600" w:header="720" w:footer="720" w:gutter="0"/>
          <w:cols w:space="720"/>
        </w:sectPr>
      </w:pPr>
    </w:p>
    <w:p w:rsidR="00303676" w:rsidRPr="00A6284F" w:rsidRDefault="00303676" w:rsidP="00303676">
      <w:pPr>
        <w:tabs>
          <w:tab w:val="left" w:pos="1512"/>
        </w:tabs>
        <w:spacing w:after="1774" w:line="271" w:lineRule="exact"/>
        <w:ind w:left="792" w:right="1080"/>
        <w:textAlignment w:val="baseline"/>
        <w:rPr>
          <w:rFonts w:ascii="Calibri" w:eastAsia="Calibri" w:hAnsi="Calibri"/>
          <w:color w:val="000000"/>
          <w:lang w:val="sq-AL"/>
        </w:rPr>
      </w:pPr>
      <w:r w:rsidRPr="00A6284F">
        <w:rPr>
          <w:rFonts w:ascii="Calibri" w:eastAsia="Calibri" w:hAnsi="Calibri"/>
          <w:color w:val="000000"/>
          <w:lang w:val="sq-AL"/>
        </w:rPr>
        <w:lastRenderedPageBreak/>
        <w:t>*</w:t>
      </w:r>
      <w:r w:rsidRPr="00A6284F">
        <w:rPr>
          <w:rFonts w:ascii="Calibri" w:eastAsia="Calibri" w:hAnsi="Calibri"/>
          <w:color w:val="000000"/>
          <w:lang w:val="sq-AL"/>
        </w:rPr>
        <w:tab/>
      </w:r>
      <w:r w:rsidRPr="00A6284F">
        <w:rPr>
          <w:rFonts w:eastAsia="Times New Roman"/>
          <w:color w:val="000000"/>
          <w:sz w:val="20"/>
          <w:lang w:val="sq-AL"/>
        </w:rPr>
        <w:t>Ky emërim është pa paragjykim ndaj qëndrimeve mbi statusin, si dhe është në përputhje me Rezolutën e KSOKB 1244/1999, si dhe Mendimin e IGJK-së për Shpalljen e Pavarësisë së Kosovës</w:t>
      </w:r>
    </w:p>
    <w:p w:rsidR="00303676" w:rsidRPr="00A6284F" w:rsidRDefault="00303676" w:rsidP="00303676">
      <w:pPr>
        <w:tabs>
          <w:tab w:val="right" w:pos="10728"/>
        </w:tabs>
        <w:spacing w:line="531" w:lineRule="exact"/>
        <w:textAlignment w:val="baseline"/>
        <w:rPr>
          <w:rFonts w:ascii="Arial" w:eastAsia="Arial" w:hAnsi="Arial"/>
          <w:b/>
          <w:color w:val="000000"/>
          <w:sz w:val="48"/>
          <w:lang w:val="sq-AL"/>
        </w:rPr>
      </w:pPr>
      <w:r w:rsidRPr="00A6284F">
        <w:rPr>
          <w:rFonts w:ascii="Arial" w:eastAsia="Arial" w:hAnsi="Arial"/>
          <w:b/>
          <w:color w:val="000000"/>
          <w:sz w:val="48"/>
          <w:lang w:val="sq-AL"/>
        </w:rPr>
        <w:t>EN</w:t>
      </w:r>
      <w:r w:rsidRPr="00A6284F">
        <w:rPr>
          <w:rFonts w:ascii="Arial" w:eastAsia="Arial" w:hAnsi="Arial"/>
          <w:b/>
          <w:color w:val="000000"/>
          <w:sz w:val="48"/>
          <w:lang w:val="sq-AL"/>
        </w:rPr>
        <w:tab/>
      </w:r>
      <w:proofErr w:type="spellStart"/>
      <w:r w:rsidRPr="00A6284F">
        <w:rPr>
          <w:rFonts w:ascii="Arial" w:eastAsia="Arial" w:hAnsi="Arial"/>
          <w:b/>
          <w:color w:val="000000"/>
          <w:sz w:val="48"/>
          <w:lang w:val="sq-AL"/>
        </w:rPr>
        <w:t>EN</w:t>
      </w:r>
      <w:proofErr w:type="spellEnd"/>
    </w:p>
    <w:p w:rsidR="00303676" w:rsidRPr="00A6284F" w:rsidRDefault="00303676" w:rsidP="00303676">
      <w:pPr>
        <w:rPr>
          <w:lang w:val="sq-AL"/>
        </w:rPr>
        <w:sectPr w:rsidR="00303676" w:rsidRPr="00A6284F">
          <w:type w:val="continuous"/>
          <w:pgSz w:w="11909" w:h="16838"/>
          <w:pgMar w:top="3775" w:right="509" w:bottom="302" w:left="600" w:header="720" w:footer="720" w:gutter="0"/>
          <w:cols w:space="720"/>
        </w:sectPr>
      </w:pPr>
    </w:p>
    <w:p w:rsidR="00303676" w:rsidRPr="00A6284F" w:rsidRDefault="00303676" w:rsidP="00303676">
      <w:pPr>
        <w:spacing w:before="7" w:after="109" w:line="321" w:lineRule="exact"/>
        <w:jc w:val="center"/>
        <w:textAlignment w:val="baseline"/>
        <w:rPr>
          <w:rFonts w:eastAsia="Times New Roman"/>
          <w:b/>
          <w:color w:val="000000"/>
          <w:sz w:val="28"/>
          <w:lang w:val="sq-AL"/>
        </w:rPr>
      </w:pPr>
      <w:r w:rsidRPr="00A6284F">
        <w:rPr>
          <w:rFonts w:eastAsia="Times New Roman"/>
          <w:b/>
          <w:color w:val="000000"/>
          <w:sz w:val="28"/>
          <w:lang w:val="sq-AL"/>
        </w:rPr>
        <w:lastRenderedPageBreak/>
        <w:t xml:space="preserve">Tabela e përmbajtjes </w:t>
      </w:r>
    </w:p>
    <w:tbl>
      <w:tblPr>
        <w:tblW w:w="0" w:type="auto"/>
        <w:tblLayout w:type="fixed"/>
        <w:tblCellMar>
          <w:left w:w="0" w:type="dxa"/>
          <w:right w:w="0" w:type="dxa"/>
        </w:tblCellMar>
        <w:tblLook w:val="0000" w:firstRow="0" w:lastRow="0" w:firstColumn="0" w:lastColumn="0" w:noHBand="0" w:noVBand="0"/>
      </w:tblPr>
      <w:tblGrid>
        <w:gridCol w:w="898"/>
        <w:gridCol w:w="8304"/>
        <w:gridCol w:w="598"/>
      </w:tblGrid>
      <w:tr w:rsidR="00303676" w:rsidRPr="00A6284F" w:rsidTr="000A4761">
        <w:trPr>
          <w:trHeight w:hRule="exact" w:val="422"/>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129" w:after="15" w:line="273" w:lineRule="exact"/>
              <w:textAlignment w:val="baseline"/>
              <w:rPr>
                <w:rFonts w:eastAsia="Times New Roman"/>
                <w:color w:val="000000"/>
                <w:sz w:val="24"/>
                <w:lang w:val="sq-AL"/>
              </w:rPr>
            </w:pPr>
            <w:r w:rsidRPr="00A6284F">
              <w:rPr>
                <w:rFonts w:eastAsia="Times New Roman"/>
                <w:color w:val="000000"/>
                <w:sz w:val="24"/>
                <w:lang w:val="sq-AL"/>
              </w:rPr>
              <w:t>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129" w:after="15" w:line="273" w:lineRule="exact"/>
              <w:ind w:left="192"/>
              <w:textAlignment w:val="baseline"/>
              <w:rPr>
                <w:rFonts w:eastAsia="Times New Roman"/>
                <w:color w:val="000000"/>
                <w:sz w:val="24"/>
                <w:lang w:val="sq-AL"/>
              </w:rPr>
            </w:pPr>
            <w:r w:rsidRPr="00A6284F">
              <w:rPr>
                <w:rFonts w:eastAsia="Times New Roman"/>
                <w:color w:val="000000"/>
                <w:sz w:val="24"/>
                <w:lang w:val="sq-AL"/>
              </w:rPr>
              <w:t>HYRJE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129" w:after="15" w:line="273" w:lineRule="exact"/>
              <w:jc w:val="center"/>
              <w:textAlignment w:val="baseline"/>
              <w:rPr>
                <w:rFonts w:eastAsia="Times New Roman"/>
                <w:color w:val="000000"/>
                <w:sz w:val="24"/>
                <w:lang w:val="sq-AL"/>
              </w:rPr>
            </w:pPr>
            <w:r w:rsidRPr="00A6284F">
              <w:rPr>
                <w:rFonts w:eastAsia="Times New Roman"/>
                <w:color w:val="000000"/>
                <w:sz w:val="24"/>
                <w:lang w:val="sq-AL"/>
              </w:rPr>
              <w:t>3</w:t>
            </w:r>
          </w:p>
        </w:tc>
      </w:tr>
      <w:tr w:rsidR="00303676" w:rsidRPr="00A6284F" w:rsidTr="000A4761">
        <w:trPr>
          <w:trHeight w:hRule="exact" w:val="365"/>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39" w:line="273" w:lineRule="exact"/>
              <w:ind w:left="240"/>
              <w:textAlignment w:val="baseline"/>
              <w:rPr>
                <w:rFonts w:eastAsia="Times New Roman"/>
                <w:color w:val="000000"/>
                <w:sz w:val="24"/>
                <w:lang w:val="sq-AL"/>
              </w:rPr>
            </w:pPr>
            <w:r w:rsidRPr="00A6284F">
              <w:rPr>
                <w:rFonts w:eastAsia="Times New Roman"/>
                <w:color w:val="000000"/>
                <w:sz w:val="24"/>
                <w:lang w:val="sq-AL"/>
              </w:rPr>
              <w:t>1.1.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39" w:line="273" w:lineRule="exact"/>
              <w:ind w:left="192"/>
              <w:textAlignment w:val="baseline"/>
              <w:rPr>
                <w:rFonts w:eastAsia="Times New Roman"/>
                <w:color w:val="000000"/>
                <w:sz w:val="24"/>
                <w:lang w:val="sq-AL"/>
              </w:rPr>
            </w:pPr>
            <w:r w:rsidRPr="00A6284F">
              <w:rPr>
                <w:rFonts w:eastAsia="Times New Roman"/>
                <w:color w:val="000000"/>
                <w:sz w:val="24"/>
                <w:lang w:val="sq-AL"/>
              </w:rPr>
              <w:t>Konteksti</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39" w:line="273" w:lineRule="exact"/>
              <w:jc w:val="center"/>
              <w:textAlignment w:val="baseline"/>
              <w:rPr>
                <w:rFonts w:eastAsia="Times New Roman"/>
                <w:color w:val="000000"/>
                <w:sz w:val="24"/>
                <w:lang w:val="sq-AL"/>
              </w:rPr>
            </w:pPr>
            <w:r w:rsidRPr="00A6284F">
              <w:rPr>
                <w:rFonts w:eastAsia="Times New Roman"/>
                <w:color w:val="000000"/>
                <w:sz w:val="24"/>
                <w:lang w:val="sq-AL"/>
              </w:rPr>
              <w:t>3</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8" w:line="273" w:lineRule="exact"/>
              <w:textAlignment w:val="baseline"/>
              <w:rPr>
                <w:rFonts w:eastAsia="Times New Roman"/>
                <w:color w:val="000000"/>
                <w:sz w:val="24"/>
                <w:lang w:val="sq-AL"/>
              </w:rPr>
            </w:pPr>
            <w:r w:rsidRPr="00A6284F">
              <w:rPr>
                <w:rFonts w:eastAsia="Times New Roman"/>
                <w:color w:val="000000"/>
                <w:sz w:val="24"/>
                <w:lang w:val="sq-AL"/>
              </w:rPr>
              <w:t>1.2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8" w:line="273" w:lineRule="exact"/>
              <w:ind w:left="192"/>
              <w:textAlignment w:val="baseline"/>
              <w:rPr>
                <w:rFonts w:eastAsia="Times New Roman"/>
                <w:color w:val="000000"/>
                <w:sz w:val="24"/>
                <w:lang w:val="sq-AL"/>
              </w:rPr>
            </w:pPr>
            <w:r w:rsidRPr="00A6284F">
              <w:rPr>
                <w:rFonts w:eastAsia="Times New Roman"/>
                <w:color w:val="000000"/>
                <w:sz w:val="24"/>
                <w:lang w:val="sq-AL"/>
              </w:rPr>
              <w:t>Përmbledhje e Raportit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8" w:line="273" w:lineRule="exact"/>
              <w:jc w:val="center"/>
              <w:textAlignment w:val="baseline"/>
              <w:rPr>
                <w:rFonts w:eastAsia="Times New Roman"/>
                <w:color w:val="000000"/>
                <w:sz w:val="24"/>
                <w:lang w:val="sq-AL"/>
              </w:rPr>
            </w:pPr>
            <w:r w:rsidRPr="00A6284F">
              <w:rPr>
                <w:rFonts w:eastAsia="Times New Roman"/>
                <w:color w:val="000000"/>
                <w:sz w:val="24"/>
                <w:lang w:val="sq-AL"/>
              </w:rPr>
              <w:t>3</w:t>
            </w:r>
          </w:p>
        </w:tc>
      </w:tr>
      <w:tr w:rsidR="00303676" w:rsidRPr="00A6284F" w:rsidTr="000A4761">
        <w:trPr>
          <w:trHeight w:hRule="exact" w:val="364"/>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1" w:after="10" w:line="273" w:lineRule="exact"/>
              <w:textAlignment w:val="baseline"/>
              <w:rPr>
                <w:rFonts w:eastAsia="Times New Roman"/>
                <w:color w:val="000000"/>
                <w:sz w:val="24"/>
                <w:lang w:val="sq-AL"/>
              </w:rPr>
            </w:pPr>
            <w:r w:rsidRPr="00A6284F">
              <w:rPr>
                <w:rFonts w:eastAsia="Times New Roman"/>
                <w:color w:val="000000"/>
                <w:sz w:val="24"/>
                <w:lang w:val="sq-AL"/>
              </w:rPr>
              <w:t>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10" w:line="273" w:lineRule="exact"/>
              <w:ind w:left="192"/>
              <w:textAlignment w:val="baseline"/>
              <w:rPr>
                <w:rFonts w:eastAsia="Times New Roman"/>
                <w:color w:val="000000"/>
                <w:sz w:val="24"/>
                <w:lang w:val="sq-AL"/>
              </w:rPr>
            </w:pPr>
            <w:r w:rsidRPr="00A6284F">
              <w:rPr>
                <w:rFonts w:eastAsia="Times New Roman"/>
                <w:color w:val="000000"/>
                <w:sz w:val="24"/>
                <w:lang w:val="sq-AL"/>
              </w:rPr>
              <w:t>THEMELORET SË PARI: KRITERET POLITIKE DHE SUNDIMI I LIGJIT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10" w:line="273" w:lineRule="exact"/>
              <w:jc w:val="center"/>
              <w:textAlignment w:val="baseline"/>
              <w:rPr>
                <w:rFonts w:eastAsia="Times New Roman"/>
                <w:color w:val="000000"/>
                <w:sz w:val="24"/>
                <w:lang w:val="sq-AL"/>
              </w:rPr>
            </w:pPr>
            <w:r w:rsidRPr="00A6284F">
              <w:rPr>
                <w:rFonts w:eastAsia="Times New Roman"/>
                <w:color w:val="000000"/>
                <w:sz w:val="24"/>
                <w:lang w:val="sq-AL"/>
              </w:rPr>
              <w:t>5</w:t>
            </w:r>
          </w:p>
        </w:tc>
      </w:tr>
      <w:tr w:rsidR="00303676" w:rsidRPr="00A6284F" w:rsidTr="000A4761">
        <w:trPr>
          <w:trHeight w:hRule="exact" w:val="365"/>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43" w:after="48" w:line="273" w:lineRule="exact"/>
              <w:textAlignment w:val="baseline"/>
              <w:rPr>
                <w:rFonts w:eastAsia="Times New Roman"/>
                <w:color w:val="000000"/>
                <w:sz w:val="24"/>
                <w:lang w:val="sq-AL"/>
              </w:rPr>
            </w:pPr>
            <w:r w:rsidRPr="00A6284F">
              <w:rPr>
                <w:rFonts w:eastAsia="Times New Roman"/>
                <w:color w:val="000000"/>
                <w:sz w:val="24"/>
                <w:lang w:val="sq-AL"/>
              </w:rPr>
              <w:t>2.1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48" w:line="273" w:lineRule="exact"/>
              <w:ind w:left="192"/>
              <w:textAlignment w:val="baseline"/>
              <w:rPr>
                <w:rFonts w:eastAsia="Times New Roman"/>
                <w:color w:val="000000"/>
                <w:sz w:val="24"/>
                <w:lang w:val="sq-AL"/>
              </w:rPr>
            </w:pPr>
            <w:r w:rsidRPr="00A6284F">
              <w:rPr>
                <w:rFonts w:eastAsia="Times New Roman"/>
                <w:color w:val="000000"/>
                <w:sz w:val="24"/>
                <w:lang w:val="sq-AL"/>
              </w:rPr>
              <w:t>Funksionimi i institucioneve demokratike dhe Reforma e Administratës Publike .</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48" w:line="273" w:lineRule="exact"/>
              <w:jc w:val="center"/>
              <w:textAlignment w:val="baseline"/>
              <w:rPr>
                <w:rFonts w:eastAsia="Times New Roman"/>
                <w:color w:val="000000"/>
                <w:sz w:val="24"/>
                <w:lang w:val="sq-AL"/>
              </w:rPr>
            </w:pPr>
            <w:r w:rsidRPr="00A6284F">
              <w:rPr>
                <w:rFonts w:eastAsia="Times New Roman"/>
                <w:color w:val="000000"/>
                <w:sz w:val="24"/>
                <w:lang w:val="sq-AL"/>
              </w:rPr>
              <w:t>5</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240"/>
              <w:textAlignment w:val="baseline"/>
              <w:rPr>
                <w:rFonts w:eastAsia="Times New Roman"/>
                <w:color w:val="000000"/>
                <w:sz w:val="24"/>
                <w:lang w:val="sq-AL"/>
              </w:rPr>
            </w:pPr>
            <w:r w:rsidRPr="00A6284F">
              <w:rPr>
                <w:rFonts w:eastAsia="Times New Roman"/>
                <w:color w:val="000000"/>
                <w:sz w:val="24"/>
                <w:lang w:val="sq-AL"/>
              </w:rPr>
              <w:t>2.1.1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rFonts w:eastAsia="Times New Roman"/>
                <w:color w:val="000000"/>
                <w:sz w:val="24"/>
                <w:lang w:val="sq-AL"/>
              </w:rPr>
              <w:t>Demokracia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5</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48" w:line="273" w:lineRule="exact"/>
              <w:ind w:left="240"/>
              <w:textAlignment w:val="baseline"/>
              <w:rPr>
                <w:rFonts w:eastAsia="Times New Roman"/>
                <w:color w:val="000000"/>
                <w:sz w:val="24"/>
                <w:lang w:val="sq-AL"/>
              </w:rPr>
            </w:pPr>
            <w:r w:rsidRPr="00A6284F">
              <w:rPr>
                <w:rFonts w:eastAsia="Times New Roman"/>
                <w:color w:val="000000"/>
                <w:sz w:val="24"/>
                <w:lang w:val="sq-AL"/>
              </w:rPr>
              <w:t>2.1.2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48" w:line="273" w:lineRule="exact"/>
              <w:ind w:left="192"/>
              <w:textAlignment w:val="baseline"/>
              <w:rPr>
                <w:rFonts w:eastAsia="Times New Roman"/>
                <w:color w:val="000000"/>
                <w:sz w:val="24"/>
                <w:lang w:val="sq-AL"/>
              </w:rPr>
            </w:pPr>
            <w:r w:rsidRPr="00A6284F">
              <w:rPr>
                <w:rFonts w:eastAsia="Times New Roman"/>
                <w:color w:val="000000"/>
                <w:sz w:val="24"/>
                <w:lang w:val="sq-AL"/>
              </w:rPr>
              <w:t>Reforma e Administratës Publike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48" w:line="273" w:lineRule="exact"/>
              <w:jc w:val="center"/>
              <w:textAlignment w:val="baseline"/>
              <w:rPr>
                <w:rFonts w:eastAsia="Times New Roman"/>
                <w:color w:val="000000"/>
                <w:sz w:val="24"/>
                <w:lang w:val="sq-AL"/>
              </w:rPr>
            </w:pPr>
            <w:r w:rsidRPr="00A6284F">
              <w:rPr>
                <w:rFonts w:eastAsia="Times New Roman"/>
                <w:color w:val="000000"/>
                <w:sz w:val="24"/>
                <w:lang w:val="sq-AL"/>
              </w:rPr>
              <w:t>10</w:t>
            </w:r>
          </w:p>
        </w:tc>
      </w:tr>
      <w:tr w:rsidR="00303676" w:rsidRPr="00A6284F" w:rsidTr="000A4761">
        <w:trPr>
          <w:trHeight w:hRule="exact" w:val="394"/>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2.2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rFonts w:eastAsia="Times New Roman"/>
                <w:color w:val="000000"/>
                <w:sz w:val="24"/>
                <w:lang w:val="sq-AL"/>
              </w:rPr>
              <w:t>Sundimi i ligjit dhe të drejtat themelore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14</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38" w:line="273" w:lineRule="exact"/>
              <w:ind w:left="240"/>
              <w:textAlignment w:val="baseline"/>
              <w:rPr>
                <w:rFonts w:eastAsia="Times New Roman"/>
                <w:color w:val="000000"/>
                <w:sz w:val="24"/>
                <w:lang w:val="sq-AL"/>
              </w:rPr>
            </w:pPr>
            <w:r w:rsidRPr="00A6284F">
              <w:rPr>
                <w:rFonts w:eastAsia="Times New Roman"/>
                <w:color w:val="000000"/>
                <w:sz w:val="24"/>
                <w:lang w:val="sq-AL"/>
              </w:rPr>
              <w:t>2.2.1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38" w:line="273" w:lineRule="exact"/>
              <w:ind w:left="192"/>
              <w:textAlignment w:val="baseline"/>
              <w:rPr>
                <w:rFonts w:eastAsia="Times New Roman"/>
                <w:color w:val="000000"/>
                <w:sz w:val="24"/>
                <w:lang w:val="sq-AL"/>
              </w:rPr>
            </w:pPr>
            <w:r w:rsidRPr="00A6284F">
              <w:rPr>
                <w:rFonts w:eastAsia="Times New Roman"/>
                <w:color w:val="000000"/>
                <w:sz w:val="24"/>
                <w:lang w:val="sq-AL"/>
              </w:rPr>
              <w:t>Gjyqësori dhe të drejtat themelore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38" w:line="273" w:lineRule="exact"/>
              <w:jc w:val="center"/>
              <w:textAlignment w:val="baseline"/>
              <w:rPr>
                <w:rFonts w:eastAsia="Times New Roman"/>
                <w:color w:val="000000"/>
                <w:sz w:val="24"/>
                <w:lang w:val="sq-AL"/>
              </w:rPr>
            </w:pPr>
            <w:r w:rsidRPr="00A6284F">
              <w:rPr>
                <w:rFonts w:eastAsia="Times New Roman"/>
                <w:color w:val="000000"/>
                <w:sz w:val="24"/>
                <w:lang w:val="sq-AL"/>
              </w:rPr>
              <w:t>14</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7" w:after="43" w:line="273" w:lineRule="exact"/>
              <w:ind w:left="240"/>
              <w:textAlignment w:val="baseline"/>
              <w:rPr>
                <w:rFonts w:eastAsia="Times New Roman"/>
                <w:color w:val="000000"/>
                <w:sz w:val="24"/>
                <w:lang w:val="sq-AL"/>
              </w:rPr>
            </w:pPr>
            <w:r w:rsidRPr="00A6284F">
              <w:rPr>
                <w:rFonts w:eastAsia="Times New Roman"/>
                <w:color w:val="000000"/>
                <w:sz w:val="24"/>
                <w:lang w:val="sq-AL"/>
              </w:rPr>
              <w:t>2.2.2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7" w:after="43" w:line="273" w:lineRule="exact"/>
              <w:ind w:left="192"/>
              <w:textAlignment w:val="baseline"/>
              <w:rPr>
                <w:rFonts w:eastAsia="Times New Roman"/>
                <w:color w:val="000000"/>
                <w:sz w:val="24"/>
                <w:lang w:val="sq-AL"/>
              </w:rPr>
            </w:pPr>
            <w:r w:rsidRPr="00A6284F">
              <w:rPr>
                <w:rFonts w:eastAsia="Times New Roman"/>
                <w:color w:val="000000"/>
                <w:sz w:val="24"/>
                <w:lang w:val="sq-AL"/>
              </w:rPr>
              <w:t>Drejtësia, liria dhe siguria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7" w:after="43" w:line="273" w:lineRule="exact"/>
              <w:jc w:val="center"/>
              <w:textAlignment w:val="baseline"/>
              <w:rPr>
                <w:rFonts w:eastAsia="Times New Roman"/>
                <w:color w:val="000000"/>
                <w:sz w:val="24"/>
                <w:lang w:val="sq-AL"/>
              </w:rPr>
            </w:pPr>
            <w:r w:rsidRPr="00A6284F">
              <w:rPr>
                <w:rFonts w:eastAsia="Times New Roman"/>
                <w:color w:val="000000"/>
                <w:sz w:val="24"/>
                <w:lang w:val="sq-AL"/>
              </w:rPr>
              <w:t>32</w:t>
            </w:r>
          </w:p>
        </w:tc>
      </w:tr>
      <w:tr w:rsidR="00303676" w:rsidRPr="00A6284F" w:rsidTr="000A4761">
        <w:trPr>
          <w:trHeight w:hRule="exact" w:val="336"/>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line="253" w:lineRule="exact"/>
              <w:textAlignment w:val="baseline"/>
              <w:rPr>
                <w:rFonts w:eastAsia="Times New Roman"/>
                <w:color w:val="000000"/>
                <w:sz w:val="24"/>
                <w:lang w:val="sq-AL"/>
              </w:rPr>
            </w:pPr>
            <w:r w:rsidRPr="00A6284F">
              <w:rPr>
                <w:rFonts w:eastAsia="Times New Roman"/>
                <w:color w:val="000000"/>
                <w:sz w:val="24"/>
                <w:lang w:val="sq-AL"/>
              </w:rPr>
              <w:t>3.</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line="253" w:lineRule="exact"/>
              <w:ind w:left="192"/>
              <w:textAlignment w:val="baseline"/>
              <w:rPr>
                <w:rFonts w:eastAsia="Times New Roman"/>
                <w:color w:val="000000"/>
                <w:sz w:val="24"/>
                <w:lang w:val="sq-AL"/>
              </w:rPr>
            </w:pPr>
            <w:r w:rsidRPr="00A6284F">
              <w:rPr>
                <w:rFonts w:eastAsia="Times New Roman"/>
                <w:color w:val="000000"/>
                <w:sz w:val="24"/>
                <w:lang w:val="sq-AL"/>
              </w:rPr>
              <w:t>THEMELORET SË PARI: ZHVILLIMI EKONOMIK DHE KONKURRENCA</w:t>
            </w:r>
          </w:p>
        </w:tc>
        <w:tc>
          <w:tcPr>
            <w:tcW w:w="598" w:type="dxa"/>
            <w:tcBorders>
              <w:top w:val="none" w:sz="0" w:space="0" w:color="020000"/>
              <w:left w:val="none" w:sz="0" w:space="0" w:color="020000"/>
              <w:bottom w:val="none" w:sz="0" w:space="0" w:color="020000"/>
              <w:right w:val="none" w:sz="0" w:space="0" w:color="020000"/>
            </w:tcBorders>
          </w:tcPr>
          <w:p w:rsidR="00303676" w:rsidRPr="00A6284F" w:rsidRDefault="00303676" w:rsidP="000A4761">
            <w:pPr>
              <w:textAlignment w:val="baseline"/>
              <w:rPr>
                <w:rFonts w:eastAsia="Times New Roman"/>
                <w:color w:val="000000"/>
                <w:sz w:val="24"/>
                <w:lang w:val="sq-AL"/>
              </w:rPr>
            </w:pPr>
          </w:p>
        </w:tc>
      </w:tr>
      <w:tr w:rsidR="00303676" w:rsidRPr="00A6284F" w:rsidTr="000A4761">
        <w:trPr>
          <w:trHeight w:hRule="exact" w:val="307"/>
        </w:trPr>
        <w:tc>
          <w:tcPr>
            <w:tcW w:w="898" w:type="dxa"/>
            <w:tcBorders>
              <w:top w:val="none" w:sz="0" w:space="0" w:color="020000"/>
              <w:left w:val="none" w:sz="0" w:space="0" w:color="020000"/>
              <w:bottom w:val="none" w:sz="0" w:space="0" w:color="020000"/>
              <w:right w:val="none" w:sz="0" w:space="0" w:color="020000"/>
            </w:tcBorders>
          </w:tcPr>
          <w:p w:rsidR="00303676" w:rsidRPr="00A6284F" w:rsidRDefault="00303676" w:rsidP="000A4761">
            <w:pPr>
              <w:textAlignment w:val="baseline"/>
              <w:rPr>
                <w:rFonts w:eastAsia="Times New Roman"/>
                <w:color w:val="000000"/>
                <w:sz w:val="24"/>
                <w:lang w:val="sq-AL"/>
              </w:rPr>
            </w:pP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after="19" w:line="273" w:lineRule="exact"/>
              <w:textAlignment w:val="baseline"/>
              <w:rPr>
                <w:rFonts w:eastAsia="Times New Roman"/>
                <w:color w:val="000000"/>
                <w:sz w:val="24"/>
                <w:lang w:val="sq-AL"/>
              </w:rPr>
            </w:pP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after="19" w:line="273" w:lineRule="exact"/>
              <w:jc w:val="center"/>
              <w:textAlignment w:val="baseline"/>
              <w:rPr>
                <w:rFonts w:eastAsia="Times New Roman"/>
                <w:color w:val="000000"/>
                <w:sz w:val="24"/>
                <w:lang w:val="sq-AL"/>
              </w:rPr>
            </w:pPr>
            <w:r w:rsidRPr="00A6284F">
              <w:rPr>
                <w:rFonts w:eastAsia="Times New Roman"/>
                <w:color w:val="000000"/>
                <w:sz w:val="24"/>
                <w:lang w:val="sq-AL"/>
              </w:rPr>
              <w:t>44</w:t>
            </w:r>
          </w:p>
        </w:tc>
      </w:tr>
      <w:tr w:rsidR="00303676" w:rsidRPr="00A6284F" w:rsidTr="000A4761">
        <w:trPr>
          <w:trHeight w:hRule="exact" w:val="365"/>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43" w:line="273" w:lineRule="exact"/>
              <w:ind w:left="240"/>
              <w:textAlignment w:val="baseline"/>
              <w:rPr>
                <w:rFonts w:eastAsia="Times New Roman"/>
                <w:color w:val="000000"/>
                <w:sz w:val="24"/>
                <w:lang w:val="sq-AL"/>
              </w:rPr>
            </w:pPr>
            <w:r w:rsidRPr="00A6284F">
              <w:rPr>
                <w:rFonts w:eastAsia="Times New Roman"/>
                <w:color w:val="000000"/>
                <w:sz w:val="24"/>
                <w:lang w:val="sq-AL"/>
              </w:rPr>
              <w:t>3.1.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43" w:line="273" w:lineRule="exact"/>
              <w:ind w:left="192"/>
              <w:textAlignment w:val="baseline"/>
              <w:rPr>
                <w:rFonts w:eastAsia="Times New Roman"/>
                <w:color w:val="000000"/>
                <w:sz w:val="24"/>
                <w:lang w:val="sq-AL"/>
              </w:rPr>
            </w:pPr>
            <w:r w:rsidRPr="00A6284F">
              <w:rPr>
                <w:rFonts w:eastAsia="Times New Roman"/>
                <w:color w:val="000000"/>
                <w:sz w:val="24"/>
                <w:lang w:val="sq-AL"/>
              </w:rPr>
              <w:t>Ekzistenca e ekonomisë funksionale të tregut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43" w:line="273" w:lineRule="exact"/>
              <w:jc w:val="center"/>
              <w:textAlignment w:val="baseline"/>
              <w:rPr>
                <w:rFonts w:eastAsia="Times New Roman"/>
                <w:color w:val="000000"/>
                <w:sz w:val="24"/>
                <w:lang w:val="sq-AL"/>
              </w:rPr>
            </w:pPr>
            <w:r w:rsidRPr="00A6284F">
              <w:rPr>
                <w:rFonts w:eastAsia="Times New Roman"/>
                <w:color w:val="000000"/>
                <w:sz w:val="24"/>
                <w:lang w:val="sq-AL"/>
              </w:rPr>
              <w:t>44</w:t>
            </w:r>
          </w:p>
        </w:tc>
      </w:tr>
      <w:tr w:rsidR="00303676" w:rsidRPr="00A6284F" w:rsidTr="000A4761">
        <w:trPr>
          <w:trHeight w:hRule="exact" w:val="398"/>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ind w:left="240"/>
              <w:textAlignment w:val="baseline"/>
              <w:rPr>
                <w:rFonts w:eastAsia="Times New Roman"/>
                <w:color w:val="000000"/>
                <w:sz w:val="24"/>
                <w:lang w:val="sq-AL"/>
              </w:rPr>
            </w:pPr>
            <w:r w:rsidRPr="00A6284F">
              <w:rPr>
                <w:rFonts w:eastAsia="Times New Roman"/>
                <w:color w:val="000000"/>
                <w:sz w:val="24"/>
                <w:lang w:val="sq-AL"/>
              </w:rPr>
              <w:t>3.2.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ind w:left="192"/>
              <w:textAlignment w:val="baseline"/>
              <w:rPr>
                <w:rFonts w:eastAsia="Times New Roman"/>
                <w:color w:val="000000"/>
                <w:sz w:val="24"/>
                <w:lang w:val="sq-AL"/>
              </w:rPr>
            </w:pPr>
            <w:r w:rsidRPr="00A6284F">
              <w:rPr>
                <w:lang w:val="sq-AL"/>
              </w:rPr>
              <w:t>Kapaciteti për përballje me presionet konkurruese dhe forcat e tregut brenda Bashkimit Evropian</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jc w:val="center"/>
              <w:textAlignment w:val="baseline"/>
              <w:rPr>
                <w:rFonts w:eastAsia="Times New Roman"/>
                <w:color w:val="000000"/>
                <w:sz w:val="24"/>
                <w:lang w:val="sq-AL"/>
              </w:rPr>
            </w:pPr>
            <w:r w:rsidRPr="00A6284F">
              <w:rPr>
                <w:rFonts w:eastAsia="Times New Roman"/>
                <w:color w:val="000000"/>
                <w:sz w:val="24"/>
                <w:lang w:val="sq-AL"/>
              </w:rPr>
              <w:t>49</w:t>
            </w:r>
          </w:p>
        </w:tc>
      </w:tr>
      <w:tr w:rsidR="00303676" w:rsidRPr="00A6284F" w:rsidTr="000A4761">
        <w:trPr>
          <w:trHeight w:hRule="exact" w:val="365"/>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14" w:line="273" w:lineRule="exact"/>
              <w:textAlignment w:val="baseline"/>
              <w:rPr>
                <w:rFonts w:eastAsia="Times New Roman"/>
                <w:color w:val="000000"/>
                <w:sz w:val="24"/>
                <w:lang w:val="sq-AL"/>
              </w:rPr>
            </w:pPr>
            <w:r w:rsidRPr="00A6284F">
              <w:rPr>
                <w:rFonts w:eastAsia="Times New Roman"/>
                <w:color w:val="000000"/>
                <w:sz w:val="24"/>
                <w:lang w:val="sq-AL"/>
              </w:rPr>
              <w:t>4.</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14" w:line="273" w:lineRule="exact"/>
              <w:ind w:left="192"/>
              <w:textAlignment w:val="baseline"/>
              <w:rPr>
                <w:rFonts w:eastAsia="Times New Roman"/>
                <w:color w:val="000000"/>
                <w:sz w:val="24"/>
                <w:lang w:val="sq-AL"/>
              </w:rPr>
            </w:pPr>
            <w:r w:rsidRPr="00A6284F">
              <w:rPr>
                <w:rFonts w:eastAsia="Times New Roman"/>
                <w:color w:val="000000"/>
                <w:sz w:val="24"/>
                <w:lang w:val="sq-AL"/>
              </w:rPr>
              <w:t>MARRËDHËNIET E MIRA FQINJËSORE DHE BASHKËPUNIMI RAJONAL</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14" w:line="273" w:lineRule="exact"/>
              <w:jc w:val="center"/>
              <w:textAlignment w:val="baseline"/>
              <w:rPr>
                <w:rFonts w:eastAsia="Times New Roman"/>
                <w:color w:val="000000"/>
                <w:sz w:val="24"/>
                <w:lang w:val="sq-AL"/>
              </w:rPr>
            </w:pPr>
            <w:r w:rsidRPr="00A6284F">
              <w:rPr>
                <w:rFonts w:eastAsia="Times New Roman"/>
                <w:color w:val="000000"/>
                <w:sz w:val="24"/>
                <w:lang w:val="sq-AL"/>
              </w:rPr>
              <w:t>52</w:t>
            </w:r>
          </w:p>
        </w:tc>
      </w:tr>
      <w:tr w:rsidR="00303676" w:rsidRPr="00A6284F" w:rsidTr="000A4761">
        <w:trPr>
          <w:trHeight w:hRule="exact" w:val="341"/>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43" w:after="24" w:line="273" w:lineRule="exact"/>
              <w:textAlignment w:val="baseline"/>
              <w:rPr>
                <w:rFonts w:eastAsia="Times New Roman"/>
                <w:color w:val="000000"/>
                <w:sz w:val="24"/>
                <w:lang w:val="sq-AL"/>
              </w:rPr>
            </w:pPr>
            <w:r w:rsidRPr="00A6284F">
              <w:rPr>
                <w:rFonts w:eastAsia="Times New Roman"/>
                <w:color w:val="000000"/>
                <w:sz w:val="24"/>
                <w:lang w:val="sq-AL"/>
              </w:rPr>
              <w:t>5.</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24" w:line="273" w:lineRule="exact"/>
              <w:ind w:left="192"/>
              <w:textAlignment w:val="baseline"/>
              <w:rPr>
                <w:rFonts w:eastAsia="Times New Roman"/>
                <w:color w:val="000000"/>
                <w:sz w:val="24"/>
                <w:lang w:val="sq-AL"/>
              </w:rPr>
            </w:pPr>
            <w:r w:rsidRPr="00A6284F">
              <w:rPr>
                <w:rFonts w:eastAsia="Times New Roman"/>
                <w:color w:val="000000"/>
                <w:sz w:val="24"/>
                <w:lang w:val="sq-AL"/>
              </w:rPr>
              <w:t>NORMALIZIMI I MARRËDHËNIEVE MES KOSOVËS DHE SERBISË ..</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43" w:after="24" w:line="273" w:lineRule="exact"/>
              <w:jc w:val="center"/>
              <w:textAlignment w:val="baseline"/>
              <w:rPr>
                <w:rFonts w:eastAsia="Times New Roman"/>
                <w:color w:val="000000"/>
                <w:sz w:val="24"/>
                <w:lang w:val="sq-AL"/>
              </w:rPr>
            </w:pPr>
            <w:r w:rsidRPr="00A6284F">
              <w:rPr>
                <w:rFonts w:eastAsia="Times New Roman"/>
                <w:color w:val="000000"/>
                <w:sz w:val="24"/>
                <w:lang w:val="sq-AL"/>
              </w:rPr>
              <w:t>54</w:t>
            </w:r>
          </w:p>
        </w:tc>
      </w:tr>
      <w:tr w:rsidR="00303676" w:rsidRPr="00A6284F" w:rsidTr="000A4761">
        <w:trPr>
          <w:trHeight w:hRule="exact" w:val="336"/>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38" w:after="19" w:line="273" w:lineRule="exact"/>
              <w:textAlignment w:val="baseline"/>
              <w:rPr>
                <w:rFonts w:eastAsia="Times New Roman"/>
                <w:color w:val="000000"/>
                <w:sz w:val="24"/>
                <w:lang w:val="sq-AL"/>
              </w:rPr>
            </w:pPr>
            <w:r w:rsidRPr="00A6284F">
              <w:rPr>
                <w:rFonts w:eastAsia="Times New Roman"/>
                <w:color w:val="000000"/>
                <w:sz w:val="24"/>
                <w:lang w:val="sq-AL"/>
              </w:rPr>
              <w:t>6.</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38" w:after="19" w:line="273" w:lineRule="exact"/>
              <w:ind w:left="192"/>
              <w:textAlignment w:val="baseline"/>
              <w:rPr>
                <w:rFonts w:eastAsia="Times New Roman"/>
                <w:color w:val="000000"/>
                <w:sz w:val="24"/>
                <w:lang w:val="sq-AL"/>
              </w:rPr>
            </w:pPr>
            <w:r w:rsidRPr="00A6284F">
              <w:rPr>
                <w:rFonts w:eastAsia="Times New Roman"/>
                <w:color w:val="000000"/>
                <w:sz w:val="24"/>
                <w:lang w:val="sq-AL"/>
              </w:rPr>
              <w:t>STANDARDET EVROPIANE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38" w:after="19" w:line="273" w:lineRule="exact"/>
              <w:jc w:val="center"/>
              <w:textAlignment w:val="baseline"/>
              <w:rPr>
                <w:rFonts w:eastAsia="Times New Roman"/>
                <w:color w:val="000000"/>
                <w:sz w:val="24"/>
                <w:lang w:val="sq-AL"/>
              </w:rPr>
            </w:pPr>
            <w:r w:rsidRPr="00A6284F">
              <w:rPr>
                <w:rFonts w:eastAsia="Times New Roman"/>
                <w:color w:val="000000"/>
                <w:sz w:val="24"/>
                <w:lang w:val="sq-AL"/>
              </w:rPr>
              <w:t>55</w:t>
            </w:r>
          </w:p>
        </w:tc>
      </w:tr>
      <w:tr w:rsidR="00303676" w:rsidRPr="00A6284F" w:rsidTr="000A4761">
        <w:trPr>
          <w:trHeight w:hRule="exact" w:val="365"/>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38" w:after="43" w:line="273" w:lineRule="exact"/>
              <w:textAlignment w:val="baseline"/>
              <w:rPr>
                <w:rFonts w:eastAsia="Times New Roman"/>
                <w:color w:val="000000"/>
                <w:sz w:val="24"/>
                <w:lang w:val="sq-AL"/>
              </w:rPr>
            </w:pPr>
            <w:r w:rsidRPr="00A6284F">
              <w:rPr>
                <w:rFonts w:eastAsia="Times New Roman"/>
                <w:color w:val="000000"/>
                <w:sz w:val="24"/>
                <w:lang w:val="sq-AL"/>
              </w:rPr>
              <w:t>6.1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38" w:after="43" w:line="273" w:lineRule="exact"/>
              <w:ind w:left="192"/>
              <w:textAlignment w:val="baseline"/>
              <w:rPr>
                <w:rFonts w:eastAsia="Times New Roman"/>
                <w:color w:val="000000"/>
                <w:sz w:val="24"/>
                <w:lang w:val="sq-AL"/>
              </w:rPr>
            </w:pPr>
            <w:r w:rsidRPr="00A6284F">
              <w:rPr>
                <w:lang w:val="sq-AL"/>
              </w:rPr>
              <w:t>Lëvizja e lirë e mallrave .</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38" w:after="43" w:line="273" w:lineRule="exact"/>
              <w:jc w:val="center"/>
              <w:textAlignment w:val="baseline"/>
              <w:rPr>
                <w:rFonts w:eastAsia="Times New Roman"/>
                <w:color w:val="000000"/>
                <w:sz w:val="24"/>
                <w:lang w:val="sq-AL"/>
              </w:rPr>
            </w:pPr>
            <w:r w:rsidRPr="00A6284F">
              <w:rPr>
                <w:rFonts w:eastAsia="Times New Roman"/>
                <w:color w:val="000000"/>
                <w:sz w:val="24"/>
                <w:lang w:val="sq-AL"/>
              </w:rPr>
              <w:t>55</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67" w:after="52" w:line="273" w:lineRule="exact"/>
              <w:textAlignment w:val="baseline"/>
              <w:rPr>
                <w:rFonts w:eastAsia="Times New Roman"/>
                <w:color w:val="000000"/>
                <w:sz w:val="24"/>
                <w:lang w:val="sq-AL"/>
              </w:rPr>
            </w:pPr>
            <w:r w:rsidRPr="00A6284F">
              <w:rPr>
                <w:rFonts w:eastAsia="Times New Roman"/>
                <w:color w:val="000000"/>
                <w:sz w:val="24"/>
                <w:lang w:val="sq-AL"/>
              </w:rPr>
              <w:t>6.2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Lëvizja e personave, shërbimeve dhe e drejta e themelimit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57</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6.3</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Lëvizja e lirë e kapitalit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58</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240"/>
              <w:textAlignment w:val="baseline"/>
              <w:rPr>
                <w:rFonts w:eastAsia="Times New Roman"/>
                <w:color w:val="000000"/>
                <w:sz w:val="24"/>
                <w:lang w:val="sq-AL"/>
              </w:rPr>
            </w:pPr>
            <w:r w:rsidRPr="00A6284F">
              <w:rPr>
                <w:rFonts w:eastAsia="Times New Roman"/>
                <w:color w:val="000000"/>
                <w:sz w:val="24"/>
                <w:lang w:val="sq-AL"/>
              </w:rPr>
              <w:t>6.4.</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Shërbimet financiare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59</w:t>
            </w:r>
          </w:p>
        </w:tc>
      </w:tr>
      <w:tr w:rsidR="00303676" w:rsidRPr="00A6284F" w:rsidTr="000A4761">
        <w:trPr>
          <w:trHeight w:hRule="exact" w:val="394"/>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240"/>
              <w:textAlignment w:val="baseline"/>
              <w:rPr>
                <w:rFonts w:eastAsia="Times New Roman"/>
                <w:color w:val="000000"/>
                <w:sz w:val="24"/>
                <w:lang w:val="sq-AL"/>
              </w:rPr>
            </w:pPr>
            <w:r w:rsidRPr="00A6284F">
              <w:rPr>
                <w:rFonts w:eastAsia="Times New Roman"/>
                <w:color w:val="000000"/>
                <w:sz w:val="24"/>
                <w:lang w:val="sq-AL"/>
              </w:rPr>
              <w:t>6.5.</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Dogana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60</w:t>
            </w:r>
          </w:p>
        </w:tc>
      </w:tr>
      <w:tr w:rsidR="00303676" w:rsidRPr="00A6284F" w:rsidTr="000A4761">
        <w:trPr>
          <w:trHeight w:hRule="exact" w:val="398"/>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52" w:line="273" w:lineRule="exact"/>
              <w:textAlignment w:val="baseline"/>
              <w:rPr>
                <w:rFonts w:eastAsia="Times New Roman"/>
                <w:color w:val="000000"/>
                <w:sz w:val="24"/>
                <w:lang w:val="sq-AL"/>
              </w:rPr>
            </w:pPr>
            <w:r w:rsidRPr="00A6284F">
              <w:rPr>
                <w:rFonts w:eastAsia="Times New Roman"/>
                <w:color w:val="000000"/>
                <w:sz w:val="24"/>
                <w:lang w:val="sq-AL"/>
              </w:rPr>
              <w:t>6.6</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ind w:left="192"/>
              <w:textAlignment w:val="baseline"/>
              <w:rPr>
                <w:rFonts w:eastAsia="Times New Roman"/>
                <w:color w:val="000000"/>
                <w:sz w:val="24"/>
                <w:lang w:val="sq-AL"/>
              </w:rPr>
            </w:pPr>
            <w:proofErr w:type="spellStart"/>
            <w:r w:rsidRPr="00A6284F">
              <w:rPr>
                <w:lang w:val="sq-AL"/>
              </w:rPr>
              <w:t>Tatimimi</w:t>
            </w:r>
            <w:proofErr w:type="spellEnd"/>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jc w:val="center"/>
              <w:textAlignment w:val="baseline"/>
              <w:rPr>
                <w:rFonts w:eastAsia="Times New Roman"/>
                <w:color w:val="000000"/>
                <w:sz w:val="24"/>
                <w:lang w:val="sq-AL"/>
              </w:rPr>
            </w:pPr>
            <w:r w:rsidRPr="00A6284F">
              <w:rPr>
                <w:rFonts w:eastAsia="Times New Roman"/>
                <w:color w:val="000000"/>
                <w:sz w:val="24"/>
                <w:lang w:val="sq-AL"/>
              </w:rPr>
              <w:t>61</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6.7</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Konkurrenca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62</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67" w:after="52" w:line="273" w:lineRule="exact"/>
              <w:textAlignment w:val="baseline"/>
              <w:rPr>
                <w:rFonts w:eastAsia="Times New Roman"/>
                <w:color w:val="000000"/>
                <w:sz w:val="24"/>
                <w:lang w:val="sq-AL"/>
              </w:rPr>
            </w:pPr>
            <w:r w:rsidRPr="00A6284F">
              <w:rPr>
                <w:rFonts w:eastAsia="Times New Roman"/>
                <w:color w:val="000000"/>
                <w:sz w:val="24"/>
                <w:lang w:val="sq-AL"/>
              </w:rPr>
              <w:t>6.8</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Prokurimi publik</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63</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6.9</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E drejta e subjekteve tregtare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65</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67" w:after="52" w:line="273" w:lineRule="exact"/>
              <w:textAlignment w:val="baseline"/>
              <w:rPr>
                <w:rFonts w:eastAsia="Times New Roman"/>
                <w:color w:val="000000"/>
                <w:sz w:val="24"/>
                <w:lang w:val="sq-AL"/>
              </w:rPr>
            </w:pPr>
            <w:r w:rsidRPr="00A6284F">
              <w:rPr>
                <w:rFonts w:eastAsia="Times New Roman"/>
                <w:color w:val="000000"/>
                <w:sz w:val="24"/>
                <w:lang w:val="sq-AL"/>
              </w:rPr>
              <w:t>6.10</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E drejta e pronës intelektuale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65</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6.11</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Politika sociale dhe punësimi</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66</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67" w:after="52" w:line="273" w:lineRule="exact"/>
              <w:textAlignment w:val="baseline"/>
              <w:rPr>
                <w:rFonts w:eastAsia="Times New Roman"/>
                <w:color w:val="000000"/>
                <w:sz w:val="24"/>
                <w:lang w:val="sq-AL"/>
              </w:rPr>
            </w:pPr>
            <w:r w:rsidRPr="00A6284F">
              <w:rPr>
                <w:rFonts w:eastAsia="Times New Roman"/>
                <w:color w:val="000000"/>
                <w:sz w:val="24"/>
                <w:lang w:val="sq-AL"/>
              </w:rPr>
              <w:t>6.12</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Mbrojtja e konsumatorit dhe shëndetit</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69</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6.13</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Arsimi dhe kultura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71</w:t>
            </w:r>
          </w:p>
        </w:tc>
      </w:tr>
      <w:tr w:rsidR="00303676" w:rsidRPr="00A6284F" w:rsidTr="000A4761">
        <w:trPr>
          <w:trHeight w:hRule="exact" w:val="393"/>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67" w:after="52" w:line="273" w:lineRule="exact"/>
              <w:textAlignment w:val="baseline"/>
              <w:rPr>
                <w:rFonts w:eastAsia="Times New Roman"/>
                <w:color w:val="000000"/>
                <w:sz w:val="24"/>
                <w:lang w:val="sq-AL"/>
              </w:rPr>
            </w:pPr>
            <w:r w:rsidRPr="00A6284F">
              <w:rPr>
                <w:rFonts w:eastAsia="Times New Roman"/>
                <w:color w:val="000000"/>
                <w:sz w:val="24"/>
                <w:lang w:val="sq-AL"/>
              </w:rPr>
              <w:t>6.14</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ind w:left="192"/>
              <w:textAlignment w:val="baseline"/>
              <w:rPr>
                <w:rFonts w:eastAsia="Times New Roman"/>
                <w:color w:val="000000"/>
                <w:sz w:val="24"/>
                <w:lang w:val="sq-AL"/>
              </w:rPr>
            </w:pPr>
            <w:r w:rsidRPr="00A6284F">
              <w:rPr>
                <w:lang w:val="sq-AL"/>
              </w:rPr>
              <w:t>Shkenca dhe hulumtime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67" w:after="52" w:line="273" w:lineRule="exact"/>
              <w:jc w:val="center"/>
              <w:textAlignment w:val="baseline"/>
              <w:rPr>
                <w:rFonts w:eastAsia="Times New Roman"/>
                <w:color w:val="000000"/>
                <w:sz w:val="24"/>
                <w:lang w:val="sq-AL"/>
              </w:rPr>
            </w:pPr>
            <w:r w:rsidRPr="00A6284F">
              <w:rPr>
                <w:rFonts w:eastAsia="Times New Roman"/>
                <w:color w:val="000000"/>
                <w:sz w:val="24"/>
                <w:lang w:val="sq-AL"/>
              </w:rPr>
              <w:t>73</w:t>
            </w:r>
          </w:p>
        </w:tc>
      </w:tr>
      <w:tr w:rsidR="00303676" w:rsidRPr="00A6284F" w:rsidTr="000A4761">
        <w:trPr>
          <w:trHeight w:hRule="exact" w:val="394"/>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6.15</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lang w:val="sq-AL"/>
              </w:rPr>
              <w:t>Çështjet tregtare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73</w:t>
            </w:r>
          </w:p>
        </w:tc>
      </w:tr>
      <w:tr w:rsidR="00303676" w:rsidRPr="00A6284F" w:rsidTr="000A4761">
        <w:trPr>
          <w:trHeight w:hRule="exact" w:val="398"/>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52" w:line="273" w:lineRule="exact"/>
              <w:textAlignment w:val="baseline"/>
              <w:rPr>
                <w:rFonts w:eastAsia="Times New Roman"/>
                <w:color w:val="000000"/>
                <w:sz w:val="24"/>
                <w:lang w:val="sq-AL"/>
              </w:rPr>
            </w:pPr>
            <w:r w:rsidRPr="00A6284F">
              <w:rPr>
                <w:rFonts w:eastAsia="Times New Roman"/>
                <w:color w:val="000000"/>
                <w:sz w:val="24"/>
                <w:lang w:val="sq-AL"/>
              </w:rPr>
              <w:t>6.16</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ind w:left="192"/>
              <w:textAlignment w:val="baseline"/>
              <w:rPr>
                <w:rFonts w:eastAsia="Times New Roman"/>
                <w:color w:val="000000"/>
                <w:sz w:val="24"/>
                <w:lang w:val="sq-AL"/>
              </w:rPr>
            </w:pPr>
            <w:r w:rsidRPr="00A6284F">
              <w:rPr>
                <w:rFonts w:eastAsia="Times New Roman"/>
                <w:color w:val="000000"/>
                <w:sz w:val="24"/>
                <w:lang w:val="sq-AL"/>
              </w:rPr>
              <w:t>Politika e ndërmarrjeve dhe ajo industriale</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52" w:line="273" w:lineRule="exact"/>
              <w:jc w:val="center"/>
              <w:textAlignment w:val="baseline"/>
              <w:rPr>
                <w:rFonts w:eastAsia="Times New Roman"/>
                <w:color w:val="000000"/>
                <w:sz w:val="24"/>
                <w:lang w:val="sq-AL"/>
              </w:rPr>
            </w:pPr>
            <w:r w:rsidRPr="00A6284F">
              <w:rPr>
                <w:rFonts w:eastAsia="Times New Roman"/>
                <w:color w:val="000000"/>
                <w:sz w:val="24"/>
                <w:lang w:val="sq-AL"/>
              </w:rPr>
              <w:t>74</w:t>
            </w:r>
          </w:p>
        </w:tc>
      </w:tr>
      <w:tr w:rsidR="00303676" w:rsidRPr="00A6284F" w:rsidTr="000A4761">
        <w:trPr>
          <w:trHeight w:hRule="exact" w:val="399"/>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2" w:after="43" w:line="273" w:lineRule="exact"/>
              <w:textAlignment w:val="baseline"/>
              <w:rPr>
                <w:rFonts w:eastAsia="Times New Roman"/>
                <w:color w:val="000000"/>
                <w:sz w:val="24"/>
                <w:lang w:val="sq-AL"/>
              </w:rPr>
            </w:pPr>
            <w:r w:rsidRPr="00A6284F">
              <w:rPr>
                <w:rFonts w:eastAsia="Times New Roman"/>
                <w:color w:val="000000"/>
                <w:sz w:val="24"/>
                <w:lang w:val="sq-AL"/>
              </w:rPr>
              <w:t>6.17</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ind w:left="192"/>
              <w:textAlignment w:val="baseline"/>
              <w:rPr>
                <w:rFonts w:eastAsia="Times New Roman"/>
                <w:color w:val="000000"/>
                <w:sz w:val="24"/>
                <w:lang w:val="sq-AL"/>
              </w:rPr>
            </w:pPr>
            <w:r w:rsidRPr="00A6284F">
              <w:rPr>
                <w:rFonts w:eastAsia="Times New Roman"/>
                <w:color w:val="000000"/>
                <w:sz w:val="24"/>
                <w:lang w:val="sq-AL"/>
              </w:rPr>
              <w:t>Bujqësia</w:t>
            </w:r>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2" w:after="43" w:line="273" w:lineRule="exact"/>
              <w:jc w:val="center"/>
              <w:textAlignment w:val="baseline"/>
              <w:rPr>
                <w:rFonts w:eastAsia="Times New Roman"/>
                <w:color w:val="000000"/>
                <w:sz w:val="24"/>
                <w:lang w:val="sq-AL"/>
              </w:rPr>
            </w:pPr>
            <w:r w:rsidRPr="00A6284F">
              <w:rPr>
                <w:rFonts w:eastAsia="Times New Roman"/>
                <w:color w:val="000000"/>
                <w:sz w:val="24"/>
                <w:lang w:val="sq-AL"/>
              </w:rPr>
              <w:t>75</w:t>
            </w:r>
          </w:p>
        </w:tc>
      </w:tr>
      <w:tr w:rsidR="00303676" w:rsidRPr="00A6284F" w:rsidTr="000A4761">
        <w:trPr>
          <w:trHeight w:hRule="exact" w:val="391"/>
        </w:trPr>
        <w:tc>
          <w:tcPr>
            <w:tcW w:w="8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tabs>
                <w:tab w:val="decimal" w:pos="360"/>
              </w:tabs>
              <w:spacing w:before="71" w:after="34" w:line="273" w:lineRule="exact"/>
              <w:textAlignment w:val="baseline"/>
              <w:rPr>
                <w:rFonts w:eastAsia="Times New Roman"/>
                <w:color w:val="000000"/>
                <w:sz w:val="24"/>
                <w:lang w:val="sq-AL"/>
              </w:rPr>
            </w:pPr>
            <w:r w:rsidRPr="00A6284F">
              <w:rPr>
                <w:rFonts w:eastAsia="Times New Roman"/>
                <w:color w:val="000000"/>
                <w:sz w:val="24"/>
                <w:lang w:val="sq-AL"/>
              </w:rPr>
              <w:t>6.18</w:t>
            </w:r>
          </w:p>
        </w:tc>
        <w:tc>
          <w:tcPr>
            <w:tcW w:w="8304"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34" w:line="273" w:lineRule="exact"/>
              <w:ind w:left="192"/>
              <w:textAlignment w:val="baseline"/>
              <w:rPr>
                <w:rFonts w:eastAsia="Times New Roman"/>
                <w:color w:val="000000"/>
                <w:sz w:val="24"/>
                <w:lang w:val="sq-AL"/>
              </w:rPr>
            </w:pPr>
            <w:r w:rsidRPr="00A6284F">
              <w:rPr>
                <w:rFonts w:eastAsia="Times New Roman"/>
                <w:color w:val="000000"/>
                <w:sz w:val="24"/>
                <w:lang w:val="sq-AL"/>
              </w:rPr>
              <w:t xml:space="preserve">Politikat për siguri ushqimore, veterinare dhe </w:t>
            </w:r>
            <w:proofErr w:type="spellStart"/>
            <w:r w:rsidRPr="00A6284F">
              <w:rPr>
                <w:rFonts w:eastAsia="Times New Roman"/>
                <w:color w:val="000000"/>
                <w:sz w:val="24"/>
                <w:lang w:val="sq-AL"/>
              </w:rPr>
              <w:t>fitosanitare</w:t>
            </w:r>
            <w:proofErr w:type="spellEnd"/>
          </w:p>
        </w:tc>
        <w:tc>
          <w:tcPr>
            <w:tcW w:w="598" w:type="dxa"/>
            <w:tcBorders>
              <w:top w:val="none" w:sz="0" w:space="0" w:color="020000"/>
              <w:left w:val="none" w:sz="0" w:space="0" w:color="020000"/>
              <w:bottom w:val="none" w:sz="0" w:space="0" w:color="020000"/>
              <w:right w:val="none" w:sz="0" w:space="0" w:color="020000"/>
            </w:tcBorders>
            <w:vAlign w:val="center"/>
          </w:tcPr>
          <w:p w:rsidR="00303676" w:rsidRPr="00A6284F" w:rsidRDefault="00303676" w:rsidP="000A4761">
            <w:pPr>
              <w:spacing w:before="71" w:after="34" w:line="273" w:lineRule="exact"/>
              <w:jc w:val="center"/>
              <w:textAlignment w:val="baseline"/>
              <w:rPr>
                <w:rFonts w:eastAsia="Times New Roman"/>
                <w:color w:val="000000"/>
                <w:sz w:val="24"/>
                <w:lang w:val="sq-AL"/>
              </w:rPr>
            </w:pPr>
            <w:r w:rsidRPr="00A6284F">
              <w:rPr>
                <w:rFonts w:eastAsia="Times New Roman"/>
                <w:color w:val="000000"/>
                <w:sz w:val="24"/>
                <w:lang w:val="sq-AL"/>
              </w:rPr>
              <w:t>76</w:t>
            </w:r>
          </w:p>
        </w:tc>
      </w:tr>
    </w:tbl>
    <w:p w:rsidR="00303676" w:rsidRPr="00A6284F" w:rsidRDefault="00303676" w:rsidP="00303676">
      <w:pPr>
        <w:spacing w:after="304" w:line="20" w:lineRule="exact"/>
        <w:rPr>
          <w:lang w:val="sq-AL"/>
        </w:rPr>
      </w:pPr>
    </w:p>
    <w:p w:rsidR="00303676" w:rsidRPr="00A6284F" w:rsidRDefault="00303676" w:rsidP="00303676">
      <w:pPr>
        <w:spacing w:before="4" w:line="249" w:lineRule="exact"/>
        <w:jc w:val="center"/>
        <w:textAlignment w:val="baseline"/>
        <w:rPr>
          <w:rFonts w:eastAsia="Times New Roman"/>
          <w:color w:val="000000"/>
          <w:lang w:val="sq-AL"/>
        </w:rPr>
      </w:pPr>
      <w:r w:rsidRPr="00A6284F">
        <w:rPr>
          <w:rFonts w:eastAsia="Times New Roman"/>
          <w:color w:val="000000"/>
          <w:lang w:val="sq-AL"/>
        </w:rPr>
        <w:t>1</w:t>
      </w:r>
    </w:p>
    <w:p w:rsidR="00303676" w:rsidRPr="00A6284F" w:rsidRDefault="00303676" w:rsidP="00303676">
      <w:pPr>
        <w:rPr>
          <w:lang w:val="sq-AL"/>
        </w:rPr>
        <w:sectPr w:rsidR="00303676" w:rsidRPr="00A6284F">
          <w:pgSz w:w="11909" w:h="16838"/>
          <w:pgMar w:top="1420" w:right="933" w:bottom="562" w:left="1176" w:header="720" w:footer="720" w:gutter="0"/>
          <w:cols w:space="720"/>
        </w:sectPr>
      </w:pPr>
    </w:p>
    <w:p w:rsidR="00303676" w:rsidRPr="00A6284F" w:rsidRDefault="00303676" w:rsidP="00303676">
      <w:pPr>
        <w:tabs>
          <w:tab w:val="left" w:pos="792"/>
          <w:tab w:val="right" w:pos="9288"/>
        </w:tabs>
        <w:spacing w:before="121" w:line="274" w:lineRule="exact"/>
        <w:jc w:val="both"/>
        <w:textAlignment w:val="baseline"/>
        <w:rPr>
          <w:rFonts w:eastAsia="Times New Roman"/>
          <w:color w:val="000000"/>
          <w:sz w:val="24"/>
          <w:lang w:val="sq-AL"/>
        </w:rPr>
      </w:pPr>
      <w:r w:rsidRPr="00A6284F">
        <w:rPr>
          <w:rFonts w:eastAsia="Times New Roman"/>
          <w:color w:val="000000"/>
          <w:sz w:val="24"/>
          <w:lang w:val="sq-AL"/>
        </w:rPr>
        <w:lastRenderedPageBreak/>
        <w:t>6.19</w:t>
      </w:r>
      <w:r w:rsidRPr="00A6284F">
        <w:rPr>
          <w:rFonts w:eastAsia="Times New Roman"/>
          <w:color w:val="000000"/>
          <w:sz w:val="24"/>
          <w:lang w:val="sq-AL"/>
        </w:rPr>
        <w:tab/>
        <w:t>Peshkataria</w:t>
      </w:r>
      <w:r w:rsidRPr="00A6284F">
        <w:rPr>
          <w:rFonts w:eastAsia="Times New Roman"/>
          <w:color w:val="000000"/>
          <w:sz w:val="24"/>
          <w:lang w:val="sq-AL"/>
        </w:rPr>
        <w:tab/>
        <w:t>77</w:t>
      </w:r>
    </w:p>
    <w:p w:rsidR="00303676" w:rsidRPr="00A6284F" w:rsidRDefault="00303676" w:rsidP="00303676">
      <w:pPr>
        <w:tabs>
          <w:tab w:val="left" w:pos="792"/>
          <w:tab w:val="right" w:pos="9288"/>
        </w:tabs>
        <w:spacing w:before="124" w:line="274" w:lineRule="exact"/>
        <w:jc w:val="both"/>
        <w:textAlignment w:val="baseline"/>
        <w:rPr>
          <w:rFonts w:eastAsia="Times New Roman"/>
          <w:color w:val="000000"/>
          <w:sz w:val="24"/>
          <w:lang w:val="sq-AL"/>
        </w:rPr>
      </w:pPr>
      <w:r w:rsidRPr="00A6284F">
        <w:rPr>
          <w:rFonts w:eastAsia="Times New Roman"/>
          <w:color w:val="000000"/>
          <w:sz w:val="24"/>
          <w:lang w:val="sq-AL"/>
        </w:rPr>
        <w:t>6.20</w:t>
      </w:r>
      <w:r w:rsidRPr="00A6284F">
        <w:rPr>
          <w:rFonts w:eastAsia="Times New Roman"/>
          <w:color w:val="000000"/>
          <w:sz w:val="24"/>
          <w:lang w:val="sq-AL"/>
        </w:rPr>
        <w:tab/>
        <w:t>Mjedisi dhe ndryshimet klimatike</w:t>
      </w:r>
      <w:r w:rsidRPr="00A6284F">
        <w:rPr>
          <w:rFonts w:eastAsia="Times New Roman"/>
          <w:color w:val="000000"/>
          <w:sz w:val="24"/>
          <w:lang w:val="sq-AL"/>
        </w:rPr>
        <w:tab/>
        <w:t>78</w:t>
      </w:r>
    </w:p>
    <w:p w:rsidR="00303676" w:rsidRPr="00A6284F" w:rsidRDefault="00303676" w:rsidP="00303676">
      <w:pPr>
        <w:tabs>
          <w:tab w:val="left" w:pos="792"/>
          <w:tab w:val="right" w:pos="9288"/>
        </w:tabs>
        <w:spacing w:before="120" w:line="274" w:lineRule="exact"/>
        <w:jc w:val="both"/>
        <w:textAlignment w:val="baseline"/>
        <w:rPr>
          <w:rFonts w:eastAsia="Times New Roman"/>
          <w:color w:val="000000"/>
          <w:sz w:val="24"/>
          <w:lang w:val="sq-AL"/>
        </w:rPr>
      </w:pPr>
      <w:r w:rsidRPr="00A6284F">
        <w:rPr>
          <w:rFonts w:eastAsia="Times New Roman"/>
          <w:color w:val="000000"/>
          <w:sz w:val="24"/>
          <w:lang w:val="sq-AL"/>
        </w:rPr>
        <w:t>6.21</w:t>
      </w:r>
      <w:r w:rsidRPr="00A6284F">
        <w:rPr>
          <w:rFonts w:eastAsia="Times New Roman"/>
          <w:color w:val="000000"/>
          <w:sz w:val="24"/>
          <w:lang w:val="sq-AL"/>
        </w:rPr>
        <w:tab/>
        <w:t>Politika e transportit</w:t>
      </w:r>
      <w:r w:rsidRPr="00A6284F">
        <w:rPr>
          <w:rFonts w:eastAsia="Times New Roman"/>
          <w:color w:val="000000"/>
          <w:sz w:val="24"/>
          <w:lang w:val="sq-AL"/>
        </w:rPr>
        <w:tab/>
        <w:t>80</w:t>
      </w:r>
    </w:p>
    <w:p w:rsidR="00303676" w:rsidRPr="00A6284F" w:rsidRDefault="00303676" w:rsidP="00303676">
      <w:pPr>
        <w:tabs>
          <w:tab w:val="right" w:pos="9288"/>
        </w:tabs>
        <w:spacing w:before="124" w:line="274" w:lineRule="exact"/>
        <w:jc w:val="both"/>
        <w:textAlignment w:val="baseline"/>
        <w:rPr>
          <w:rFonts w:eastAsia="Times New Roman"/>
          <w:color w:val="000000"/>
          <w:sz w:val="24"/>
          <w:lang w:val="sq-AL"/>
        </w:rPr>
      </w:pPr>
      <w:r w:rsidRPr="00A6284F">
        <w:rPr>
          <w:rFonts w:eastAsia="Times New Roman"/>
          <w:color w:val="000000"/>
          <w:sz w:val="24"/>
          <w:lang w:val="sq-AL"/>
        </w:rPr>
        <w:t>6.22 Energjia</w:t>
      </w:r>
      <w:r w:rsidRPr="00A6284F">
        <w:rPr>
          <w:rFonts w:eastAsia="Times New Roman"/>
          <w:color w:val="000000"/>
          <w:sz w:val="24"/>
          <w:lang w:val="sq-AL"/>
        </w:rPr>
        <w:tab/>
        <w:t>81</w:t>
      </w:r>
    </w:p>
    <w:p w:rsidR="00303676" w:rsidRPr="00A6284F" w:rsidRDefault="00303676" w:rsidP="00303676">
      <w:pPr>
        <w:tabs>
          <w:tab w:val="left" w:pos="792"/>
          <w:tab w:val="right" w:pos="9288"/>
        </w:tabs>
        <w:spacing w:before="120" w:line="274" w:lineRule="exact"/>
        <w:jc w:val="both"/>
        <w:textAlignment w:val="baseline"/>
        <w:rPr>
          <w:rFonts w:eastAsia="Times New Roman"/>
          <w:color w:val="000000"/>
          <w:sz w:val="24"/>
          <w:lang w:val="sq-AL"/>
        </w:rPr>
      </w:pPr>
      <w:r w:rsidRPr="00A6284F">
        <w:rPr>
          <w:rFonts w:eastAsia="Times New Roman"/>
          <w:color w:val="000000"/>
          <w:sz w:val="24"/>
          <w:lang w:val="sq-AL"/>
        </w:rPr>
        <w:t>6.23</w:t>
      </w:r>
      <w:r w:rsidRPr="00A6284F">
        <w:rPr>
          <w:rFonts w:eastAsia="Times New Roman"/>
          <w:color w:val="000000"/>
          <w:sz w:val="24"/>
          <w:lang w:val="sq-AL"/>
        </w:rPr>
        <w:tab/>
        <w:t>Rrjetet Trans-Evropiane</w:t>
      </w:r>
      <w:r w:rsidRPr="00A6284F">
        <w:rPr>
          <w:rFonts w:eastAsia="Times New Roman"/>
          <w:color w:val="000000"/>
          <w:sz w:val="24"/>
          <w:lang w:val="sq-AL"/>
        </w:rPr>
        <w:tab/>
        <w:t>83</w:t>
      </w:r>
    </w:p>
    <w:p w:rsidR="00303676" w:rsidRPr="00A6284F" w:rsidRDefault="00303676" w:rsidP="00303676">
      <w:pPr>
        <w:tabs>
          <w:tab w:val="left" w:pos="792"/>
          <w:tab w:val="right" w:pos="9288"/>
        </w:tabs>
        <w:spacing w:before="124" w:line="274" w:lineRule="exact"/>
        <w:jc w:val="both"/>
        <w:textAlignment w:val="baseline"/>
        <w:rPr>
          <w:rFonts w:eastAsia="Times New Roman"/>
          <w:color w:val="000000"/>
          <w:sz w:val="24"/>
          <w:lang w:val="sq-AL"/>
        </w:rPr>
      </w:pPr>
      <w:r w:rsidRPr="00A6284F">
        <w:rPr>
          <w:rFonts w:eastAsia="Times New Roman"/>
          <w:color w:val="000000"/>
          <w:sz w:val="24"/>
          <w:lang w:val="sq-AL"/>
        </w:rPr>
        <w:t>6.24</w:t>
      </w:r>
      <w:r w:rsidRPr="00A6284F">
        <w:rPr>
          <w:rFonts w:eastAsia="Times New Roman"/>
          <w:color w:val="000000"/>
          <w:sz w:val="24"/>
          <w:lang w:val="sq-AL"/>
        </w:rPr>
        <w:tab/>
        <w:t>Shoqëria e informacionit dhe mediat.</w:t>
      </w:r>
      <w:r w:rsidRPr="00A6284F">
        <w:rPr>
          <w:rFonts w:eastAsia="Times New Roman"/>
          <w:color w:val="000000"/>
          <w:sz w:val="24"/>
          <w:lang w:val="sq-AL"/>
        </w:rPr>
        <w:tab/>
        <w:t>84</w:t>
      </w:r>
    </w:p>
    <w:p w:rsidR="00303676" w:rsidRPr="00A6284F" w:rsidRDefault="00303676" w:rsidP="00303676">
      <w:pPr>
        <w:tabs>
          <w:tab w:val="left" w:pos="792"/>
          <w:tab w:val="right" w:pos="9288"/>
        </w:tabs>
        <w:spacing w:before="120" w:line="274" w:lineRule="exact"/>
        <w:jc w:val="both"/>
        <w:textAlignment w:val="baseline"/>
        <w:rPr>
          <w:rFonts w:eastAsia="Times New Roman"/>
          <w:color w:val="000000"/>
          <w:sz w:val="24"/>
          <w:lang w:val="sq-AL"/>
        </w:rPr>
      </w:pPr>
      <w:r w:rsidRPr="00A6284F">
        <w:rPr>
          <w:rFonts w:eastAsia="Times New Roman"/>
          <w:color w:val="000000"/>
          <w:sz w:val="24"/>
          <w:lang w:val="sq-AL"/>
        </w:rPr>
        <w:t>6.25</w:t>
      </w:r>
      <w:r w:rsidRPr="00A6284F">
        <w:rPr>
          <w:rFonts w:eastAsia="Times New Roman"/>
          <w:color w:val="000000"/>
          <w:sz w:val="24"/>
          <w:lang w:val="sq-AL"/>
        </w:rPr>
        <w:tab/>
        <w:t>Kontrolli financiar</w:t>
      </w:r>
      <w:r w:rsidRPr="00A6284F">
        <w:rPr>
          <w:rFonts w:eastAsia="Times New Roman"/>
          <w:color w:val="000000"/>
          <w:sz w:val="24"/>
          <w:lang w:val="sq-AL"/>
        </w:rPr>
        <w:tab/>
        <w:t>85</w:t>
      </w:r>
    </w:p>
    <w:p w:rsidR="00303676" w:rsidRPr="00A6284F" w:rsidRDefault="00303676" w:rsidP="00303676">
      <w:pPr>
        <w:tabs>
          <w:tab w:val="left" w:pos="792"/>
          <w:tab w:val="right" w:pos="9288"/>
        </w:tabs>
        <w:spacing w:before="124" w:line="274" w:lineRule="exact"/>
        <w:jc w:val="both"/>
        <w:textAlignment w:val="baseline"/>
        <w:rPr>
          <w:rFonts w:eastAsia="Times New Roman"/>
          <w:color w:val="000000"/>
          <w:sz w:val="24"/>
          <w:lang w:val="sq-AL"/>
        </w:rPr>
      </w:pPr>
      <w:r w:rsidRPr="00A6284F">
        <w:rPr>
          <w:rFonts w:eastAsia="Times New Roman"/>
          <w:color w:val="000000"/>
          <w:sz w:val="24"/>
          <w:lang w:val="sq-AL"/>
        </w:rPr>
        <w:t>6.26</w:t>
      </w:r>
      <w:r w:rsidRPr="00A6284F">
        <w:rPr>
          <w:rFonts w:eastAsia="Times New Roman"/>
          <w:color w:val="000000"/>
          <w:sz w:val="24"/>
          <w:lang w:val="sq-AL"/>
        </w:rPr>
        <w:tab/>
        <w:t>Statistikat</w:t>
      </w:r>
      <w:r w:rsidRPr="00A6284F">
        <w:rPr>
          <w:rFonts w:eastAsia="Times New Roman"/>
          <w:color w:val="000000"/>
          <w:sz w:val="24"/>
          <w:lang w:val="sq-AL"/>
        </w:rPr>
        <w:tab/>
        <w:t>87</w:t>
      </w:r>
    </w:p>
    <w:p w:rsidR="00303676" w:rsidRPr="00A6284F" w:rsidRDefault="00303676" w:rsidP="00303676">
      <w:pPr>
        <w:tabs>
          <w:tab w:val="right" w:pos="9288"/>
        </w:tabs>
        <w:spacing w:before="120" w:line="274" w:lineRule="exact"/>
        <w:jc w:val="both"/>
        <w:textAlignment w:val="baseline"/>
        <w:rPr>
          <w:rFonts w:eastAsia="Times New Roman"/>
          <w:color w:val="000000"/>
          <w:sz w:val="24"/>
          <w:lang w:val="sq-AL"/>
        </w:rPr>
      </w:pPr>
      <w:r w:rsidRPr="00A6284F">
        <w:rPr>
          <w:rFonts w:eastAsia="Times New Roman"/>
          <w:color w:val="000000"/>
          <w:sz w:val="24"/>
          <w:lang w:val="sq-AL"/>
        </w:rPr>
        <w:t>SHTOJCA I - MARRËDHËNIET MES BE-SË DHE KOSOVËS</w:t>
      </w:r>
      <w:r w:rsidRPr="00A6284F">
        <w:rPr>
          <w:rFonts w:eastAsia="Times New Roman"/>
          <w:color w:val="000000"/>
          <w:sz w:val="24"/>
          <w:lang w:val="sq-AL"/>
        </w:rPr>
        <w:tab/>
        <w:t>90</w:t>
      </w:r>
    </w:p>
    <w:p w:rsidR="00303676" w:rsidRPr="00A6284F" w:rsidRDefault="00303676" w:rsidP="00303676">
      <w:pPr>
        <w:tabs>
          <w:tab w:val="right" w:pos="9288"/>
        </w:tabs>
        <w:spacing w:before="62" w:after="10396" w:line="274" w:lineRule="exact"/>
        <w:jc w:val="both"/>
        <w:textAlignment w:val="baseline"/>
        <w:rPr>
          <w:rFonts w:eastAsia="Times New Roman"/>
          <w:color w:val="000000"/>
          <w:sz w:val="24"/>
          <w:lang w:val="sq-AL"/>
        </w:rPr>
      </w:pPr>
      <w:r w:rsidRPr="00A6284F">
        <w:rPr>
          <w:rFonts w:eastAsia="Times New Roman"/>
          <w:color w:val="000000"/>
          <w:sz w:val="24"/>
          <w:lang w:val="sq-AL"/>
        </w:rPr>
        <w:t>SHTOJCA II - ANEKSI STATISTIKOR</w:t>
      </w:r>
      <w:r w:rsidRPr="00A6284F">
        <w:rPr>
          <w:rFonts w:eastAsia="Times New Roman"/>
          <w:color w:val="000000"/>
          <w:sz w:val="24"/>
          <w:lang w:val="sq-AL"/>
        </w:rPr>
        <w:tab/>
        <w:t>92</w:t>
      </w:r>
    </w:p>
    <w:p w:rsidR="00303676" w:rsidRPr="00A6284F" w:rsidRDefault="00303676" w:rsidP="00303676">
      <w:pPr>
        <w:spacing w:before="62" w:after="10396" w:line="274" w:lineRule="exact"/>
        <w:rPr>
          <w:lang w:val="sq-AL"/>
        </w:rPr>
        <w:sectPr w:rsidR="00303676" w:rsidRPr="00A6284F">
          <w:pgSz w:w="11909" w:h="16838"/>
          <w:pgMar w:top="1300" w:right="1133" w:bottom="562" w:left="1416" w:header="720" w:footer="720" w:gutter="0"/>
          <w:cols w:space="720"/>
        </w:sectPr>
      </w:pPr>
    </w:p>
    <w:p w:rsidR="00303676" w:rsidRPr="00A6284F" w:rsidRDefault="00303676" w:rsidP="00303676">
      <w:pPr>
        <w:spacing w:before="13" w:line="249" w:lineRule="exact"/>
        <w:jc w:val="center"/>
        <w:textAlignment w:val="baseline"/>
        <w:rPr>
          <w:rFonts w:eastAsia="Times New Roman"/>
          <w:color w:val="000000"/>
          <w:lang w:val="sq-AL"/>
        </w:rPr>
      </w:pPr>
      <w:r w:rsidRPr="00A6284F">
        <w:rPr>
          <w:rFonts w:eastAsia="Times New Roman"/>
          <w:color w:val="000000"/>
          <w:lang w:val="sq-AL"/>
        </w:rPr>
        <w:lastRenderedPageBreak/>
        <w:t>2</w:t>
      </w:r>
    </w:p>
    <w:p w:rsidR="00303676" w:rsidRPr="00A6284F" w:rsidRDefault="00303676" w:rsidP="00303676">
      <w:pPr>
        <w:rPr>
          <w:lang w:val="sq-AL"/>
        </w:rPr>
        <w:sectPr w:rsidR="00303676" w:rsidRPr="00A6284F">
          <w:type w:val="continuous"/>
          <w:pgSz w:w="11909" w:h="16838"/>
          <w:pgMar w:top="1300" w:right="5831" w:bottom="562" w:left="5818" w:header="720" w:footer="720" w:gutter="0"/>
          <w:cols w:space="720"/>
        </w:sectPr>
      </w:pPr>
    </w:p>
    <w:p w:rsidR="00303676" w:rsidRPr="00A6284F" w:rsidRDefault="00303676" w:rsidP="00303676">
      <w:pPr>
        <w:tabs>
          <w:tab w:val="decimal" w:pos="288"/>
          <w:tab w:val="left" w:pos="792"/>
        </w:tabs>
        <w:spacing w:before="6" w:line="274" w:lineRule="exact"/>
        <w:ind w:left="144"/>
        <w:textAlignment w:val="baseline"/>
        <w:rPr>
          <w:rFonts w:eastAsia="Times New Roman"/>
          <w:b/>
          <w:color w:val="000000"/>
          <w:sz w:val="24"/>
          <w:lang w:val="sq-AL"/>
        </w:rPr>
      </w:pPr>
      <w:r w:rsidRPr="00A6284F">
        <w:rPr>
          <w:rFonts w:eastAsia="Times New Roman"/>
          <w:b/>
          <w:color w:val="000000"/>
          <w:sz w:val="24"/>
          <w:lang w:val="sq-AL"/>
        </w:rPr>
        <w:lastRenderedPageBreak/>
        <w:tab/>
        <w:t>1.</w:t>
      </w:r>
      <w:r w:rsidRPr="00A6284F">
        <w:rPr>
          <w:rFonts w:eastAsia="Times New Roman"/>
          <w:b/>
          <w:color w:val="000000"/>
          <w:sz w:val="24"/>
          <w:lang w:val="sq-AL"/>
        </w:rPr>
        <w:tab/>
        <w:t xml:space="preserve">Hyrje </w:t>
      </w:r>
    </w:p>
    <w:p w:rsidR="00303676" w:rsidRPr="00A6284F" w:rsidRDefault="00303676" w:rsidP="00303676">
      <w:pPr>
        <w:spacing w:before="124" w:line="274" w:lineRule="exact"/>
        <w:ind w:left="144"/>
        <w:textAlignment w:val="baseline"/>
        <w:rPr>
          <w:rFonts w:eastAsia="Times New Roman"/>
          <w:b/>
          <w:color w:val="000000"/>
          <w:spacing w:val="22"/>
          <w:sz w:val="24"/>
          <w:lang w:val="sq-AL"/>
        </w:rPr>
      </w:pPr>
      <w:r w:rsidRPr="00A6284F">
        <w:rPr>
          <w:rFonts w:eastAsia="Times New Roman"/>
          <w:b/>
          <w:color w:val="000000"/>
          <w:spacing w:val="22"/>
          <w:sz w:val="24"/>
          <w:lang w:val="sq-AL"/>
        </w:rPr>
        <w:t>1.1. Konteksti</w:t>
      </w:r>
    </w:p>
    <w:p w:rsidR="00303676" w:rsidRPr="00A6284F" w:rsidRDefault="00303676" w:rsidP="00303676">
      <w:pPr>
        <w:spacing w:before="11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Marrëveshja </w:t>
      </w:r>
      <w:r w:rsidR="00D65F7E" w:rsidRPr="00A6284F">
        <w:rPr>
          <w:rFonts w:eastAsia="Times New Roman"/>
          <w:color w:val="000000"/>
          <w:sz w:val="24"/>
          <w:lang w:val="sq-AL"/>
        </w:rPr>
        <w:t>për</w:t>
      </w:r>
      <w:r w:rsidRPr="00A6284F">
        <w:rPr>
          <w:rFonts w:eastAsia="Times New Roman"/>
          <w:color w:val="000000"/>
          <w:sz w:val="24"/>
          <w:lang w:val="sq-AL"/>
        </w:rPr>
        <w:t xml:space="preserve"> Stabilizim </w:t>
      </w:r>
      <w:proofErr w:type="spellStart"/>
      <w:r w:rsidRPr="00A6284F">
        <w:rPr>
          <w:rFonts w:eastAsia="Times New Roman"/>
          <w:color w:val="000000"/>
          <w:sz w:val="24"/>
          <w:lang w:val="sq-AL"/>
        </w:rPr>
        <w:t>Asociim</w:t>
      </w:r>
      <w:proofErr w:type="spellEnd"/>
      <w:r w:rsidRPr="00A6284F">
        <w:rPr>
          <w:rFonts w:eastAsia="Times New Roman"/>
          <w:color w:val="000000"/>
          <w:sz w:val="24"/>
          <w:lang w:val="sq-AL"/>
        </w:rPr>
        <w:t xml:space="preserve"> (MSA) </w:t>
      </w:r>
      <w:r w:rsidR="00932EC7" w:rsidRPr="00A6284F">
        <w:rPr>
          <w:rFonts w:eastAsia="Times New Roman"/>
          <w:color w:val="000000"/>
          <w:sz w:val="24"/>
          <w:lang w:val="sq-AL"/>
        </w:rPr>
        <w:t xml:space="preserve">BE-Kosovë </w:t>
      </w:r>
      <w:r w:rsidRPr="00A6284F">
        <w:rPr>
          <w:rFonts w:eastAsia="Times New Roman"/>
          <w:color w:val="000000"/>
          <w:sz w:val="24"/>
          <w:lang w:val="sq-AL"/>
        </w:rPr>
        <w:t>është në fuqi që nga prilli i vitit 2016. Agjenda për Reforma Evropiane (ERA), e nisur nga BE</w:t>
      </w:r>
      <w:r w:rsidR="00932EC7" w:rsidRPr="00A6284F">
        <w:rPr>
          <w:rFonts w:eastAsia="Times New Roman"/>
          <w:color w:val="000000"/>
          <w:sz w:val="24"/>
          <w:lang w:val="sq-AL"/>
        </w:rPr>
        <w:t>-ja</w:t>
      </w:r>
      <w:r w:rsidRPr="00A6284F">
        <w:rPr>
          <w:rFonts w:eastAsia="Times New Roman"/>
          <w:color w:val="000000"/>
          <w:sz w:val="24"/>
          <w:lang w:val="sq-AL"/>
        </w:rPr>
        <w:t xml:space="preserve"> dhe</w:t>
      </w:r>
      <w:r w:rsidR="00D65F7E" w:rsidRPr="00A6284F">
        <w:rPr>
          <w:rFonts w:eastAsia="Times New Roman"/>
          <w:color w:val="000000"/>
          <w:sz w:val="24"/>
          <w:lang w:val="sq-AL"/>
        </w:rPr>
        <w:t xml:space="preserve"> Kosova në nëntor të vitit 2016</w:t>
      </w:r>
      <w:r w:rsidRPr="00A6284F">
        <w:rPr>
          <w:rFonts w:eastAsia="Times New Roman"/>
          <w:color w:val="000000"/>
          <w:sz w:val="24"/>
          <w:lang w:val="sq-AL"/>
        </w:rPr>
        <w:t xml:space="preserve"> ka vazhduar të shërbejë si mjet i dobishëm për udhëheq</w:t>
      </w:r>
      <w:r w:rsidR="00932EC7" w:rsidRPr="00A6284F">
        <w:rPr>
          <w:rFonts w:eastAsia="Times New Roman"/>
          <w:color w:val="000000"/>
          <w:sz w:val="24"/>
          <w:lang w:val="sq-AL"/>
        </w:rPr>
        <w:t xml:space="preserve">jen e </w:t>
      </w:r>
      <w:r w:rsidRPr="00A6284F">
        <w:rPr>
          <w:rFonts w:eastAsia="Times New Roman"/>
          <w:color w:val="000000"/>
          <w:sz w:val="24"/>
          <w:lang w:val="sq-AL"/>
        </w:rPr>
        <w:t>zbatimi</w:t>
      </w:r>
      <w:r w:rsidR="00932EC7" w:rsidRPr="00A6284F">
        <w:rPr>
          <w:rFonts w:eastAsia="Times New Roman"/>
          <w:color w:val="000000"/>
          <w:sz w:val="24"/>
          <w:lang w:val="sq-AL"/>
        </w:rPr>
        <w:t>t</w:t>
      </w:r>
      <w:r w:rsidRPr="00A6284F">
        <w:rPr>
          <w:rFonts w:eastAsia="Times New Roman"/>
          <w:color w:val="000000"/>
          <w:sz w:val="24"/>
          <w:lang w:val="sq-AL"/>
        </w:rPr>
        <w:t xml:space="preserve"> </w:t>
      </w:r>
      <w:r w:rsidR="00932EC7" w:rsidRPr="00A6284F">
        <w:rPr>
          <w:rFonts w:eastAsia="Times New Roman"/>
          <w:color w:val="000000"/>
          <w:sz w:val="24"/>
          <w:lang w:val="sq-AL"/>
        </w:rPr>
        <w:t xml:space="preserve">të </w:t>
      </w:r>
      <w:r w:rsidRPr="00A6284F">
        <w:rPr>
          <w:rFonts w:eastAsia="Times New Roman"/>
          <w:color w:val="000000"/>
          <w:sz w:val="24"/>
          <w:lang w:val="sq-AL"/>
        </w:rPr>
        <w:t>reformave të ndërlidhura me BE në kontekstin e MSA-së.</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korrik të vitit 2018, Komisioni konfirmoi se Kosova ka përmbushur të gjitha kriteret për liberalizimin e vizave të miratuara nga Këshilli. Në mars të vitit 2019, Parlamenti Evropian mbështeti propozimin e Komisionit për liberalizimin e vizave në lexim </w:t>
      </w:r>
      <w:r w:rsidR="00D65F7E" w:rsidRPr="00A6284F">
        <w:rPr>
          <w:rFonts w:eastAsia="Times New Roman"/>
          <w:color w:val="000000"/>
          <w:sz w:val="24"/>
          <w:lang w:val="sq-AL"/>
        </w:rPr>
        <w:t xml:space="preserve">të </w:t>
      </w:r>
      <w:r w:rsidRPr="00A6284F">
        <w:rPr>
          <w:rFonts w:eastAsia="Times New Roman"/>
          <w:color w:val="000000"/>
          <w:sz w:val="24"/>
          <w:lang w:val="sq-AL"/>
        </w:rPr>
        <w:t>parë</w:t>
      </w:r>
      <w:r w:rsidR="00D65F7E" w:rsidRPr="00A6284F">
        <w:rPr>
          <w:rFonts w:eastAsia="Times New Roman"/>
          <w:color w:val="000000"/>
          <w:sz w:val="24"/>
          <w:lang w:val="sq-AL"/>
        </w:rPr>
        <w:t xml:space="preserve"> të tyre</w:t>
      </w:r>
      <w:r w:rsidRPr="00A6284F">
        <w:rPr>
          <w:rFonts w:eastAsia="Times New Roman"/>
          <w:color w:val="000000"/>
          <w:sz w:val="24"/>
          <w:lang w:val="sq-AL"/>
        </w:rPr>
        <w:t>. Propozimi është në pritje në Këshill dhe duhet të trajtohet si çështje urgjente.</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Konteksti i përgjithshëm politik i brendshëm u dëshmua të jetë sfidues gjatë periudhës raportuese. Në nëntor të vitit 2018, </w:t>
      </w:r>
      <w:r w:rsidR="00932EC7" w:rsidRPr="00A6284F">
        <w:rPr>
          <w:rFonts w:eastAsia="Times New Roman"/>
          <w:color w:val="000000"/>
          <w:sz w:val="24"/>
          <w:lang w:val="sq-AL"/>
        </w:rPr>
        <w:t>Q</w:t>
      </w:r>
      <w:r w:rsidRPr="00A6284F">
        <w:rPr>
          <w:rFonts w:eastAsia="Times New Roman"/>
          <w:color w:val="000000"/>
          <w:sz w:val="24"/>
          <w:lang w:val="sq-AL"/>
        </w:rPr>
        <w:t xml:space="preserve">everia e Kosovës </w:t>
      </w:r>
      <w:r w:rsidR="00932EC7" w:rsidRPr="00A6284F">
        <w:rPr>
          <w:rFonts w:eastAsia="Times New Roman"/>
          <w:color w:val="000000"/>
          <w:sz w:val="24"/>
          <w:lang w:val="sq-AL"/>
        </w:rPr>
        <w:t xml:space="preserve">e </w:t>
      </w:r>
      <w:r w:rsidRPr="00A6284F">
        <w:rPr>
          <w:rFonts w:eastAsia="Times New Roman"/>
          <w:color w:val="000000"/>
          <w:sz w:val="24"/>
          <w:lang w:val="sq-AL"/>
        </w:rPr>
        <w:t xml:space="preserve">vendosi taksën 100% për importet nga Serbia dhe Bosnja dhe Hercegovina për arsye politike dhe ekonomike. Kjo masë ekonomikisht </w:t>
      </w:r>
      <w:proofErr w:type="spellStart"/>
      <w:r w:rsidRPr="00A6284F">
        <w:rPr>
          <w:rFonts w:eastAsia="Times New Roman"/>
          <w:color w:val="000000"/>
          <w:sz w:val="24"/>
          <w:lang w:val="sq-AL"/>
        </w:rPr>
        <w:t>kundërproduktive</w:t>
      </w:r>
      <w:proofErr w:type="spellEnd"/>
      <w:r w:rsidRPr="00A6284F">
        <w:rPr>
          <w:rFonts w:eastAsia="Times New Roman"/>
          <w:color w:val="000000"/>
          <w:sz w:val="24"/>
          <w:lang w:val="sq-AL"/>
        </w:rPr>
        <w:t xml:space="preserve"> e shkel Marrëveshjen e Tregtisë së Lirë të Evropës Qendrore (CEFTA) dhe nuk është në frymën e MSA-së. Ajo ka dëmtuar përpjekjet e suksesshme për bashkëpunim rajonal, sidomos për krijimin e një zone ekonomike rajonale (REA), dhe si e tillë duhet të revokohet.</w:t>
      </w:r>
    </w:p>
    <w:p w:rsidR="00303676" w:rsidRPr="00A6284F" w:rsidRDefault="00303676" w:rsidP="00303676">
      <w:pPr>
        <w:tabs>
          <w:tab w:val="decimal" w:pos="288"/>
          <w:tab w:val="left" w:pos="792"/>
        </w:tabs>
        <w:spacing w:before="117" w:line="279" w:lineRule="exact"/>
        <w:ind w:left="144"/>
        <w:textAlignment w:val="baseline"/>
        <w:rPr>
          <w:rFonts w:eastAsia="Times New Roman"/>
          <w:b/>
          <w:color w:val="000000"/>
          <w:spacing w:val="-1"/>
          <w:sz w:val="24"/>
          <w:lang w:val="sq-AL"/>
        </w:rPr>
      </w:pPr>
      <w:r w:rsidRPr="00A6284F">
        <w:rPr>
          <w:rFonts w:eastAsia="Times New Roman"/>
          <w:b/>
          <w:color w:val="000000"/>
          <w:spacing w:val="-1"/>
          <w:sz w:val="24"/>
          <w:lang w:val="sq-AL"/>
        </w:rPr>
        <w:tab/>
        <w:t>1.2</w:t>
      </w:r>
      <w:r w:rsidRPr="00A6284F">
        <w:rPr>
          <w:rFonts w:eastAsia="Times New Roman"/>
          <w:b/>
          <w:color w:val="000000"/>
          <w:spacing w:val="-1"/>
          <w:sz w:val="24"/>
          <w:lang w:val="sq-AL"/>
        </w:rPr>
        <w:tab/>
        <w:t xml:space="preserve">Përmbledhje e Raportit </w:t>
      </w:r>
      <w:r w:rsidRPr="00A6284F">
        <w:rPr>
          <w:rStyle w:val="FootnoteReference"/>
          <w:rFonts w:eastAsia="Times New Roman"/>
          <w:b/>
          <w:color w:val="000000"/>
          <w:spacing w:val="-1"/>
          <w:sz w:val="24"/>
          <w:lang w:val="sq-AL"/>
        </w:rPr>
        <w:footnoteReference w:id="1"/>
      </w:r>
    </w:p>
    <w:p w:rsidR="00303676" w:rsidRPr="00A6284F" w:rsidRDefault="00303676" w:rsidP="00303676">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kritereve politike, Kosova ka shënuar progres në zbatimin e disa reformave kyçe të lidhura me BE, veçanërisht në përmirësimin e kornizës  ligjore në fushat e sundimit të ligjit dhe administratës publike. Megjithatë, një numër i masave dhe vendimeve </w:t>
      </w:r>
      <w:proofErr w:type="spellStart"/>
      <w:r w:rsidRPr="00A6284F">
        <w:rPr>
          <w:rFonts w:eastAsia="Times New Roman"/>
          <w:i/>
          <w:color w:val="000000"/>
          <w:sz w:val="24"/>
          <w:lang w:val="sq-AL"/>
        </w:rPr>
        <w:t>ad</w:t>
      </w:r>
      <w:proofErr w:type="spellEnd"/>
      <w:r w:rsidRPr="00A6284F">
        <w:rPr>
          <w:rFonts w:eastAsia="Times New Roman"/>
          <w:i/>
          <w:color w:val="000000"/>
          <w:sz w:val="24"/>
          <w:lang w:val="sq-AL"/>
        </w:rPr>
        <w:t xml:space="preserve"> </w:t>
      </w:r>
      <w:proofErr w:type="spellStart"/>
      <w:r w:rsidRPr="00A6284F">
        <w:rPr>
          <w:rFonts w:eastAsia="Times New Roman"/>
          <w:i/>
          <w:color w:val="000000"/>
          <w:sz w:val="24"/>
          <w:lang w:val="sq-AL"/>
        </w:rPr>
        <w:t>hoc</w:t>
      </w:r>
      <w:proofErr w:type="spellEnd"/>
      <w:r w:rsidRPr="00A6284F">
        <w:rPr>
          <w:rFonts w:eastAsia="Times New Roman"/>
          <w:color w:val="000000"/>
          <w:sz w:val="24"/>
          <w:lang w:val="sq-AL"/>
        </w:rPr>
        <w:t xml:space="preserve"> nuk ishin në përputhje me objektivat e deklaruara të reformës të qeverisë. Madhësia e qeverisë, përfshirë këtu edhe rritjen e mëtejshme të numrit të zëvendësministrave, ka vazhduar të ndikojë në </w:t>
      </w:r>
      <w:proofErr w:type="spellStart"/>
      <w:r w:rsidRPr="00A6284F">
        <w:rPr>
          <w:rFonts w:eastAsia="Times New Roman"/>
          <w:color w:val="000000"/>
          <w:sz w:val="24"/>
          <w:lang w:val="sq-AL"/>
        </w:rPr>
        <w:t>kredibilitetin</w:t>
      </w:r>
      <w:proofErr w:type="spellEnd"/>
      <w:r w:rsidRPr="00A6284F">
        <w:rPr>
          <w:rFonts w:eastAsia="Times New Roman"/>
          <w:color w:val="000000"/>
          <w:sz w:val="24"/>
          <w:lang w:val="sq-AL"/>
        </w:rPr>
        <w:t xml:space="preserve"> dhe efektivitetin e saj.</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Kuvendi ka arritur të ketë shumicën për disa çështje strategjike kryesore për Kosovën, siç edhe është demonstruar me ratifikimin e marrëveshjes për </w:t>
      </w:r>
      <w:proofErr w:type="spellStart"/>
      <w:r w:rsidRPr="00A6284F">
        <w:rPr>
          <w:rFonts w:eastAsia="Times New Roman"/>
          <w:color w:val="000000"/>
          <w:sz w:val="24"/>
          <w:lang w:val="sq-AL"/>
        </w:rPr>
        <w:t>demarkimin</w:t>
      </w:r>
      <w:proofErr w:type="spellEnd"/>
      <w:r w:rsidRPr="00A6284F">
        <w:rPr>
          <w:rFonts w:eastAsia="Times New Roman"/>
          <w:color w:val="000000"/>
          <w:sz w:val="24"/>
          <w:lang w:val="sq-AL"/>
        </w:rPr>
        <w:t xml:space="preserve"> e kufirit/kufirit administrativ me Malin e Zi dhe miratimin e reformave të rëndësishme legjislative në lidhje me BE-në. Megjithatë, Kuvendi ka vazhd</w:t>
      </w:r>
      <w:r w:rsidR="00D033C8" w:rsidRPr="00A6284F">
        <w:rPr>
          <w:rFonts w:eastAsia="Times New Roman"/>
          <w:color w:val="000000"/>
          <w:sz w:val="24"/>
          <w:lang w:val="sq-AL"/>
        </w:rPr>
        <w:t>uar</w:t>
      </w:r>
      <w:r w:rsidRPr="00A6284F">
        <w:rPr>
          <w:rFonts w:eastAsia="Times New Roman"/>
          <w:color w:val="000000"/>
          <w:sz w:val="24"/>
          <w:lang w:val="sq-AL"/>
        </w:rPr>
        <w:t xml:space="preserve"> funksionimin në një kontekst politik shumë të polarizuar, dhe kësisoj kanë vazhduar të jenë të pranishme dobësitë e funksionimit të tij të përgjithshëm, siç dëshmohet edhe nga mungesa e vazhdueshme e kuorumit, duke rezultuar me vonesa në veprimtarinë legjislative.</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Ka pasur progres të limituar në adresimin e gjetjeve dhe rekomandimeve të Misionit të BE-së për vëzhgimin e zgjedhjeve parlamentare dhe komunale të mbajtura në vitin 2017.</w:t>
      </w:r>
    </w:p>
    <w:p w:rsidR="00303676" w:rsidRPr="00A6284F" w:rsidRDefault="00303676" w:rsidP="00303676">
      <w:pPr>
        <w:spacing w:before="122" w:line="276" w:lineRule="exact"/>
        <w:ind w:left="144"/>
        <w:textAlignment w:val="baseline"/>
        <w:rPr>
          <w:rFonts w:eastAsia="Times New Roman"/>
          <w:color w:val="000000"/>
          <w:sz w:val="24"/>
          <w:lang w:val="sq-AL"/>
        </w:rPr>
      </w:pPr>
      <w:r w:rsidRPr="00A6284F">
        <w:rPr>
          <w:rFonts w:eastAsia="Times New Roman"/>
          <w:color w:val="000000"/>
          <w:sz w:val="24"/>
          <w:lang w:val="sq-AL"/>
        </w:rPr>
        <w:t>Situata në veri të Kosovës mbetet veçanërisht sfiduese.</w:t>
      </w:r>
    </w:p>
    <w:p w:rsidR="00303676" w:rsidRPr="00A6284F" w:rsidRDefault="00303676" w:rsidP="00303676">
      <w:pPr>
        <w:spacing w:before="120" w:after="39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Ekziston një nivel i përgatitjeve në fushën e </w:t>
      </w:r>
      <w:r w:rsidRPr="00A6284F">
        <w:rPr>
          <w:rFonts w:eastAsia="Times New Roman"/>
          <w:b/>
          <w:color w:val="000000"/>
          <w:sz w:val="24"/>
          <w:lang w:val="sq-AL"/>
        </w:rPr>
        <w:t>reformës së administratës publike</w:t>
      </w:r>
      <w:r w:rsidRPr="00A6284F">
        <w:rPr>
          <w:rFonts w:eastAsia="Times New Roman"/>
          <w:color w:val="000000"/>
          <w:sz w:val="24"/>
          <w:lang w:val="sq-AL"/>
        </w:rPr>
        <w:t xml:space="preserve">. Gjatë periudhës raportuese, është bërë një përparim i përgjithshëm, megjithatë nevojiten përpjekje serioze për të trajtuar ndikimin politik në rekrutimin e shërbyesve të lartë civilë. Ka pasur progres </w:t>
      </w:r>
      <w:r w:rsidR="006C7CCA" w:rsidRPr="00A6284F">
        <w:rPr>
          <w:rFonts w:eastAsia="Times New Roman"/>
          <w:color w:val="000000"/>
          <w:sz w:val="24"/>
          <w:lang w:val="sq-AL"/>
        </w:rPr>
        <w:t xml:space="preserve">në </w:t>
      </w:r>
      <w:r w:rsidRPr="00A6284F">
        <w:rPr>
          <w:rFonts w:eastAsia="Times New Roman"/>
          <w:color w:val="000000"/>
          <w:sz w:val="24"/>
          <w:lang w:val="sq-AL"/>
        </w:rPr>
        <w:t xml:space="preserve">miratimin e </w:t>
      </w:r>
      <w:r w:rsidR="00D033C8" w:rsidRPr="00A6284F">
        <w:rPr>
          <w:rFonts w:eastAsia="Times New Roman"/>
          <w:color w:val="000000"/>
          <w:sz w:val="24"/>
          <w:lang w:val="sq-AL"/>
        </w:rPr>
        <w:t>pakos</w:t>
      </w:r>
      <w:r w:rsidRPr="00A6284F">
        <w:rPr>
          <w:rFonts w:eastAsia="Times New Roman"/>
          <w:color w:val="000000"/>
          <w:sz w:val="24"/>
          <w:lang w:val="sq-AL"/>
        </w:rPr>
        <w:t xml:space="preserve"> së ligjeve për funksionimin dhe organizimin e administratës publike, zyrtarët publikë dhe pagat. Arritje</w:t>
      </w:r>
      <w:r w:rsidR="006C7CCA" w:rsidRPr="00A6284F">
        <w:rPr>
          <w:rFonts w:eastAsia="Times New Roman"/>
          <w:color w:val="000000"/>
          <w:sz w:val="24"/>
          <w:lang w:val="sq-AL"/>
        </w:rPr>
        <w:t>t</w:t>
      </w:r>
      <w:r w:rsidRPr="00A6284F">
        <w:rPr>
          <w:rFonts w:eastAsia="Times New Roman"/>
          <w:color w:val="000000"/>
          <w:sz w:val="24"/>
          <w:lang w:val="sq-AL"/>
        </w:rPr>
        <w:t xml:space="preserve"> </w:t>
      </w:r>
      <w:r w:rsidR="006C7CCA" w:rsidRPr="00A6284F">
        <w:rPr>
          <w:rFonts w:eastAsia="Times New Roman"/>
          <w:color w:val="000000"/>
          <w:sz w:val="24"/>
          <w:lang w:val="sq-AL"/>
        </w:rPr>
        <w:t>e</w:t>
      </w:r>
      <w:r w:rsidRPr="00A6284F">
        <w:rPr>
          <w:rFonts w:eastAsia="Times New Roman"/>
          <w:color w:val="000000"/>
          <w:sz w:val="24"/>
          <w:lang w:val="sq-AL"/>
        </w:rPr>
        <w:t xml:space="preserve"> tjera përfshijnë </w:t>
      </w:r>
      <w:r w:rsidR="006C7CCA" w:rsidRPr="00A6284F">
        <w:rPr>
          <w:rFonts w:eastAsia="Times New Roman"/>
          <w:color w:val="000000"/>
          <w:sz w:val="24"/>
          <w:lang w:val="sq-AL"/>
        </w:rPr>
        <w:t xml:space="preserve">edhe </w:t>
      </w:r>
      <w:r w:rsidRPr="00A6284F">
        <w:rPr>
          <w:rFonts w:eastAsia="Times New Roman"/>
          <w:color w:val="000000"/>
          <w:sz w:val="24"/>
          <w:lang w:val="sq-AL"/>
        </w:rPr>
        <w:t>miratimin e udhëzimeve për planifikimin strategjik dhe fillimin e zbatimit të planit të veprimit për racionalizimin e agjencive. Korniza e rishikuar ligjore është një hap i rëndësishëm drejt krijimit të një shërbimi civil modern dhe profesional si dhe drejt përmirësimit të llogaridhënies. Megjithëse Ligji për Pagat fut një sistem pagash më transparent dhe më të barabartë për zyrtarët publikë, ndikimi i tij buxhetor afatmesëm i ngrit disa shqetësime.</w:t>
      </w:r>
    </w:p>
    <w:p w:rsidR="00303676" w:rsidRPr="00A6284F" w:rsidRDefault="00303676" w:rsidP="00303676">
      <w:pPr>
        <w:rPr>
          <w:lang w:val="sq-AL"/>
        </w:rPr>
        <w:sectPr w:rsidR="00303676" w:rsidRPr="00A6284F">
          <w:pgSz w:w="11909" w:h="16838"/>
          <w:pgMar w:top="1420" w:right="1265" w:bottom="562" w:left="1284" w:header="720" w:footer="720" w:gutter="0"/>
          <w:cols w:space="720"/>
        </w:sectPr>
      </w:pPr>
    </w:p>
    <w:p w:rsidR="00303676" w:rsidRPr="00A6284F" w:rsidRDefault="00303676" w:rsidP="00303676">
      <w:pPr>
        <w:spacing w:before="18" w:line="276" w:lineRule="exact"/>
        <w:ind w:left="144" w:right="144"/>
        <w:jc w:val="both"/>
        <w:textAlignment w:val="baseline"/>
        <w:rPr>
          <w:rFonts w:eastAsia="Times New Roman"/>
          <w:color w:val="000000"/>
          <w:spacing w:val="-1"/>
          <w:sz w:val="24"/>
          <w:lang w:val="sq-AL"/>
        </w:rPr>
      </w:pPr>
      <w:r w:rsidRPr="00A6284F">
        <w:rPr>
          <w:rFonts w:eastAsia="Times New Roman"/>
          <w:b/>
          <w:color w:val="000000"/>
          <w:spacing w:val="-1"/>
          <w:sz w:val="24"/>
          <w:lang w:val="sq-AL"/>
        </w:rPr>
        <w:lastRenderedPageBreak/>
        <w:t>Sistemi gjyqësor</w:t>
      </w:r>
      <w:r w:rsidRPr="00A6284F">
        <w:rPr>
          <w:rFonts w:eastAsia="Times New Roman"/>
          <w:color w:val="000000"/>
          <w:spacing w:val="-1"/>
          <w:sz w:val="24"/>
          <w:lang w:val="sq-AL"/>
        </w:rPr>
        <w:t xml:space="preserve"> i Kosovës është në një fazë të hershme. Janë bërë disa përparime siç është miratimi i Ligjit për Përgjegjësinë Disiplinore të Gjyqtarëve dhe Prokurorëve dhe Ligjit për Ndërmjetësim, si dhe është bërë progres në futjen e sistemit elektronik të menaxhimit të rasteve. Numri i stafit gjyqësor në prokurori dhe gjykata është rritur gjatë vitit 2018, përfshirë këtu edhe Zyrën e Prokurorisë Speciale. Megjithëse integrimi në sistemin gjyqësor të gjyqtarëve dhe prokurorëve serbë si dhe stafit të tyre mbështetës është përfunduar në vitin 2017, më shumë punë duhet bërë për të siguruar funksionalitetin e </w:t>
      </w:r>
      <w:r w:rsidR="006A320D" w:rsidRPr="00A6284F">
        <w:rPr>
          <w:rFonts w:eastAsia="Times New Roman"/>
          <w:color w:val="000000"/>
          <w:spacing w:val="-1"/>
          <w:sz w:val="24"/>
          <w:lang w:val="sq-AL"/>
        </w:rPr>
        <w:t>tyre</w:t>
      </w:r>
      <w:r w:rsidRPr="00A6284F">
        <w:rPr>
          <w:rFonts w:eastAsia="Times New Roman"/>
          <w:color w:val="000000"/>
          <w:spacing w:val="-1"/>
          <w:sz w:val="24"/>
          <w:lang w:val="sq-AL"/>
        </w:rPr>
        <w:t xml:space="preserve"> të plotë, veçanërisht në lidhje me Gjykatën e Apelit. Gjyqësori është ende i cenueshëm ndaj ndikimit të </w:t>
      </w:r>
      <w:r w:rsidR="006A320D" w:rsidRPr="00A6284F">
        <w:rPr>
          <w:rFonts w:eastAsia="Times New Roman"/>
          <w:color w:val="000000"/>
          <w:spacing w:val="-1"/>
          <w:sz w:val="24"/>
          <w:lang w:val="sq-AL"/>
        </w:rPr>
        <w:t>parregullt</w:t>
      </w:r>
      <w:r w:rsidRPr="00A6284F">
        <w:rPr>
          <w:rFonts w:eastAsia="Times New Roman"/>
          <w:color w:val="000000"/>
          <w:spacing w:val="-1"/>
          <w:sz w:val="24"/>
          <w:lang w:val="sq-AL"/>
        </w:rPr>
        <w:t xml:space="preserve"> politik. Ofrimi i drejtësisë mbetet i ngadalshëm dhe joefikas dhe institucionet e sundimit të ligjit kanë </w:t>
      </w:r>
      <w:r w:rsidR="00932EC7" w:rsidRPr="00A6284F">
        <w:rPr>
          <w:rFonts w:eastAsia="Times New Roman"/>
          <w:color w:val="000000"/>
          <w:spacing w:val="-1"/>
          <w:sz w:val="24"/>
          <w:lang w:val="sq-AL"/>
        </w:rPr>
        <w:t>nevojë</w:t>
      </w:r>
      <w:r w:rsidRPr="00A6284F">
        <w:rPr>
          <w:rFonts w:eastAsia="Times New Roman"/>
          <w:color w:val="000000"/>
          <w:spacing w:val="-1"/>
          <w:sz w:val="24"/>
          <w:lang w:val="sq-AL"/>
        </w:rPr>
        <w:t xml:space="preserve"> për përpjeke të vazhdueshme që të ngritin kapacitetet e tyre.</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fazë të hershme/ka një nivel të përgatitjes në </w:t>
      </w:r>
      <w:r w:rsidRPr="00A6284F">
        <w:rPr>
          <w:rFonts w:eastAsia="Times New Roman"/>
          <w:b/>
          <w:bCs/>
          <w:color w:val="000000"/>
          <w:sz w:val="24"/>
          <w:lang w:val="sq-AL"/>
        </w:rPr>
        <w:t>luftën kundër korrupsionit</w:t>
      </w:r>
      <w:r w:rsidRPr="00A6284F">
        <w:rPr>
          <w:rFonts w:eastAsia="Times New Roman"/>
          <w:color w:val="000000"/>
          <w:sz w:val="24"/>
          <w:lang w:val="sq-AL"/>
        </w:rPr>
        <w:t>. Kosova ka shënuar progres në një masë përmes reformave të rëndësishme legjislative në fushën e sundimit të ligjit dhe në hetimin dhe ndjekjen penale të rasteve të nivelit të lartë. Progres është bërë edhe në konfiskimin paraprak të pasurisë, edhe pse konfiskimet finale mbeten në nivel të ulët. Korrupsioni është i përhapur dhe mbetet një çështje shqetësuese.</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fazë të hershme në </w:t>
      </w:r>
      <w:r w:rsidRPr="00A6284F">
        <w:rPr>
          <w:rFonts w:eastAsia="Times New Roman"/>
          <w:b/>
          <w:bCs/>
          <w:color w:val="000000"/>
          <w:sz w:val="24"/>
          <w:lang w:val="sq-AL"/>
        </w:rPr>
        <w:t>luftën kundër krimit të organizuar</w:t>
      </w:r>
      <w:r w:rsidRPr="00A6284F">
        <w:rPr>
          <w:rFonts w:eastAsia="Times New Roman"/>
          <w:color w:val="000000"/>
          <w:sz w:val="24"/>
          <w:lang w:val="sq-AL"/>
        </w:rPr>
        <w:t>. Progres</w:t>
      </w:r>
      <w:r w:rsidR="00EE494E" w:rsidRPr="00A6284F">
        <w:rPr>
          <w:rFonts w:eastAsia="Times New Roman"/>
          <w:color w:val="000000"/>
          <w:sz w:val="24"/>
          <w:lang w:val="sq-AL"/>
        </w:rPr>
        <w:t>i</w:t>
      </w:r>
      <w:r w:rsidRPr="00A6284F">
        <w:rPr>
          <w:rFonts w:eastAsia="Times New Roman"/>
          <w:color w:val="000000"/>
          <w:sz w:val="24"/>
          <w:lang w:val="sq-AL"/>
        </w:rPr>
        <w:t xml:space="preserve"> është </w:t>
      </w:r>
      <w:r w:rsidR="00EE494E" w:rsidRPr="00A6284F">
        <w:rPr>
          <w:rFonts w:eastAsia="Times New Roman"/>
          <w:color w:val="000000"/>
          <w:sz w:val="24"/>
          <w:lang w:val="sq-AL"/>
        </w:rPr>
        <w:t xml:space="preserve">arritur </w:t>
      </w:r>
      <w:r w:rsidRPr="00A6284F">
        <w:rPr>
          <w:rFonts w:eastAsia="Times New Roman"/>
          <w:color w:val="000000"/>
          <w:sz w:val="24"/>
          <w:lang w:val="sq-AL"/>
        </w:rPr>
        <w:t xml:space="preserve">përmes reformave të rëndësishme legjislative në fushën e sundimit të ligjit, në hetimin dhe ndjekjen penale të rasteve të nivelit të lartë dhe në ngrirjen paraprake të pasurisë. Megjithatë, </w:t>
      </w:r>
      <w:r w:rsidR="00C7406D" w:rsidRPr="00A6284F">
        <w:rPr>
          <w:rFonts w:eastAsia="Times New Roman"/>
          <w:color w:val="000000"/>
          <w:sz w:val="24"/>
          <w:lang w:val="sq-AL"/>
        </w:rPr>
        <w:t xml:space="preserve">pak progres është arritur </w:t>
      </w:r>
      <w:r w:rsidRPr="00A6284F">
        <w:rPr>
          <w:rFonts w:eastAsia="Times New Roman"/>
          <w:color w:val="000000"/>
          <w:sz w:val="24"/>
          <w:lang w:val="sq-AL"/>
        </w:rPr>
        <w:t>në konfiskimin përfundimtar të pasurive dhe ende ka shumë pak hetime financiare dhe dënime përfundimtare. Masat nevoj</w:t>
      </w:r>
      <w:r w:rsidR="00C7406D" w:rsidRPr="00A6284F">
        <w:rPr>
          <w:rFonts w:eastAsia="Times New Roman"/>
          <w:color w:val="000000"/>
          <w:sz w:val="24"/>
          <w:lang w:val="sq-AL"/>
        </w:rPr>
        <w:t xml:space="preserve">iten </w:t>
      </w:r>
      <w:r w:rsidRPr="00A6284F">
        <w:rPr>
          <w:rFonts w:eastAsia="Times New Roman"/>
          <w:color w:val="000000"/>
          <w:sz w:val="24"/>
          <w:lang w:val="sq-AL"/>
        </w:rPr>
        <w:t>për të siguruar në mënyrë rigoroze se nuk ka ndërhyrje politike me aktivitetet operative të organeve të zbatimit të ligjit dhe prokurorisë. Situata në veri të Kosovës në lidhje me krimin e organizuar vazhdon të paraqesë sfida për agjencitë e zbatimit të ligjit.</w:t>
      </w:r>
    </w:p>
    <w:p w:rsidR="00303676" w:rsidRPr="00A6284F" w:rsidRDefault="00303676" w:rsidP="00303676">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Progres është shënuar në luftën kundër terrorizmit, veçanërisht në lidhje me krijimin e kushteve më të mira për rehabilitimin dhe </w:t>
      </w:r>
      <w:proofErr w:type="spellStart"/>
      <w:r w:rsidRPr="00A6284F">
        <w:rPr>
          <w:rFonts w:eastAsia="Times New Roman"/>
          <w:color w:val="000000"/>
          <w:sz w:val="24"/>
          <w:lang w:val="sq-AL"/>
        </w:rPr>
        <w:t>riintegrimin</w:t>
      </w:r>
      <w:proofErr w:type="spellEnd"/>
      <w:r w:rsidRPr="00A6284F">
        <w:rPr>
          <w:rFonts w:eastAsia="Times New Roman"/>
          <w:color w:val="000000"/>
          <w:sz w:val="24"/>
          <w:lang w:val="sq-AL"/>
        </w:rPr>
        <w:t xml:space="preserve"> e luftëtarëve terroristë </w:t>
      </w:r>
      <w:r w:rsidR="00FE1C47" w:rsidRPr="00A6284F">
        <w:rPr>
          <w:rFonts w:eastAsia="Times New Roman"/>
          <w:color w:val="000000"/>
          <w:sz w:val="24"/>
          <w:lang w:val="sq-AL"/>
        </w:rPr>
        <w:t xml:space="preserve">në vende të huaja </w:t>
      </w:r>
      <w:r w:rsidRPr="00A6284F">
        <w:rPr>
          <w:rFonts w:eastAsia="Times New Roman"/>
          <w:color w:val="000000"/>
          <w:sz w:val="24"/>
          <w:lang w:val="sq-AL"/>
        </w:rPr>
        <w:t xml:space="preserve">dhe familjeve të tyre. Autoritetet e Kosovës duhet të jenë më efektive në përpjekjet e tyre për të luftuar pastrimin e parave dhe ligji përkatës duhet të jetë në përputhje me </w:t>
      </w:r>
      <w:r w:rsidRPr="00A6284F">
        <w:rPr>
          <w:rFonts w:eastAsia="Times New Roman"/>
          <w:i/>
          <w:iCs/>
          <w:color w:val="000000"/>
          <w:sz w:val="24"/>
          <w:lang w:val="sq-AL"/>
        </w:rPr>
        <w:t>acquis</w:t>
      </w:r>
      <w:r w:rsidRPr="00A6284F">
        <w:rPr>
          <w:rFonts w:eastAsia="Times New Roman"/>
          <w:color w:val="000000"/>
          <w:sz w:val="24"/>
          <w:lang w:val="sq-AL"/>
        </w:rPr>
        <w:t xml:space="preserve"> të BE-së dhe standardet ndërkombëtare.</w:t>
      </w:r>
    </w:p>
    <w:p w:rsidR="00303676" w:rsidRPr="00A6284F" w:rsidRDefault="00303676" w:rsidP="00303676">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Korniza ligjore në përgjithësi garanton mbrojtjen e </w:t>
      </w:r>
      <w:r w:rsidRPr="00A6284F">
        <w:rPr>
          <w:rFonts w:eastAsia="Times New Roman"/>
          <w:b/>
          <w:bCs/>
          <w:color w:val="000000"/>
          <w:sz w:val="24"/>
          <w:lang w:val="sq-AL"/>
        </w:rPr>
        <w:t xml:space="preserve">të drejtave </w:t>
      </w:r>
      <w:r w:rsidR="00EE494E" w:rsidRPr="00A6284F">
        <w:rPr>
          <w:rFonts w:eastAsia="Times New Roman"/>
          <w:b/>
          <w:bCs/>
          <w:color w:val="000000"/>
          <w:sz w:val="24"/>
          <w:lang w:val="sq-AL"/>
        </w:rPr>
        <w:t xml:space="preserve">themelore të njeriut </w:t>
      </w:r>
      <w:r w:rsidRPr="00A6284F">
        <w:rPr>
          <w:rFonts w:eastAsia="Times New Roman"/>
          <w:color w:val="000000"/>
          <w:sz w:val="24"/>
          <w:lang w:val="sq-AL"/>
        </w:rPr>
        <w:t xml:space="preserve">në përputhje me standardet evropiane. Sidoqoftë, zbatimi i legjislacionit dhe strategjive për të drejtat e njeriut shpesh dëmtohet nga burimet financiare dhe burimet </w:t>
      </w:r>
      <w:r w:rsidR="005D008F" w:rsidRPr="00A6284F">
        <w:rPr>
          <w:rFonts w:eastAsia="Times New Roman"/>
          <w:color w:val="000000"/>
          <w:sz w:val="24"/>
          <w:lang w:val="sq-AL"/>
        </w:rPr>
        <w:t xml:space="preserve">e </w:t>
      </w:r>
      <w:r w:rsidRPr="00A6284F">
        <w:rPr>
          <w:rFonts w:eastAsia="Times New Roman"/>
          <w:color w:val="000000"/>
          <w:sz w:val="24"/>
          <w:lang w:val="sq-AL"/>
        </w:rPr>
        <w:t>tjera</w:t>
      </w:r>
      <w:r w:rsidR="005D008F" w:rsidRPr="00A6284F">
        <w:rPr>
          <w:rFonts w:eastAsia="Times New Roman"/>
          <w:color w:val="000000"/>
          <w:sz w:val="24"/>
          <w:lang w:val="sq-AL"/>
        </w:rPr>
        <w:t xml:space="preserve"> joadekuate</w:t>
      </w:r>
      <w:r w:rsidRPr="00A6284F">
        <w:rPr>
          <w:rFonts w:eastAsia="Times New Roman"/>
          <w:color w:val="000000"/>
          <w:sz w:val="24"/>
          <w:lang w:val="sq-AL"/>
        </w:rPr>
        <w:t xml:space="preserve">, veçanërisht në nivel lokal, </w:t>
      </w:r>
      <w:proofErr w:type="spellStart"/>
      <w:r w:rsidRPr="00A6284F">
        <w:rPr>
          <w:rFonts w:eastAsia="Times New Roman"/>
          <w:color w:val="000000"/>
          <w:sz w:val="24"/>
          <w:lang w:val="sq-AL"/>
        </w:rPr>
        <w:t>prioritizimi</w:t>
      </w:r>
      <w:proofErr w:type="spellEnd"/>
      <w:r w:rsidRPr="00A6284F">
        <w:rPr>
          <w:rFonts w:eastAsia="Times New Roman"/>
          <w:color w:val="000000"/>
          <w:sz w:val="24"/>
          <w:lang w:val="sq-AL"/>
        </w:rPr>
        <w:t xml:space="preserve"> i kufizuar politik dhe mungesa e koordinimit. Mekanizmat ekzistues për koordinimin dhe zbatimin e të drejtave të njeriut janë joefektive. Varësia e madhe tek donatorët e huaj vazhdon të jetë </w:t>
      </w:r>
      <w:r w:rsidR="005D008F" w:rsidRPr="00A6284F">
        <w:rPr>
          <w:rFonts w:eastAsia="Times New Roman"/>
          <w:color w:val="000000"/>
          <w:sz w:val="24"/>
          <w:lang w:val="sq-AL"/>
        </w:rPr>
        <w:t>e pranishme</w:t>
      </w:r>
      <w:r w:rsidRPr="00A6284F">
        <w:rPr>
          <w:rFonts w:eastAsia="Times New Roman"/>
          <w:color w:val="000000"/>
          <w:sz w:val="24"/>
          <w:lang w:val="sq-AL"/>
        </w:rPr>
        <w:t xml:space="preserve">. Duhet bërë më shumë për të garantuar në mënyrë efektive të drejtat e personave që i përkasin pakicave, përfshirë romët dhe </w:t>
      </w:r>
      <w:proofErr w:type="spellStart"/>
      <w:r w:rsidRPr="00A6284F">
        <w:rPr>
          <w:rFonts w:eastAsia="Times New Roman"/>
          <w:color w:val="000000"/>
          <w:sz w:val="24"/>
          <w:lang w:val="sq-AL"/>
        </w:rPr>
        <w:t>ashkalinjtë</w:t>
      </w:r>
      <w:proofErr w:type="spellEnd"/>
      <w:r w:rsidR="008929B0" w:rsidRPr="00A6284F">
        <w:rPr>
          <w:rStyle w:val="FootnoteReference"/>
          <w:rFonts w:eastAsia="Times New Roman"/>
          <w:color w:val="000000"/>
          <w:sz w:val="24"/>
          <w:lang w:val="sq-AL"/>
        </w:rPr>
        <w:footnoteReference w:id="2"/>
      </w:r>
      <w:r w:rsidRPr="00A6284F">
        <w:rPr>
          <w:rFonts w:eastAsia="Times New Roman"/>
          <w:color w:val="000000"/>
          <w:sz w:val="24"/>
          <w:lang w:val="sq-AL"/>
        </w:rPr>
        <w:t xml:space="preserve"> dhe personat e zhvendosur, për të siguruar barazinë gjinore në praktikë, për të krijuar një sistem të integruar të mbrojtjes së fëmijëve dhe për të avancuar mbrojtjen e trashëgimisë kulturore. Kosova ka njëfarë niveli të përgatitjes lidhur me </w:t>
      </w:r>
      <w:r w:rsidRPr="00A6284F">
        <w:rPr>
          <w:rFonts w:eastAsia="Times New Roman"/>
          <w:b/>
          <w:bCs/>
          <w:color w:val="000000"/>
          <w:sz w:val="24"/>
          <w:lang w:val="sq-AL"/>
        </w:rPr>
        <w:t>lirinë e shprehjes</w:t>
      </w:r>
      <w:r w:rsidRPr="00A6284F">
        <w:rPr>
          <w:rFonts w:eastAsia="Times New Roman"/>
          <w:color w:val="000000"/>
          <w:sz w:val="24"/>
          <w:lang w:val="sq-AL"/>
        </w:rPr>
        <w:t xml:space="preserve">, e cila </w:t>
      </w:r>
      <w:r w:rsidR="005D008F" w:rsidRPr="00A6284F">
        <w:rPr>
          <w:rFonts w:eastAsia="Times New Roman"/>
          <w:color w:val="000000"/>
          <w:sz w:val="24"/>
          <w:lang w:val="sq-AL"/>
        </w:rPr>
        <w:t xml:space="preserve">është e </w:t>
      </w:r>
      <w:r w:rsidRPr="00A6284F">
        <w:rPr>
          <w:rFonts w:eastAsia="Times New Roman"/>
          <w:color w:val="000000"/>
          <w:sz w:val="24"/>
          <w:lang w:val="sq-AL"/>
        </w:rPr>
        <w:t>mishër</w:t>
      </w:r>
      <w:r w:rsidR="005D008F" w:rsidRPr="00A6284F">
        <w:rPr>
          <w:rFonts w:eastAsia="Times New Roman"/>
          <w:color w:val="000000"/>
          <w:sz w:val="24"/>
          <w:lang w:val="sq-AL"/>
        </w:rPr>
        <w:t xml:space="preserve">uar </w:t>
      </w:r>
      <w:r w:rsidRPr="00A6284F">
        <w:rPr>
          <w:rFonts w:eastAsia="Times New Roman"/>
          <w:color w:val="000000"/>
          <w:sz w:val="24"/>
          <w:lang w:val="sq-AL"/>
        </w:rPr>
        <w:t xml:space="preserve">në Kushtetutë. Kosova përfiton nga një mjedis </w:t>
      </w:r>
      <w:proofErr w:type="spellStart"/>
      <w:r w:rsidRPr="00A6284F">
        <w:rPr>
          <w:rFonts w:eastAsia="Times New Roman"/>
          <w:color w:val="000000"/>
          <w:sz w:val="24"/>
          <w:lang w:val="sq-AL"/>
        </w:rPr>
        <w:t>mediatik</w:t>
      </w:r>
      <w:proofErr w:type="spellEnd"/>
      <w:r w:rsidRPr="00A6284F">
        <w:rPr>
          <w:rFonts w:eastAsia="Times New Roman"/>
          <w:color w:val="000000"/>
          <w:sz w:val="24"/>
          <w:lang w:val="sq-AL"/>
        </w:rPr>
        <w:t xml:space="preserve"> pluralist dhe i gjallë. Institucionet e sundimit të ligjit vazhdimisht ndjekin kërcënimet dhe sulmet kundër gazetarëve dhe ka një rënie në numrin e incidenteve. </w:t>
      </w:r>
      <w:r w:rsidR="00D17D0E" w:rsidRPr="00A6284F">
        <w:rPr>
          <w:rFonts w:eastAsia="Times New Roman"/>
          <w:color w:val="000000"/>
          <w:sz w:val="24"/>
          <w:lang w:val="sq-AL"/>
        </w:rPr>
        <w:t>Mbetet të miratohet n</w:t>
      </w:r>
      <w:r w:rsidRPr="00A6284F">
        <w:rPr>
          <w:rFonts w:eastAsia="Times New Roman"/>
          <w:color w:val="000000"/>
          <w:sz w:val="24"/>
          <w:lang w:val="sq-AL"/>
        </w:rPr>
        <w:t xml:space="preserve">jë zgjidhje e qëndrueshme për financimin e transmetuesit publik. Transmetuesi mbetet i </w:t>
      </w:r>
      <w:r w:rsidR="00D17D0E" w:rsidRPr="00A6284F">
        <w:rPr>
          <w:rFonts w:eastAsia="Times New Roman"/>
          <w:color w:val="000000"/>
          <w:sz w:val="24"/>
          <w:lang w:val="sq-AL"/>
        </w:rPr>
        <w:t xml:space="preserve">cenueshëm </w:t>
      </w:r>
      <w:r w:rsidRPr="00A6284F">
        <w:rPr>
          <w:rFonts w:eastAsia="Times New Roman"/>
          <w:color w:val="000000"/>
          <w:sz w:val="24"/>
          <w:lang w:val="sq-AL"/>
        </w:rPr>
        <w:t xml:space="preserve">ndaj presionit dhe ndikimit politik. </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bCs/>
          <w:color w:val="000000"/>
          <w:sz w:val="24"/>
          <w:lang w:val="sq-AL"/>
        </w:rPr>
        <w:t>kritereve ekonomike</w:t>
      </w:r>
      <w:r w:rsidRPr="00A6284F">
        <w:rPr>
          <w:rFonts w:eastAsia="Times New Roman"/>
          <w:color w:val="000000"/>
          <w:sz w:val="24"/>
          <w:lang w:val="sq-AL"/>
        </w:rPr>
        <w:t xml:space="preserve">, Kosova është në një fazë të hershme dhe </w:t>
      </w:r>
      <w:r w:rsidR="00FE1C47" w:rsidRPr="00A6284F">
        <w:rPr>
          <w:rFonts w:eastAsia="Times New Roman"/>
          <w:color w:val="000000"/>
          <w:sz w:val="24"/>
          <w:lang w:val="sq-AL"/>
        </w:rPr>
        <w:t xml:space="preserve">ka shënuar </w:t>
      </w:r>
      <w:r w:rsidRPr="00A6284F">
        <w:rPr>
          <w:rFonts w:eastAsia="Times New Roman"/>
          <w:color w:val="000000"/>
          <w:sz w:val="24"/>
          <w:lang w:val="sq-AL"/>
        </w:rPr>
        <w:t>progres në zhvillimin e një ekonomie funksionale të tregut. Rritja ekonomike ishte e fuqishme, por situata shumë e vështirë e tregut të punës mbetet shqetës</w:t>
      </w:r>
      <w:r w:rsidR="00D17D0E" w:rsidRPr="00A6284F">
        <w:rPr>
          <w:rFonts w:eastAsia="Times New Roman"/>
          <w:color w:val="000000"/>
          <w:sz w:val="24"/>
          <w:lang w:val="sq-AL"/>
        </w:rPr>
        <w:t>uese</w:t>
      </w:r>
      <w:r w:rsidRPr="00A6284F">
        <w:rPr>
          <w:rFonts w:eastAsia="Times New Roman"/>
          <w:color w:val="000000"/>
          <w:sz w:val="24"/>
          <w:lang w:val="sq-AL"/>
        </w:rPr>
        <w:t xml:space="preserve">. Qeveria i përmbahet rregullave fiskale, por presioni i shpenzimeve në lidhje me përfitimet sociale për grupe të caktuara të popullsisë dhe pagat e punonjësve publikë paraqesin rreziqe për financat </w:t>
      </w:r>
      <w:r w:rsidRPr="00A6284F">
        <w:rPr>
          <w:rFonts w:eastAsia="Times New Roman"/>
          <w:color w:val="000000"/>
          <w:sz w:val="24"/>
          <w:lang w:val="sq-AL"/>
        </w:rPr>
        <w:lastRenderedPageBreak/>
        <w:t xml:space="preserve">publike dhe pengojnë zhvillimin e sektorit privat. </w:t>
      </w:r>
      <w:r w:rsidR="00D17D0E" w:rsidRPr="00A6284F">
        <w:rPr>
          <w:rFonts w:eastAsia="Times New Roman"/>
          <w:color w:val="000000"/>
          <w:sz w:val="24"/>
          <w:lang w:val="sq-AL"/>
        </w:rPr>
        <w:t>Mjedisi afarist</w:t>
      </w:r>
      <w:r w:rsidRPr="00A6284F">
        <w:rPr>
          <w:rFonts w:eastAsia="Times New Roman"/>
          <w:color w:val="000000"/>
          <w:sz w:val="24"/>
          <w:lang w:val="sq-AL"/>
        </w:rPr>
        <w:t xml:space="preserve"> është përmirësuar </w:t>
      </w:r>
      <w:r w:rsidR="00D17D0E" w:rsidRPr="00A6284F">
        <w:rPr>
          <w:rFonts w:eastAsia="Times New Roman"/>
          <w:color w:val="000000"/>
          <w:sz w:val="24"/>
          <w:lang w:val="sq-AL"/>
        </w:rPr>
        <w:t>deri diku</w:t>
      </w:r>
      <w:r w:rsidRPr="00A6284F">
        <w:rPr>
          <w:rFonts w:eastAsia="Times New Roman"/>
          <w:color w:val="000000"/>
          <w:sz w:val="24"/>
          <w:lang w:val="sq-AL"/>
        </w:rPr>
        <w:t xml:space="preserve">, por ende ka sfida të vazhdueshme, duke përfshirë ekonominë joformale të përhapur, një gjyqësor të ngadaltë dhe joefikas, mbizotërimi i lartë i korrupsionit dhe institucioneve të dobëta të sundimit të ligjit. Përkundër rritjes së madhe të eksporteve të shërbimeve, </w:t>
      </w:r>
      <w:proofErr w:type="spellStart"/>
      <w:r w:rsidRPr="00A6284F">
        <w:rPr>
          <w:rFonts w:eastAsia="Times New Roman"/>
          <w:color w:val="000000"/>
          <w:sz w:val="24"/>
          <w:lang w:val="sq-AL"/>
        </w:rPr>
        <w:t>diversifikimi</w:t>
      </w:r>
      <w:proofErr w:type="spellEnd"/>
      <w:r w:rsidRPr="00A6284F">
        <w:rPr>
          <w:rFonts w:eastAsia="Times New Roman"/>
          <w:color w:val="000000"/>
          <w:sz w:val="24"/>
          <w:lang w:val="sq-AL"/>
        </w:rPr>
        <w:t xml:space="preserve"> ekonomik ka përparuar ngadalë.</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fazë të hershme dhe ka përparime lidhur me kapacitetin e saj për të përballuar presionin konkurrues dhe forcat e tregut në BE. Kosova ka pasur progres në përmirësimin e rrugëve, por ka mangësi të mëdha në infrastrukturën hekurudhore dhe energjetike. Pak progres është bërë në sigurimin e furnizimit të qëndrueshëm të energjisë dhe humbjet në sektorin e energjisë elektrike mbeten shumë të larta. Kosova ka pasur progres sa i përket digjitalizimit të ekonomisë. Pak progres është bërë në përmirësimin e cilësisë së arsimit dhe trajtimin e boshllëqeve të aftësive në tregun e punës. Ndryshimet strukturore po shfaqen ngadalë dhe ekonomia mbetet shumë e varur nga sektori i tregtisë së brendshme. Rritja e eksporteve është nxitur kryesisht nga eksportet e shërbimeve në diasporë, ndërsa mungesa e </w:t>
      </w:r>
      <w:proofErr w:type="spellStart"/>
      <w:r w:rsidRPr="00A6284F">
        <w:rPr>
          <w:rFonts w:eastAsia="Times New Roman"/>
          <w:color w:val="000000"/>
          <w:sz w:val="24"/>
          <w:lang w:val="sq-AL"/>
        </w:rPr>
        <w:t>diversifikimit</w:t>
      </w:r>
      <w:proofErr w:type="spellEnd"/>
      <w:r w:rsidRPr="00A6284F">
        <w:rPr>
          <w:rFonts w:eastAsia="Times New Roman"/>
          <w:color w:val="000000"/>
          <w:sz w:val="24"/>
          <w:lang w:val="sq-AL"/>
        </w:rPr>
        <w:t xml:space="preserve"> të produkteve pengon rritjen e eksporteve të mallrave.</w:t>
      </w:r>
    </w:p>
    <w:p w:rsidR="00303676" w:rsidRPr="00A6284F" w:rsidRDefault="00303676" w:rsidP="00303676">
      <w:pPr>
        <w:shd w:val="clear" w:color="auto" w:fill="FFFFFF"/>
        <w:spacing w:before="120" w:line="276" w:lineRule="atLeast"/>
        <w:ind w:left="72" w:right="144"/>
        <w:jc w:val="both"/>
        <w:textAlignment w:val="baseline"/>
        <w:rPr>
          <w:rFonts w:ascii="Calibri" w:eastAsia="Times New Roman" w:hAnsi="Calibri" w:cs="Calibri"/>
          <w:color w:val="222222"/>
          <w:lang w:val="sq-AL"/>
        </w:rPr>
      </w:pPr>
      <w:r w:rsidRPr="00A6284F">
        <w:rPr>
          <w:rFonts w:eastAsia="Times New Roman"/>
          <w:color w:val="000000"/>
          <w:spacing w:val="2"/>
          <w:sz w:val="24"/>
          <w:szCs w:val="24"/>
          <w:lang w:val="sq-AL"/>
        </w:rPr>
        <w:t xml:space="preserve">Sa i përket </w:t>
      </w:r>
      <w:r w:rsidRPr="00A6284F">
        <w:rPr>
          <w:rFonts w:eastAsia="Times New Roman"/>
          <w:b/>
          <w:color w:val="000000"/>
          <w:spacing w:val="2"/>
          <w:sz w:val="24"/>
          <w:szCs w:val="24"/>
          <w:lang w:val="sq-AL"/>
        </w:rPr>
        <w:t>marrëdhënieve të mira fqinjësore dhe bashkëpunimit rajonal</w:t>
      </w:r>
      <w:r w:rsidRPr="00A6284F">
        <w:rPr>
          <w:rFonts w:eastAsia="Times New Roman"/>
          <w:color w:val="000000"/>
          <w:spacing w:val="2"/>
          <w:sz w:val="24"/>
          <w:szCs w:val="24"/>
          <w:lang w:val="sq-AL"/>
        </w:rPr>
        <w:t>, Kosova vazhdoi të merrte pjesë në shumicën e forumeve rajonale. Megjithatë, vendimi i Kosovës për të vendosur një taksë prej 100% në importet nga Serbia dhe Bosnja dhe Hercegovina ka dëmtuar përpjekjet e bashkëpunimit rajonal.</w:t>
      </w:r>
    </w:p>
    <w:p w:rsidR="00303676" w:rsidRPr="00A6284F" w:rsidRDefault="00303676" w:rsidP="00303676">
      <w:pPr>
        <w:shd w:val="clear" w:color="auto" w:fill="FFFFFF"/>
        <w:spacing w:before="120" w:line="276" w:lineRule="atLeast"/>
        <w:ind w:left="72" w:right="144"/>
        <w:jc w:val="both"/>
        <w:textAlignment w:val="baseline"/>
        <w:rPr>
          <w:rFonts w:ascii="Calibri" w:eastAsia="Times New Roman" w:hAnsi="Calibri" w:cs="Calibri"/>
          <w:color w:val="222222"/>
          <w:lang w:val="sq-AL"/>
        </w:rPr>
      </w:pPr>
      <w:r w:rsidRPr="00A6284F">
        <w:rPr>
          <w:rFonts w:eastAsia="Times New Roman"/>
          <w:color w:val="000000"/>
          <w:sz w:val="24"/>
          <w:szCs w:val="24"/>
          <w:lang w:val="sq-AL"/>
        </w:rPr>
        <w:t xml:space="preserve">Sa i përket </w:t>
      </w:r>
      <w:r w:rsidRPr="00A6284F">
        <w:rPr>
          <w:rFonts w:eastAsia="Times New Roman"/>
          <w:b/>
          <w:color w:val="000000"/>
          <w:sz w:val="24"/>
          <w:szCs w:val="24"/>
          <w:lang w:val="sq-AL"/>
        </w:rPr>
        <w:t>normalizimit të marrëdhënieve me Serbinë</w:t>
      </w:r>
      <w:r w:rsidRPr="00A6284F">
        <w:rPr>
          <w:rFonts w:eastAsia="Times New Roman"/>
          <w:color w:val="000000"/>
          <w:sz w:val="24"/>
          <w:szCs w:val="24"/>
          <w:lang w:val="sq-AL"/>
        </w:rPr>
        <w:t>, Kosova mbetet e angazhuar në dialog. Megjithatë, qeveria e Kosovës duhet të heqë taksat për importet nga Serbia dhe Bosnja dhe Hercegovina. Kosova duhet të bëjë përpjekje të mëtejshme të konsiderueshme për të krijuar një mjedis të favorshëm për përfundimin e një marrëveshjeje ligjore me Serbinë. Një marrëveshje e tillë është urgjente dhe vendimtare që Kosova dhe Serbia të përparojnë në rrugët e tyre evropiane.</w:t>
      </w:r>
    </w:p>
    <w:p w:rsidR="00303676" w:rsidRPr="00A6284F" w:rsidRDefault="00303676" w:rsidP="00303676">
      <w:pPr>
        <w:shd w:val="clear" w:color="auto" w:fill="FFFFFF"/>
        <w:spacing w:before="121" w:line="276" w:lineRule="atLeast"/>
        <w:ind w:left="72" w:right="144"/>
        <w:jc w:val="both"/>
        <w:textAlignment w:val="baseline"/>
        <w:rPr>
          <w:rFonts w:ascii="Calibri" w:eastAsia="Times New Roman" w:hAnsi="Calibri" w:cs="Calibri"/>
          <w:color w:val="222222"/>
          <w:lang w:val="sq-AL"/>
        </w:rPr>
      </w:pPr>
      <w:r w:rsidRPr="00A6284F">
        <w:rPr>
          <w:rFonts w:eastAsia="Times New Roman"/>
          <w:color w:val="000000"/>
          <w:sz w:val="24"/>
          <w:szCs w:val="24"/>
          <w:lang w:val="sq-AL"/>
        </w:rPr>
        <w:t xml:space="preserve">Sa i përket harmonizimit me </w:t>
      </w:r>
      <w:r w:rsidRPr="00A6284F">
        <w:rPr>
          <w:rFonts w:eastAsia="Times New Roman"/>
          <w:b/>
          <w:color w:val="000000"/>
          <w:sz w:val="24"/>
          <w:szCs w:val="24"/>
          <w:lang w:val="sq-AL"/>
        </w:rPr>
        <w:t>standardet evropiane</w:t>
      </w:r>
      <w:r w:rsidRPr="00A6284F">
        <w:rPr>
          <w:rFonts w:eastAsia="Times New Roman"/>
          <w:color w:val="000000"/>
          <w:sz w:val="24"/>
          <w:szCs w:val="24"/>
          <w:lang w:val="sq-AL"/>
        </w:rPr>
        <w:t xml:space="preserve">, Kosova ka arritur një nivel të caktuar të përgatitjes. Harmonizimi legjislativ ka vazhduar në disa fusha, por zbatimi është i dobët. Është arritur pak progres në fushën e lëvizjes së lirë të mallrave, shërbimeve dhe kapitalit, si dhe në shërbimet financiare, prokurimin publik dhe konkurrencën. Progres i mirë është arritur në fushën e statistikave dhe atë të kontrollit financiar. Në fushën e tatimit dhe doganës, është arritur progres i caktuar në mbledhjen e të ardhurave tatimore, reduktimin e ekonomisë së hirtë ose zbatimin e masave doganore për mbrojtjen e të drejtave të pronësisë intelektuale megjithatë, Kosova duhet të rritë luftën kundër ekonomisë joformale dhe evazionit fiskal. </w:t>
      </w:r>
      <w:r w:rsidR="0042017F" w:rsidRPr="00A6284F">
        <w:rPr>
          <w:rFonts w:eastAsia="Times New Roman"/>
          <w:color w:val="000000"/>
          <w:sz w:val="24"/>
          <w:szCs w:val="24"/>
          <w:lang w:val="sq-AL"/>
        </w:rPr>
        <w:t xml:space="preserve">Progresi është </w:t>
      </w:r>
      <w:r w:rsidRPr="00A6284F">
        <w:rPr>
          <w:rFonts w:eastAsia="Times New Roman"/>
          <w:color w:val="000000"/>
          <w:sz w:val="24"/>
          <w:szCs w:val="24"/>
          <w:lang w:val="sq-AL"/>
        </w:rPr>
        <w:t xml:space="preserve">arritur </w:t>
      </w:r>
      <w:r w:rsidR="0042017F" w:rsidRPr="00A6284F">
        <w:rPr>
          <w:rFonts w:eastAsia="Times New Roman"/>
          <w:color w:val="000000"/>
          <w:sz w:val="24"/>
          <w:szCs w:val="24"/>
          <w:lang w:val="sq-AL"/>
        </w:rPr>
        <w:t>edhe n</w:t>
      </w:r>
      <w:r w:rsidRPr="00A6284F">
        <w:rPr>
          <w:rFonts w:eastAsia="Times New Roman"/>
          <w:color w:val="000000"/>
          <w:sz w:val="24"/>
          <w:szCs w:val="24"/>
          <w:lang w:val="sq-AL"/>
        </w:rPr>
        <w:t>ë adres</w:t>
      </w:r>
      <w:r w:rsidR="0042017F" w:rsidRPr="00A6284F">
        <w:rPr>
          <w:rFonts w:eastAsia="Times New Roman"/>
          <w:color w:val="000000"/>
          <w:sz w:val="24"/>
          <w:szCs w:val="24"/>
          <w:lang w:val="sq-AL"/>
        </w:rPr>
        <w:t xml:space="preserve">imin e </w:t>
      </w:r>
      <w:r w:rsidRPr="00A6284F">
        <w:rPr>
          <w:rFonts w:eastAsia="Times New Roman"/>
          <w:color w:val="000000"/>
          <w:sz w:val="24"/>
          <w:szCs w:val="24"/>
          <w:lang w:val="sq-AL"/>
        </w:rPr>
        <w:t>çështje</w:t>
      </w:r>
      <w:r w:rsidR="0042017F" w:rsidRPr="00A6284F">
        <w:rPr>
          <w:rFonts w:eastAsia="Times New Roman"/>
          <w:color w:val="000000"/>
          <w:sz w:val="24"/>
          <w:szCs w:val="24"/>
          <w:lang w:val="sq-AL"/>
        </w:rPr>
        <w:t>ve</w:t>
      </w:r>
      <w:r w:rsidRPr="00A6284F">
        <w:rPr>
          <w:rFonts w:eastAsia="Times New Roman"/>
          <w:color w:val="000000"/>
          <w:sz w:val="24"/>
          <w:szCs w:val="24"/>
          <w:lang w:val="sq-AL"/>
        </w:rPr>
        <w:t xml:space="preserve"> mjedisore, por zbatimi mbetet prapa. Sektori i energjisë vazhdon të përballet me sfida serioze, pavarësisht disa përparime</w:t>
      </w:r>
      <w:r w:rsidR="0042017F" w:rsidRPr="00A6284F">
        <w:rPr>
          <w:rFonts w:eastAsia="Times New Roman"/>
          <w:color w:val="000000"/>
          <w:sz w:val="24"/>
          <w:szCs w:val="24"/>
          <w:lang w:val="sq-AL"/>
        </w:rPr>
        <w:t>ve</w:t>
      </w:r>
      <w:r w:rsidRPr="00A6284F">
        <w:rPr>
          <w:rFonts w:eastAsia="Times New Roman"/>
          <w:color w:val="000000"/>
          <w:sz w:val="24"/>
          <w:szCs w:val="24"/>
          <w:lang w:val="sq-AL"/>
        </w:rPr>
        <w:t xml:space="preserve"> sidomos në </w:t>
      </w:r>
      <w:proofErr w:type="spellStart"/>
      <w:r w:rsidRPr="00A6284F">
        <w:rPr>
          <w:rFonts w:eastAsia="Times New Roman"/>
          <w:color w:val="000000"/>
          <w:sz w:val="24"/>
          <w:szCs w:val="24"/>
          <w:lang w:val="sq-AL"/>
        </w:rPr>
        <w:t>efiçiencën</w:t>
      </w:r>
      <w:proofErr w:type="spellEnd"/>
      <w:r w:rsidRPr="00A6284F">
        <w:rPr>
          <w:rFonts w:eastAsia="Times New Roman"/>
          <w:color w:val="000000"/>
          <w:sz w:val="24"/>
          <w:szCs w:val="24"/>
          <w:lang w:val="sq-AL"/>
        </w:rPr>
        <w:t xml:space="preserve"> e energjisë. Në përgjithësi, Kosova duhet të përmirësojë kapacitetet e saj administrative dhe koordinimin, në të gjithë sektorët, për të siguruar zbatimin efektiv të acquis.</w:t>
      </w:r>
    </w:p>
    <w:p w:rsidR="00303676" w:rsidRPr="00A6284F" w:rsidRDefault="00303676" w:rsidP="00303676">
      <w:pPr>
        <w:shd w:val="clear" w:color="auto" w:fill="FFFFFF"/>
        <w:spacing w:before="121" w:line="276" w:lineRule="atLeast"/>
        <w:ind w:left="72" w:right="144"/>
        <w:jc w:val="both"/>
        <w:textAlignment w:val="baseline"/>
        <w:rPr>
          <w:rFonts w:ascii="Calibri" w:eastAsia="Times New Roman" w:hAnsi="Calibri" w:cs="Calibri"/>
          <w:color w:val="222222"/>
          <w:lang w:val="sq-AL"/>
        </w:rPr>
      </w:pPr>
      <w:r w:rsidRPr="00A6284F">
        <w:rPr>
          <w:rFonts w:eastAsia="Times New Roman"/>
          <w:color w:val="000000"/>
          <w:sz w:val="24"/>
          <w:szCs w:val="24"/>
          <w:lang w:val="sq-AL"/>
        </w:rPr>
        <w:t xml:space="preserve">Autoritetet kanë bërë progres në menaxhimin e </w:t>
      </w:r>
      <w:r w:rsidRPr="00A6284F">
        <w:rPr>
          <w:rFonts w:eastAsia="Times New Roman"/>
          <w:b/>
          <w:color w:val="000000"/>
          <w:sz w:val="24"/>
          <w:szCs w:val="24"/>
          <w:lang w:val="sq-AL"/>
        </w:rPr>
        <w:t>migrimit</w:t>
      </w:r>
      <w:r w:rsidRPr="00A6284F">
        <w:rPr>
          <w:rFonts w:eastAsia="Times New Roman"/>
          <w:color w:val="000000"/>
          <w:sz w:val="24"/>
          <w:szCs w:val="24"/>
          <w:lang w:val="sq-AL"/>
        </w:rPr>
        <w:t xml:space="preserve"> të rregullt dhe të parregullt. Këto përpjekje duhen vazhduar e konsoliduar tutje. Në këtë kontekst, Kosova duhet të vërë në zbatim një mekanizëm kthimi për migruesit e parregullt, në përputhje me standardet dhe praktikat e BE-së</w:t>
      </w:r>
    </w:p>
    <w:p w:rsidR="00303676" w:rsidRPr="00A6284F" w:rsidRDefault="00303676" w:rsidP="00303676">
      <w:pPr>
        <w:spacing w:before="121"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2.</w:t>
      </w:r>
      <w:r w:rsidRPr="00A6284F">
        <w:rPr>
          <w:rFonts w:eastAsia="Times New Roman"/>
          <w:b/>
          <w:color w:val="000000"/>
          <w:sz w:val="24"/>
          <w:lang w:val="sq-AL"/>
        </w:rPr>
        <w:tab/>
        <w:t>THEMELORET SË PARI: KRITERET POLITIKE DHE SUNDIMI I LIGJIT</w:t>
      </w:r>
    </w:p>
    <w:p w:rsidR="00303676" w:rsidRPr="00A6284F" w:rsidRDefault="00303676" w:rsidP="00303676">
      <w:pPr>
        <w:tabs>
          <w:tab w:val="decimal" w:pos="288"/>
          <w:tab w:val="left" w:pos="792"/>
        </w:tabs>
        <w:spacing w:before="124" w:line="274" w:lineRule="exact"/>
        <w:ind w:left="72"/>
        <w:textAlignment w:val="baseline"/>
        <w:rPr>
          <w:rFonts w:eastAsia="Times New Roman"/>
          <w:b/>
          <w:color w:val="000000"/>
          <w:sz w:val="24"/>
          <w:lang w:val="sq-AL"/>
        </w:rPr>
      </w:pPr>
      <w:r w:rsidRPr="00A6284F">
        <w:rPr>
          <w:rFonts w:eastAsia="Times New Roman"/>
          <w:b/>
          <w:color w:val="000000"/>
          <w:sz w:val="24"/>
          <w:lang w:val="sq-AL"/>
        </w:rPr>
        <w:tab/>
        <w:t>2.1</w:t>
      </w:r>
      <w:r w:rsidRPr="00A6284F">
        <w:rPr>
          <w:rFonts w:eastAsia="Times New Roman"/>
          <w:b/>
          <w:color w:val="000000"/>
          <w:sz w:val="24"/>
          <w:lang w:val="sq-AL"/>
        </w:rPr>
        <w:tab/>
        <w:t>Funksionimi i institucioneve demokratike dhe Reforma e Administratës Publike</w:t>
      </w:r>
    </w:p>
    <w:p w:rsidR="00303676" w:rsidRPr="00A6284F" w:rsidRDefault="00303676" w:rsidP="00303676">
      <w:pPr>
        <w:spacing w:before="125" w:line="274" w:lineRule="exact"/>
        <w:ind w:left="72"/>
        <w:jc w:val="both"/>
        <w:textAlignment w:val="baseline"/>
        <w:rPr>
          <w:rFonts w:eastAsia="Times New Roman"/>
          <w:b/>
          <w:color w:val="000000"/>
          <w:spacing w:val="10"/>
          <w:sz w:val="24"/>
          <w:lang w:val="sq-AL"/>
        </w:rPr>
      </w:pPr>
      <w:r w:rsidRPr="00A6284F">
        <w:rPr>
          <w:rFonts w:eastAsia="Times New Roman"/>
          <w:b/>
          <w:color w:val="000000"/>
          <w:spacing w:val="10"/>
          <w:sz w:val="24"/>
          <w:lang w:val="sq-AL"/>
        </w:rPr>
        <w:t>2.1.1 Demokracia</w:t>
      </w:r>
    </w:p>
    <w:p w:rsidR="00303676" w:rsidRPr="00A6284F" w:rsidRDefault="00303676" w:rsidP="00303676">
      <w:pPr>
        <w:spacing w:before="3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Politika e brendshme në Kosovë mbeti e polarizuar gjatë periudhës raportuese. Kuvendi ishte më aktivë në legjislacionin e ndërlidhur me BE-në, por kishte dobësi në funksionimin e tij të përgjithshëm. Kosova ka bërë progres të konsiderueshëm në disa nga reformat kyçe të lidhura me BE, për shembull sa i përket përmirësimit të kornizës ligjore në fushat e sundimit të ligjit dhe administratës publike. Megjithatë, autoritetet morën një sërë vendimesh që nuk janë në përputhje me objektivat e deklaruara të qeverisë për reforma.</w:t>
      </w:r>
    </w:p>
    <w:p w:rsidR="00303676" w:rsidRPr="00A6284F" w:rsidRDefault="00303676" w:rsidP="00303676">
      <w:pPr>
        <w:spacing w:before="6" w:after="101" w:line="273" w:lineRule="exact"/>
        <w:ind w:left="144"/>
        <w:textAlignment w:val="baseline"/>
        <w:rPr>
          <w:rFonts w:eastAsia="Times New Roman"/>
          <w:b/>
          <w:color w:val="000000"/>
          <w:sz w:val="24"/>
          <w:lang w:val="sq-AL"/>
        </w:rPr>
      </w:pPr>
    </w:p>
    <w:p w:rsidR="00303676" w:rsidRPr="00A6284F" w:rsidRDefault="00303676" w:rsidP="00303676">
      <w:pPr>
        <w:spacing w:before="6" w:after="101" w:line="273" w:lineRule="exact"/>
        <w:ind w:left="144"/>
        <w:textAlignment w:val="baseline"/>
        <w:rPr>
          <w:rFonts w:eastAsia="Times New Roman"/>
          <w:b/>
          <w:color w:val="000000"/>
          <w:sz w:val="24"/>
          <w:lang w:val="sq-AL"/>
        </w:rPr>
      </w:pPr>
      <w:r w:rsidRPr="00A6284F">
        <w:rPr>
          <w:rFonts w:eastAsia="Times New Roman"/>
          <w:b/>
          <w:color w:val="000000"/>
          <w:sz w:val="24"/>
          <w:lang w:val="sq-AL"/>
        </w:rPr>
        <w:t>Zgjedhjet</w:t>
      </w:r>
    </w:p>
    <w:p w:rsidR="00303676" w:rsidRPr="00A6284F" w:rsidRDefault="00303676" w:rsidP="00303676">
      <w:pPr>
        <w:pBdr>
          <w:top w:val="single" w:sz="5" w:space="1" w:color="000000"/>
          <w:left w:val="single" w:sz="5" w:space="7" w:color="000000"/>
          <w:bottom w:val="single" w:sz="5" w:space="0" w:color="000000"/>
          <w:right w:val="single" w:sz="5" w:space="7" w:color="000000"/>
        </w:pBdr>
        <w:shd w:val="solid" w:color="D9D9D9" w:fill="D9D9D9"/>
        <w:spacing w:after="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Korniza zgjedhore e Kosovës duhet të fuqizohet duke adresuar në mënyrë efektive dobësitë e </w:t>
      </w:r>
      <w:r w:rsidR="005B20E1" w:rsidRPr="00A6284F">
        <w:rPr>
          <w:rFonts w:eastAsia="Times New Roman"/>
          <w:color w:val="000000"/>
          <w:sz w:val="24"/>
          <w:lang w:val="sq-AL"/>
        </w:rPr>
        <w:t xml:space="preserve">afatgjatat </w:t>
      </w:r>
      <w:r w:rsidRPr="00A6284F">
        <w:rPr>
          <w:rFonts w:eastAsia="Times New Roman"/>
          <w:color w:val="000000"/>
          <w:sz w:val="24"/>
          <w:lang w:val="sq-AL"/>
        </w:rPr>
        <w:t>gjatë gjithë ciklit zgjedhor. Shumica e rekomandimeve të bëra pas misioneve vëzhguese të zgjedhjeve të BE-së në vitin 2014 dhe 2017 ende nuk janë adresuar. Korniza e rishikuar ligjore për financimin e partive politike dhe fushatave duhet të jetë në përputhje me rekomandimet e Komisionit të Venecias.</w:t>
      </w:r>
    </w:p>
    <w:p w:rsidR="00303676" w:rsidRPr="00A6284F" w:rsidRDefault="00303676" w:rsidP="00303676">
      <w:pPr>
        <w:spacing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Pas zgjedhjeve të parakohshme parlamentare dhe zgjedhjeve të rregullta për kryetar të komunave dhe asamble komunale në vitin 2017, është bërë pak përparim në fuqizimin e procesit zgjedhor, në përputhje me rekomandimet e misioneve të BE-së për vëzhgimin e zgjedhjeve (EOM). Pretendimet për kërcënime gjatë zgjedhjeve të vitit 2017 në komunat serbe të Kosovës, nuk janë adresuar ose hetuar </w:t>
      </w:r>
      <w:r w:rsidR="003E1E52" w:rsidRPr="00A6284F">
        <w:rPr>
          <w:rFonts w:eastAsia="Times New Roman"/>
          <w:color w:val="000000"/>
          <w:sz w:val="24"/>
          <w:lang w:val="sq-AL"/>
        </w:rPr>
        <w:t xml:space="preserve">në mënyrë adekuate. </w:t>
      </w:r>
    </w:p>
    <w:p w:rsidR="00303676" w:rsidRPr="00A6284F" w:rsidRDefault="00303676" w:rsidP="00303676">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Dobësitë afatgjate përfshijnë</w:t>
      </w:r>
      <w:r w:rsidR="00802898" w:rsidRPr="00A6284F">
        <w:rPr>
          <w:rFonts w:eastAsia="Times New Roman"/>
          <w:color w:val="000000"/>
          <w:spacing w:val="-1"/>
          <w:sz w:val="24"/>
          <w:lang w:val="sq-AL"/>
        </w:rPr>
        <w:t>:</w:t>
      </w:r>
      <w:r w:rsidRPr="00A6284F">
        <w:rPr>
          <w:rFonts w:eastAsia="Times New Roman"/>
          <w:color w:val="000000"/>
          <w:spacing w:val="-1"/>
          <w:sz w:val="24"/>
          <w:lang w:val="sq-AL"/>
        </w:rPr>
        <w:t xml:space="preserve"> mungesën e mbikëqyrjes efektive dhe zbatimin e ligjit për financimin e partive politike dhe fushatave, nën-përfaqësimi</w:t>
      </w:r>
      <w:r w:rsidR="00891C62" w:rsidRPr="00A6284F">
        <w:rPr>
          <w:rFonts w:eastAsia="Times New Roman"/>
          <w:color w:val="000000"/>
          <w:spacing w:val="-1"/>
          <w:sz w:val="24"/>
          <w:lang w:val="sq-AL"/>
        </w:rPr>
        <w:t>n</w:t>
      </w:r>
      <w:r w:rsidRPr="00A6284F">
        <w:rPr>
          <w:rFonts w:eastAsia="Times New Roman"/>
          <w:color w:val="000000"/>
          <w:spacing w:val="-1"/>
          <w:sz w:val="24"/>
          <w:lang w:val="sq-AL"/>
        </w:rPr>
        <w:t xml:space="preserve"> </w:t>
      </w:r>
      <w:r w:rsidR="00891C62" w:rsidRPr="00A6284F">
        <w:rPr>
          <w:rFonts w:eastAsia="Times New Roman"/>
          <w:color w:val="000000"/>
          <w:spacing w:val="-1"/>
          <w:sz w:val="24"/>
          <w:lang w:val="sq-AL"/>
        </w:rPr>
        <w:t>e</w:t>
      </w:r>
      <w:r w:rsidRPr="00A6284F">
        <w:rPr>
          <w:rFonts w:eastAsia="Times New Roman"/>
          <w:color w:val="000000"/>
          <w:spacing w:val="-1"/>
          <w:sz w:val="24"/>
          <w:lang w:val="sq-AL"/>
        </w:rPr>
        <w:t xml:space="preserve"> grave në strukturat e partive politike dhe pozita të zgjedhura, mekanizma të mangët për konteste zgjedhore, pasaktësitë e listës së votuesve dhe skema e votimit me shumë mangësi për votuesit jashtë vendit. Institucionet e Kosovës duhet të ndërmarrin veprime për të adresuar këto sfida, në përputhje me rekomandimet e EOM dhe në bashkëpunim të ngushtë me partnerët. </w:t>
      </w:r>
      <w:r w:rsidR="005B20E1" w:rsidRPr="00A6284F">
        <w:rPr>
          <w:rFonts w:eastAsia="Times New Roman"/>
          <w:color w:val="000000"/>
          <w:spacing w:val="-1"/>
          <w:sz w:val="24"/>
          <w:lang w:val="sq-AL"/>
        </w:rPr>
        <w:t>I</w:t>
      </w:r>
      <w:r w:rsidRPr="00A6284F">
        <w:rPr>
          <w:rFonts w:eastAsia="Times New Roman"/>
          <w:color w:val="000000"/>
          <w:spacing w:val="-1"/>
          <w:sz w:val="24"/>
          <w:lang w:val="sq-AL"/>
        </w:rPr>
        <w:t xml:space="preserve">niciativa e përbashkët e ndërmarrë nga kryetarët e grupeve të Kuvendit të Kosovës në prill të vitit 2019 për përmirësimin dhe fuqizimin e procesit zgjedhor dhe vendimi i Kuvendit për krijimin e një komisioni parlamentar </w:t>
      </w:r>
      <w:proofErr w:type="spellStart"/>
      <w:r w:rsidRPr="00A6284F">
        <w:rPr>
          <w:rFonts w:eastAsia="Times New Roman"/>
          <w:i/>
          <w:color w:val="000000"/>
          <w:spacing w:val="-1"/>
          <w:sz w:val="24"/>
          <w:lang w:val="sq-AL"/>
        </w:rPr>
        <w:t>ad</w:t>
      </w:r>
      <w:proofErr w:type="spellEnd"/>
      <w:r w:rsidRPr="00A6284F">
        <w:rPr>
          <w:rFonts w:eastAsia="Times New Roman"/>
          <w:i/>
          <w:color w:val="000000"/>
          <w:spacing w:val="-1"/>
          <w:sz w:val="24"/>
          <w:lang w:val="sq-AL"/>
        </w:rPr>
        <w:t xml:space="preserve"> </w:t>
      </w:r>
      <w:proofErr w:type="spellStart"/>
      <w:r w:rsidRPr="00A6284F">
        <w:rPr>
          <w:rFonts w:eastAsia="Times New Roman"/>
          <w:i/>
          <w:color w:val="000000"/>
          <w:spacing w:val="-1"/>
          <w:sz w:val="24"/>
          <w:lang w:val="sq-AL"/>
        </w:rPr>
        <w:t>hoc</w:t>
      </w:r>
      <w:proofErr w:type="spellEnd"/>
      <w:r w:rsidRPr="00A6284F">
        <w:rPr>
          <w:rFonts w:eastAsia="Times New Roman"/>
          <w:i/>
          <w:color w:val="000000"/>
          <w:spacing w:val="-1"/>
          <w:sz w:val="24"/>
          <w:lang w:val="sq-AL"/>
        </w:rPr>
        <w:t xml:space="preserve"> </w:t>
      </w:r>
      <w:r w:rsidRPr="00A6284F">
        <w:rPr>
          <w:rFonts w:eastAsia="Times New Roman"/>
          <w:color w:val="000000"/>
          <w:spacing w:val="-1"/>
          <w:sz w:val="24"/>
          <w:lang w:val="sq-AL"/>
        </w:rPr>
        <w:t>për këtë çështje, duke përfshirë ekspertët lokalë dhe ndërkombëtarë, janë hapa të mirëseardhur. Reformat në</w:t>
      </w:r>
      <w:r w:rsidR="00891C62" w:rsidRPr="00A6284F">
        <w:rPr>
          <w:rFonts w:eastAsia="Times New Roman"/>
          <w:color w:val="000000"/>
          <w:spacing w:val="-1"/>
          <w:sz w:val="24"/>
          <w:lang w:val="sq-AL"/>
        </w:rPr>
        <w:t xml:space="preserve"> </w:t>
      </w:r>
      <w:r w:rsidRPr="00A6284F">
        <w:rPr>
          <w:rFonts w:eastAsia="Times New Roman"/>
          <w:color w:val="000000"/>
          <w:spacing w:val="-1"/>
          <w:sz w:val="24"/>
          <w:lang w:val="sq-AL"/>
        </w:rPr>
        <w:t>financimin e partive dhe fushatave, në bazë të opinionit ligjor të Komisionit të Venedikut, aktualisht janë duke u shqyrtuar në Kuvend. Rekomandimet e Komisionit të Venedikut duhet të pasqyrohen në legjislacionin e rishikuar.</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Anëtarët e Komisionit Qendror të Zgjedhjeve (KQZ), përveç kryetares</w:t>
      </w:r>
      <w:r w:rsidR="00891C62" w:rsidRPr="00A6284F">
        <w:rPr>
          <w:rFonts w:eastAsia="Times New Roman"/>
          <w:color w:val="000000"/>
          <w:sz w:val="24"/>
          <w:lang w:val="sq-AL"/>
        </w:rPr>
        <w:t xml:space="preserve"> </w:t>
      </w:r>
      <w:r w:rsidRPr="00A6284F">
        <w:rPr>
          <w:rFonts w:eastAsia="Times New Roman"/>
          <w:color w:val="000000"/>
          <w:sz w:val="24"/>
          <w:lang w:val="sq-AL"/>
        </w:rPr>
        <w:t>së KQZ-së, nuk janë emëruar gjatë periudhës prej muajit mars 2018 deri në muajin mars 2019. Në mars të vitit 2019, presidenti përfundimisht emëroi tetë nga dhjetë anëtarët, duke i mundësuar KQZ-së që të arrijë kuorumin, por mosmarrëveshjet ndërmjet partive politike vazhdojnë rreth përfaqësimit të tyre në KQZ. KQZ-ja, dhe në veçanti</w:t>
      </w:r>
      <w:r w:rsidR="00891C62" w:rsidRPr="00A6284F">
        <w:rPr>
          <w:rFonts w:eastAsia="Times New Roman"/>
          <w:color w:val="000000"/>
          <w:sz w:val="24"/>
          <w:lang w:val="sq-AL"/>
        </w:rPr>
        <w:t xml:space="preserve"> </w:t>
      </w:r>
      <w:r w:rsidRPr="00A6284F">
        <w:rPr>
          <w:rFonts w:eastAsia="Times New Roman"/>
          <w:color w:val="000000"/>
          <w:sz w:val="24"/>
          <w:lang w:val="sq-AL"/>
        </w:rPr>
        <w:t>Zyra e saj për Regjistrimin e Partive Politike</w:t>
      </w:r>
      <w:r w:rsidR="00891C62" w:rsidRPr="00A6284F">
        <w:rPr>
          <w:rFonts w:eastAsia="Times New Roman"/>
          <w:color w:val="000000"/>
          <w:sz w:val="24"/>
          <w:lang w:val="sq-AL"/>
        </w:rPr>
        <w:t xml:space="preserve"> </w:t>
      </w:r>
      <w:r w:rsidRPr="00A6284F">
        <w:rPr>
          <w:rFonts w:eastAsia="Times New Roman"/>
          <w:color w:val="000000"/>
          <w:sz w:val="24"/>
          <w:lang w:val="sq-AL"/>
        </w:rPr>
        <w:t>dhe Certifikim, duhet të fuqizojë kapacitetet e saj në mënyrë të konsiderueshme për të siguruar zbatimin efikas të rregullave që rregullojnë financat a partive politike dhe fushatave.</w:t>
      </w:r>
    </w:p>
    <w:p w:rsidR="00303676"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nëntor të vitit 2018, kryetarët e katër komunave me shumicë serbe në veri të Kosovës dhanë dorëheqje si reagim ndaj vendimit të qeverisë për vendosjen e taksës 100% në importet nga Serbia. Si rrjedhojë u mbajtën zgjedhjet e jashtëzakonshme për kryetarë të atyre komunave më 19 maj 2019, në një atmosferë të qetë. Nën rrethana të konkurrencës së kufizuar zgjedhore, </w:t>
      </w:r>
      <w:proofErr w:type="spellStart"/>
      <w:r w:rsidRPr="00A6284F">
        <w:rPr>
          <w:rFonts w:eastAsia="Times New Roman"/>
          <w:color w:val="000000"/>
          <w:sz w:val="24"/>
          <w:lang w:val="sq-AL"/>
        </w:rPr>
        <w:t>Srpska</w:t>
      </w:r>
      <w:proofErr w:type="spellEnd"/>
      <w:r w:rsidRPr="00A6284F">
        <w:rPr>
          <w:rFonts w:eastAsia="Times New Roman"/>
          <w:color w:val="000000"/>
          <w:sz w:val="24"/>
          <w:lang w:val="sq-AL"/>
        </w:rPr>
        <w:t xml:space="preserve"> Lista ishte e vetmja parti serbe në Kosovë që mori pjesë. Kandidatët e saj fituan në katër komunat me mbi 90%.</w:t>
      </w:r>
    </w:p>
    <w:p w:rsidR="00303676" w:rsidRPr="00A6284F" w:rsidRDefault="00303676" w:rsidP="00303676">
      <w:pPr>
        <w:spacing w:before="120"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Parlamenti</w:t>
      </w:r>
    </w:p>
    <w:p w:rsidR="00303676" w:rsidRPr="00A6284F" w:rsidRDefault="00303676" w:rsidP="00303676">
      <w:pPr>
        <w:pBdr>
          <w:top w:val="single" w:sz="5" w:space="1" w:color="000000"/>
          <w:left w:val="single" w:sz="5" w:space="7" w:color="000000"/>
          <w:bottom w:val="single" w:sz="5" w:space="0" w:color="000000"/>
          <w:right w:val="single" w:sz="5" w:space="7" w:color="000000"/>
        </w:pBdr>
        <w:shd w:val="solid" w:color="F1F1F1" w:fill="F1F1F1"/>
        <w:spacing w:after="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Kuvendi ka vazhduar të funksionoj në një kontekst tejet të polarizuar politik. Të shoqëruar me dobësitë e vazhdueshme në lidhje me rregulloren e punës  dhe planifikimin e seancave, kjo ka çuar në vonesa në aktivitetin legjislativ. Sidoqoftë, Kuvendi ishte në gjendje të ndërtonte shumicën për çështje të caktuara strategjike për Kosovën, të tilla si ratifikimi i marrëveshjes së </w:t>
      </w:r>
      <w:proofErr w:type="spellStart"/>
      <w:r w:rsidRPr="00A6284F">
        <w:rPr>
          <w:rFonts w:eastAsia="Times New Roman"/>
          <w:color w:val="000000"/>
          <w:sz w:val="24"/>
          <w:lang w:val="sq-AL"/>
        </w:rPr>
        <w:t>demarkimit</w:t>
      </w:r>
      <w:proofErr w:type="spellEnd"/>
      <w:r w:rsidRPr="00A6284F">
        <w:rPr>
          <w:rFonts w:eastAsia="Times New Roman"/>
          <w:color w:val="000000"/>
          <w:sz w:val="24"/>
          <w:lang w:val="sq-AL"/>
        </w:rPr>
        <w:t xml:space="preserve"> të kufirit me Malin e Zi dhe miratimi i disa reformave të rëndësishme legjislative të lidhura me BE-në.</w:t>
      </w:r>
    </w:p>
    <w:p w:rsidR="00303676" w:rsidRPr="00A6284F" w:rsidRDefault="00303676" w:rsidP="00303676">
      <w:pPr>
        <w:spacing w:before="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Gjatë periudhës raportuese, funksionimi i duhur i Kuvendit u pengua nga një kontekst politik i polarizuar. Mungesa e shpeshtë e deputetëve të Kuvendit, duke përfshirë bojkotimet e pjesshme, shpesh rezultuan në mos arritjen e kuorumit për vendimmarrje dhe si rezultat u shkaktuan vonesa të konsiderueshme në aktivitetin legjislativ. Përkundër kësaj, Kuvendi miratoi një sërë reformash kyçe legjislative të lidhura me BE-në, veçanërisht në sundimin e </w:t>
      </w:r>
      <w:r w:rsidRPr="00A6284F">
        <w:rPr>
          <w:rFonts w:eastAsia="Times New Roman"/>
          <w:color w:val="000000"/>
          <w:sz w:val="24"/>
          <w:lang w:val="sq-AL"/>
        </w:rPr>
        <w:lastRenderedPageBreak/>
        <w:t>ligjit dhe administratën publike. Gjithashtu, kuvendi ratifikoi disa marrëveshje të rëndësishme ndërkombëtare, duke përfshirë marrëveshjen e kufirit me Malin e Zi (mars 2018), Traktatin e Komunitetit të Transportit (tetor 2018) dhe marrëveshjet për pjesëmarrjen e Kosovës në tre programe të BE-së (</w:t>
      </w:r>
      <w:proofErr w:type="spellStart"/>
      <w:r w:rsidRPr="00A6284F">
        <w:rPr>
          <w:rFonts w:eastAsia="Times New Roman"/>
          <w:color w:val="000000"/>
          <w:sz w:val="24"/>
          <w:lang w:val="sq-AL"/>
        </w:rPr>
        <w:t>Erasmus</w:t>
      </w:r>
      <w:proofErr w:type="spellEnd"/>
      <w:r w:rsidRPr="00A6284F">
        <w:rPr>
          <w:rFonts w:eastAsia="Times New Roman"/>
          <w:color w:val="000000"/>
          <w:sz w:val="24"/>
          <w:lang w:val="sq-AL"/>
        </w:rPr>
        <w:t xml:space="preserve"> +, Evropa për Qytetarët dhe Evropa Kreative) në Shtator 2018.</w:t>
      </w:r>
    </w:p>
    <w:p w:rsidR="00303676" w:rsidRPr="00A6284F" w:rsidRDefault="00303676" w:rsidP="00303676">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Kanë vazhduar shkeljet e shpeshta të rregullores së punës së  Kuvendit, duke përkeqësuar tensionet politike midis koalicionit qeverisës dhe opozitës. Për më tepër, një sërë seancash plenare nuk kanë arritur të përfundohen, duke rezultuar kështu në grumbullimin e një numri të madh të pikave të rendit të ditës. Kuvendi duhet t'i kthehet seancave të rregullta plenare dhe ta respektojë kohën e caktuar të seancave të planifikuara, në përputhje me rregulloren e punës. Përveç kësaj, duhet ta përmirësojë kornizën </w:t>
      </w:r>
      <w:proofErr w:type="spellStart"/>
      <w:r w:rsidRPr="00A6284F">
        <w:rPr>
          <w:rFonts w:eastAsia="Times New Roman"/>
          <w:color w:val="000000"/>
          <w:sz w:val="24"/>
          <w:lang w:val="sq-AL"/>
        </w:rPr>
        <w:t>rregullatore</w:t>
      </w:r>
      <w:proofErr w:type="spellEnd"/>
      <w:r w:rsidRPr="00A6284F">
        <w:rPr>
          <w:rFonts w:eastAsia="Times New Roman"/>
          <w:color w:val="000000"/>
          <w:sz w:val="24"/>
          <w:lang w:val="sq-AL"/>
        </w:rPr>
        <w:t xml:space="preserve">, duke përfshirë rregulloren e saj të punës. Nga 91 ligjet e miratuara gjatë periudhës raportuese, vetëm dy janë miratuar me procedurë të shpejtë. Megjithatë, në përgjithësi ende ekziston mungesa e debatit </w:t>
      </w:r>
      <w:proofErr w:type="spellStart"/>
      <w:r w:rsidRPr="00A6284F">
        <w:rPr>
          <w:rFonts w:eastAsia="Times New Roman"/>
          <w:color w:val="000000"/>
          <w:sz w:val="24"/>
          <w:lang w:val="sq-AL"/>
        </w:rPr>
        <w:t>përmbajtësor</w:t>
      </w:r>
      <w:proofErr w:type="spellEnd"/>
      <w:r w:rsidRPr="00A6284F">
        <w:rPr>
          <w:rFonts w:eastAsia="Times New Roman"/>
          <w:color w:val="000000"/>
          <w:sz w:val="24"/>
          <w:lang w:val="sq-AL"/>
        </w:rPr>
        <w:t xml:space="preserve"> ose konsultimit me akterët mbi projektligjet.</w:t>
      </w:r>
    </w:p>
    <w:p w:rsidR="00303676" w:rsidRPr="00A6284F" w:rsidRDefault="00303676" w:rsidP="00303676">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Periudha raportues ka regjistruar ndryshime në konfiguracionin politik të Kuvendit. Në mars të vitit 2018, deputetët e Lista </w:t>
      </w:r>
      <w:proofErr w:type="spellStart"/>
      <w:r w:rsidRPr="00A6284F">
        <w:rPr>
          <w:rFonts w:eastAsia="Times New Roman"/>
          <w:color w:val="000000"/>
          <w:sz w:val="24"/>
          <w:lang w:val="sq-AL"/>
        </w:rPr>
        <w:t>Srpska</w:t>
      </w:r>
      <w:proofErr w:type="spellEnd"/>
      <w:r w:rsidRPr="00A6284F">
        <w:rPr>
          <w:rFonts w:eastAsia="Times New Roman"/>
          <w:color w:val="000000"/>
          <w:sz w:val="24"/>
          <w:lang w:val="sq-AL"/>
        </w:rPr>
        <w:t xml:space="preserve"> tërhoqën mbështetjen e tyre për koalicionin qeverisës, që rezultoi në humbjen e shumicës parlamentare nga ana e qeverisë. Në maj të vitit 2018, u krijua një grup i ri i Partisë Social Demokratike (PSD)  nga 12 deputetë të cilët më parë i takonin grupit parlamentar të Vetëvendosjes.</w:t>
      </w:r>
    </w:p>
    <w:p w:rsidR="00303676" w:rsidRPr="00A6284F" w:rsidRDefault="00303676" w:rsidP="00303676">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Kosova ka një kuotë të detyrueshme prej 30% të ulëseve të Kuvendit të rezervuara për gratë. Në legjislaturën aktuale, 38 nga 120 e deputetëve të Kuvendit janë gra, duke përfshirë dy nga pesë nënkryetarët.</w:t>
      </w:r>
    </w:p>
    <w:p w:rsidR="00303676" w:rsidRPr="00A6284F" w:rsidRDefault="00303676" w:rsidP="00303676">
      <w:pPr>
        <w:spacing w:before="120" w:line="276"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 xml:space="preserve">Mbikëqyrja parlamentare e ekzekutivit </w:t>
      </w:r>
      <w:r w:rsidRPr="00A6284F">
        <w:rPr>
          <w:rFonts w:eastAsia="Times New Roman"/>
          <w:color w:val="000000"/>
          <w:sz w:val="24"/>
          <w:lang w:val="sq-AL"/>
        </w:rPr>
        <w:t xml:space="preserve">mbetet e dobët. Ministrat shpesh </w:t>
      </w:r>
      <w:r w:rsidR="005629E6" w:rsidRPr="00A6284F">
        <w:rPr>
          <w:rFonts w:eastAsia="Times New Roman"/>
          <w:color w:val="000000"/>
          <w:sz w:val="24"/>
          <w:lang w:val="sq-AL"/>
        </w:rPr>
        <w:t xml:space="preserve">kanë </w:t>
      </w:r>
      <w:r w:rsidRPr="00A6284F">
        <w:rPr>
          <w:rFonts w:eastAsia="Times New Roman"/>
          <w:color w:val="000000"/>
          <w:sz w:val="24"/>
          <w:lang w:val="sq-AL"/>
        </w:rPr>
        <w:t>dështua</w:t>
      </w:r>
      <w:r w:rsidR="005629E6" w:rsidRPr="00A6284F">
        <w:rPr>
          <w:rFonts w:eastAsia="Times New Roman"/>
          <w:color w:val="000000"/>
          <w:sz w:val="24"/>
          <w:lang w:val="sq-AL"/>
        </w:rPr>
        <w:t>r</w:t>
      </w:r>
      <w:r w:rsidRPr="00A6284F">
        <w:rPr>
          <w:rFonts w:eastAsia="Times New Roman"/>
          <w:color w:val="000000"/>
          <w:sz w:val="24"/>
          <w:lang w:val="sq-AL"/>
        </w:rPr>
        <w:t xml:space="preserve"> t'i raportojnë Kuvendit dhe qeveria shpesh nuk arriti t'i përgjigjet pyetjeve parlamentare në kohën e duhur. Komisionet parlamentare vazhduan konsultimet me akterët, por nevojiten përmirësime sa i përket njoftimit të hershëm dhe përcjelljes. Administrata e Kuvendit duhet të krijojë ekspertizë të specializuar për t'i dhënë mbështetje më efektive deputetëve dhe komisioneve të Kuvendit.</w:t>
      </w:r>
    </w:p>
    <w:p w:rsidR="00303676" w:rsidRPr="00A6284F" w:rsidRDefault="00303676" w:rsidP="00303676">
      <w:pPr>
        <w:spacing w:before="120"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Kuvendi dhe qeveria duhet të zbatojnë rekomandimet pas shqyrtimit të agjencive të pavarura, të cilat janë bërë për racionalizimin e numrit të agjencive që i raportojnë Kuvendit (Shih pjesën 2.1.2 - Reforma e administratës publike). Këto agjenci nuk raportojnë sistematikisht në komisionet parlamentare. Sistemi aktual nuk siguron mbikëqyrje efektive të këtyre agjencive dhe minon pavarësinë e tyre nga ndikimet politike apo komerciale pavend. Kuvendi nuk ia doli të emëroj anëtarët e bordit profesional për disa institucione të pavarura në kohën e duhur ose në bazë të meritës. Kuvendi duhet të përdorë më mirë raportin vjetor të </w:t>
      </w:r>
      <w:r w:rsidRPr="00A6284F">
        <w:rPr>
          <w:rFonts w:eastAsia="Times New Roman"/>
          <w:b/>
          <w:color w:val="000000"/>
          <w:spacing w:val="1"/>
          <w:sz w:val="24"/>
          <w:lang w:val="sq-AL"/>
        </w:rPr>
        <w:t>Zyrës së Auditorit të Përgjithshëm</w:t>
      </w:r>
      <w:r w:rsidRPr="00A6284F">
        <w:rPr>
          <w:rFonts w:eastAsia="Times New Roman"/>
          <w:color w:val="000000"/>
          <w:spacing w:val="1"/>
          <w:sz w:val="24"/>
          <w:lang w:val="sq-AL"/>
        </w:rPr>
        <w:t xml:space="preserve"> për të shqyrtuar punën e qeverisë. Komisioni për Mbikëqyrjen e Financave Publike në Kuvend, i cili përgatit rekomandime për miratim nga ana e Kuvendit, duhet gjithashtu të mbajë seanca dëgjimore të ministrave. Mbikëqyrja parlamentare e Forcave të Sigurisë së Kosovës dhe Agjencisë së Kosovës për Inteligjencë vazhdon të jetë e pamjaftueshme.</w:t>
      </w:r>
    </w:p>
    <w:p w:rsidR="00303676" w:rsidRPr="00A6284F" w:rsidRDefault="00303676" w:rsidP="00A75C72">
      <w:pPr>
        <w:spacing w:before="123" w:line="276" w:lineRule="exact"/>
        <w:ind w:left="72" w:right="144"/>
        <w:jc w:val="both"/>
        <w:textAlignment w:val="baseline"/>
        <w:rPr>
          <w:rFonts w:eastAsia="Times New Roman"/>
          <w:color w:val="000000"/>
          <w:sz w:val="24"/>
          <w:lang w:val="sq-AL"/>
        </w:rPr>
      </w:pPr>
      <w:r w:rsidRPr="00A6284F">
        <w:rPr>
          <w:rFonts w:eastAsia="Times New Roman"/>
          <w:b/>
          <w:color w:val="000000"/>
          <w:spacing w:val="1"/>
          <w:sz w:val="24"/>
          <w:lang w:val="sq-AL"/>
        </w:rPr>
        <w:t>Institucioni i Avokatit të Popullit të Kosovës</w:t>
      </w:r>
      <w:r w:rsidRPr="00A6284F">
        <w:rPr>
          <w:rFonts w:eastAsia="Times New Roman"/>
          <w:color w:val="000000"/>
          <w:spacing w:val="1"/>
          <w:sz w:val="24"/>
          <w:lang w:val="sq-AL"/>
        </w:rPr>
        <w:t xml:space="preserve"> ka vazhduar të avancojë mandatin e tij në promovimin, mbrojtjen dhe mbështetjen e të drejtave dhe lirive themelore për të gjithë dhe të përforcoj kapacitetin e tij në shqyrtimin e rasteve. Ky i fundit mbetet institucioni më i besuar në Kosovë. Zbatimi i rekomandimeve të Avokatit të Popullit nga institucionet është përmirësuar. Financat e </w:t>
      </w:r>
      <w:r w:rsidRPr="00A6284F">
        <w:rPr>
          <w:rFonts w:eastAsia="Times New Roman"/>
          <w:b/>
          <w:color w:val="000000"/>
          <w:spacing w:val="1"/>
          <w:sz w:val="24"/>
          <w:lang w:val="sq-AL"/>
        </w:rPr>
        <w:t>partive politike</w:t>
      </w:r>
      <w:r w:rsidRPr="00A6284F">
        <w:rPr>
          <w:rFonts w:eastAsia="Times New Roman"/>
          <w:color w:val="000000"/>
          <w:spacing w:val="1"/>
          <w:sz w:val="24"/>
          <w:lang w:val="sq-AL"/>
        </w:rPr>
        <w:t xml:space="preserve">, financimi dhe shpenzimet e fushatës vazhdojnë të lëngojnë nga </w:t>
      </w:r>
      <w:r w:rsidR="00A75C72" w:rsidRPr="00A6284F">
        <w:rPr>
          <w:rFonts w:eastAsia="Times New Roman"/>
          <w:color w:val="000000"/>
          <w:spacing w:val="1"/>
          <w:sz w:val="24"/>
          <w:lang w:val="sq-AL"/>
        </w:rPr>
        <w:t>mungesa</w:t>
      </w:r>
      <w:r w:rsidRPr="00A6284F">
        <w:rPr>
          <w:rFonts w:eastAsia="Times New Roman"/>
          <w:color w:val="000000"/>
          <w:spacing w:val="1"/>
          <w:sz w:val="24"/>
          <w:lang w:val="sq-AL"/>
        </w:rPr>
        <w:t xml:space="preserve"> transparencës ndërsa legjislacioni përkatës, ndër të tjera sa i përket kufijve ligjorë dhe transparencës së donacioneve, kontributeve dhe shpenzimeve, mbeten në masë të madhe të pazbatuara. Kjo rrënon besimin e publikut tek partitë politike si dhe vazhdon ta ekspozoj procesin demokratik ndaj rreziqeve të konsiderueshme të korrupsionit dhe ndikimeve pavend. </w:t>
      </w:r>
      <w:r w:rsidRPr="00A6284F">
        <w:rPr>
          <w:rFonts w:eastAsia="Times New Roman"/>
          <w:b/>
          <w:color w:val="000000"/>
          <w:spacing w:val="1"/>
          <w:sz w:val="24"/>
          <w:lang w:val="sq-AL"/>
        </w:rPr>
        <w:t>Projektligj i rishikuar për financimin e subjekteve politike</w:t>
      </w:r>
      <w:r w:rsidR="00A75C72" w:rsidRPr="00A6284F">
        <w:rPr>
          <w:rFonts w:eastAsia="Times New Roman"/>
          <w:b/>
          <w:color w:val="000000"/>
          <w:spacing w:val="1"/>
          <w:sz w:val="24"/>
          <w:lang w:val="sq-AL"/>
        </w:rPr>
        <w:t xml:space="preserve"> </w:t>
      </w:r>
      <w:r w:rsidRPr="00A6284F">
        <w:rPr>
          <w:rFonts w:eastAsia="Times New Roman"/>
          <w:color w:val="000000"/>
          <w:sz w:val="24"/>
          <w:lang w:val="sq-AL"/>
        </w:rPr>
        <w:t xml:space="preserve">i hartuar nga qeveria pas konsultimit me Komisionin e Venedikut, është në shqyrtim në Kuvend. Rekomandimet e Komisionit të Venedikut duhet të merren parasysh në mënyrë që të sigurohet </w:t>
      </w:r>
      <w:r w:rsidRPr="00A6284F">
        <w:rPr>
          <w:rFonts w:eastAsia="Times New Roman"/>
          <w:color w:val="000000"/>
          <w:sz w:val="24"/>
          <w:lang w:val="sq-AL"/>
        </w:rPr>
        <w:lastRenderedPageBreak/>
        <w:t xml:space="preserve">transparenca, llogaridhënia dhe mekanizmat efektivë të zbatimit. Gjatë periudhës raportuese, KQZ-ja dhe organet kompetente të zbatimit të ligjit dhe gjyqësorit nuk arritën që t'i trajtojnë gjetjet e auditorëve të jashtëm nga dhjetori i vitit 2017 që konfirmonin shkelje të rënda të legjislacionit të financimit të partive politike dhe mangësi të mëdha në kontrollin e brendshëm financiar nga subjektet politike. Zyrën për Regjistrimin e Partive Politike dhe </w:t>
      </w:r>
      <w:r w:rsidR="00C51357" w:rsidRPr="00A6284F">
        <w:rPr>
          <w:rFonts w:eastAsia="Times New Roman"/>
          <w:color w:val="000000"/>
          <w:sz w:val="24"/>
          <w:lang w:val="sq-AL"/>
        </w:rPr>
        <w:t>Certifikim</w:t>
      </w:r>
      <w:r w:rsidRPr="00A6284F">
        <w:rPr>
          <w:rFonts w:eastAsia="Times New Roman"/>
          <w:color w:val="000000"/>
          <w:sz w:val="24"/>
          <w:lang w:val="sq-AL"/>
        </w:rPr>
        <w:t xml:space="preserve"> në KQZ duhet të fuqizohet dhe t'i jepet pavarësi </w:t>
      </w:r>
      <w:proofErr w:type="spellStart"/>
      <w:r w:rsidRPr="00A6284F">
        <w:rPr>
          <w:rFonts w:eastAsia="Times New Roman"/>
          <w:color w:val="000000"/>
          <w:sz w:val="24"/>
          <w:lang w:val="sq-AL"/>
        </w:rPr>
        <w:t>operacionale</w:t>
      </w:r>
      <w:proofErr w:type="spellEnd"/>
      <w:r w:rsidRPr="00A6284F">
        <w:rPr>
          <w:rFonts w:eastAsia="Times New Roman"/>
          <w:color w:val="000000"/>
          <w:sz w:val="24"/>
          <w:lang w:val="sq-AL"/>
        </w:rPr>
        <w:t xml:space="preserve"> për të siguruar zbatimin e duhur të kornizës legjislative, duke përfshirë bashkëpunimin më të mirë me prokurorinë, autoritetet tatimore, Agjencinë Kundër Korrupsionit dhe Auditorin e Përgjithshëm.</w:t>
      </w:r>
    </w:p>
    <w:p w:rsidR="00303676" w:rsidRPr="00A6284F" w:rsidRDefault="00303676" w:rsidP="00303676">
      <w:pPr>
        <w:spacing w:before="127" w:after="101" w:line="273" w:lineRule="exact"/>
        <w:ind w:left="144"/>
        <w:textAlignment w:val="baseline"/>
        <w:rPr>
          <w:rFonts w:eastAsia="Times New Roman"/>
          <w:b/>
          <w:color w:val="000000"/>
          <w:sz w:val="24"/>
          <w:lang w:val="sq-AL"/>
        </w:rPr>
      </w:pPr>
      <w:r w:rsidRPr="00A6284F">
        <w:rPr>
          <w:rFonts w:eastAsia="Times New Roman"/>
          <w:b/>
          <w:color w:val="000000"/>
          <w:sz w:val="24"/>
          <w:lang w:val="sq-AL"/>
        </w:rPr>
        <w:t>Qeverisja</w:t>
      </w:r>
    </w:p>
    <w:p w:rsidR="00303676" w:rsidRPr="00A6284F" w:rsidRDefault="00303676" w:rsidP="00303676">
      <w:pPr>
        <w:pBdr>
          <w:top w:val="single" w:sz="5" w:space="1" w:color="000000"/>
          <w:left w:val="single" w:sz="5" w:space="7" w:color="000000"/>
          <w:bottom w:val="single" w:sz="5" w:space="0" w:color="000000"/>
          <w:right w:val="single" w:sz="5" w:space="7" w:color="000000"/>
        </w:pBdr>
        <w:shd w:val="solid" w:color="F1F1F1" w:fill="F1F1F1"/>
        <w:spacing w:after="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Qeveria ka shfaqur angazhim në zbatimin e disa prioriteteve kryesore të Agjendës Evropiane të Reformës (</w:t>
      </w:r>
      <w:r w:rsidR="000C09A2" w:rsidRPr="00A6284F">
        <w:rPr>
          <w:rFonts w:eastAsia="Times New Roman"/>
          <w:color w:val="000000"/>
          <w:sz w:val="24"/>
          <w:lang w:val="sq-AL"/>
        </w:rPr>
        <w:t>AER</w:t>
      </w:r>
      <w:r w:rsidRPr="00A6284F">
        <w:rPr>
          <w:rFonts w:eastAsia="Times New Roman"/>
          <w:color w:val="000000"/>
          <w:sz w:val="24"/>
          <w:lang w:val="sq-AL"/>
        </w:rPr>
        <w:t>), në veçanti për reformat legjislative në fushat e sundimit të ligjit dhe të administratës publike. Megjithatë, në të njëjtën kohë ka marr një numër vendimesh që nuk janë në përputhje apo nuk janë në frymën e detyrimeve të  Kosovës për reforma. Numri i ministrave, përfshirë edhe zëvendësministrat, mbetet tejet i lartë. Arritjet e përgjithshme të qeverisë u zbehën nga vendosja e tarifave 100% për mallrat nga Serbia dhe Bosnja dhe Hercegovina.</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Është bërë progres i rëndësishëm në zbatimin e zotimeve kyçe në kuadër të </w:t>
      </w:r>
      <w:r w:rsidR="000C09A2" w:rsidRPr="00A6284F">
        <w:rPr>
          <w:rFonts w:eastAsia="Times New Roman"/>
          <w:color w:val="000000"/>
          <w:sz w:val="24"/>
          <w:lang w:val="sq-AL"/>
        </w:rPr>
        <w:t>AER</w:t>
      </w:r>
      <w:r w:rsidRPr="00A6284F">
        <w:rPr>
          <w:rFonts w:eastAsia="Times New Roman"/>
          <w:color w:val="000000"/>
          <w:sz w:val="24"/>
          <w:lang w:val="sq-AL"/>
        </w:rPr>
        <w:t>-</w:t>
      </w:r>
      <w:r w:rsidR="00C51357" w:rsidRPr="00A6284F">
        <w:rPr>
          <w:rFonts w:eastAsia="Times New Roman"/>
          <w:color w:val="000000"/>
          <w:sz w:val="24"/>
          <w:lang w:val="sq-AL"/>
        </w:rPr>
        <w:t>së</w:t>
      </w:r>
      <w:r w:rsidRPr="00A6284F">
        <w:rPr>
          <w:rFonts w:eastAsia="Times New Roman"/>
          <w:color w:val="000000"/>
          <w:sz w:val="24"/>
          <w:lang w:val="sq-AL"/>
        </w:rPr>
        <w:t>, duke përfshirë reformat legjislative në fushat e sundimit të ligjit dhe reformës së administratës publike. Megjithatë, një numër zotimesh të</w:t>
      </w:r>
      <w:r w:rsidR="00C51357" w:rsidRPr="00A6284F">
        <w:rPr>
          <w:rFonts w:eastAsia="Times New Roman"/>
          <w:color w:val="000000"/>
          <w:sz w:val="24"/>
          <w:lang w:val="sq-AL"/>
        </w:rPr>
        <w:t xml:space="preserve"> </w:t>
      </w:r>
      <w:r w:rsidR="000C09A2" w:rsidRPr="00A6284F">
        <w:rPr>
          <w:rFonts w:eastAsia="Times New Roman"/>
          <w:color w:val="000000"/>
          <w:sz w:val="24"/>
          <w:lang w:val="sq-AL"/>
        </w:rPr>
        <w:t>AER</w:t>
      </w:r>
      <w:r w:rsidR="00C51357" w:rsidRPr="00A6284F">
        <w:rPr>
          <w:rFonts w:eastAsia="Times New Roman"/>
          <w:color w:val="000000"/>
          <w:sz w:val="24"/>
          <w:lang w:val="sq-AL"/>
        </w:rPr>
        <w:t xml:space="preserve">-së </w:t>
      </w:r>
      <w:r w:rsidRPr="00A6284F">
        <w:rPr>
          <w:rFonts w:eastAsia="Times New Roman"/>
          <w:color w:val="000000"/>
          <w:sz w:val="24"/>
          <w:lang w:val="sq-AL"/>
        </w:rPr>
        <w:t>ende nuk janë zbatuar plotësisht, veçanërisht në fushat e konkurrencës, punësimit dhe arsimit.</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më tepër, një numër masash të ndërmarra nga qeveria gjatë periudhës raportuese nuk ishin në përputhje me objektivat e reformave shtetërore, veçanërisht rekrutimet jo-meritore dhe vendimet </w:t>
      </w:r>
      <w:proofErr w:type="spellStart"/>
      <w:r w:rsidRPr="00A6284F">
        <w:rPr>
          <w:rFonts w:eastAsia="Times New Roman"/>
          <w:i/>
          <w:color w:val="000000"/>
          <w:sz w:val="24"/>
          <w:lang w:val="sq-AL"/>
        </w:rPr>
        <w:t>ad</w:t>
      </w:r>
      <w:proofErr w:type="spellEnd"/>
      <w:r w:rsidRPr="00A6284F">
        <w:rPr>
          <w:rFonts w:eastAsia="Times New Roman"/>
          <w:i/>
          <w:color w:val="000000"/>
          <w:sz w:val="24"/>
          <w:lang w:val="sq-AL"/>
        </w:rPr>
        <w:t xml:space="preserve"> </w:t>
      </w:r>
      <w:proofErr w:type="spellStart"/>
      <w:r w:rsidRPr="00A6284F">
        <w:rPr>
          <w:rFonts w:eastAsia="Times New Roman"/>
          <w:i/>
          <w:color w:val="000000"/>
          <w:sz w:val="24"/>
          <w:lang w:val="sq-AL"/>
        </w:rPr>
        <w:t>hoc</w:t>
      </w:r>
      <w:proofErr w:type="spellEnd"/>
      <w:r w:rsidRPr="00A6284F">
        <w:rPr>
          <w:rFonts w:eastAsia="Times New Roman"/>
          <w:color w:val="000000"/>
          <w:sz w:val="24"/>
          <w:lang w:val="sq-AL"/>
        </w:rPr>
        <w:t xml:space="preserve"> të ndikuara nga interesa të veçanta.</w:t>
      </w:r>
    </w:p>
    <w:p w:rsidR="00303676" w:rsidRPr="00A6284F" w:rsidRDefault="00303676" w:rsidP="00303676">
      <w:pPr>
        <w:spacing w:before="12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Emërimi si këshilltar i qeverisë dhe pastaj emërimi si ambasador i një të dënuari për krime lufte u kritikua </w:t>
      </w:r>
      <w:r w:rsidR="00275F08" w:rsidRPr="00A6284F">
        <w:rPr>
          <w:rFonts w:eastAsia="Times New Roman"/>
          <w:color w:val="000000"/>
          <w:sz w:val="24"/>
          <w:lang w:val="sq-AL"/>
        </w:rPr>
        <w:t>shumë</w:t>
      </w:r>
      <w:r w:rsidRPr="00A6284F">
        <w:rPr>
          <w:rFonts w:eastAsia="Times New Roman"/>
          <w:color w:val="000000"/>
          <w:sz w:val="24"/>
          <w:lang w:val="sq-AL"/>
        </w:rPr>
        <w:t>. Për më tepër, fakti se qeveria inkuadron një numër të ministrave ndaj të cilëve janë ngritur aktakuza për vepra penale që përfshijnë korrupsionin dhe shpërdorimin e detyrës, dëmton imazhin e qeverisë dhe zotimin e saj të deklaruar për luftimin e korrupsionit dhe mos</w:t>
      </w:r>
      <w:r w:rsidR="00275F08" w:rsidRPr="00A6284F">
        <w:rPr>
          <w:rFonts w:eastAsia="Times New Roman"/>
          <w:color w:val="000000"/>
          <w:sz w:val="24"/>
          <w:lang w:val="sq-AL"/>
        </w:rPr>
        <w:t>-</w:t>
      </w:r>
      <w:proofErr w:type="spellStart"/>
      <w:r w:rsidRPr="00A6284F">
        <w:rPr>
          <w:rFonts w:eastAsia="Times New Roman"/>
          <w:color w:val="000000"/>
          <w:sz w:val="24"/>
          <w:lang w:val="sq-AL"/>
        </w:rPr>
        <w:t>ndëshkueshmërisë</w:t>
      </w:r>
      <w:proofErr w:type="spellEnd"/>
      <w:r w:rsidRPr="00A6284F">
        <w:rPr>
          <w:rFonts w:eastAsia="Times New Roman"/>
          <w:color w:val="000000"/>
          <w:sz w:val="24"/>
          <w:lang w:val="sq-AL"/>
        </w:rPr>
        <w:t xml:space="preserve"> në të gjitha nivelet.</w:t>
      </w:r>
    </w:p>
    <w:p w:rsidR="00303676" w:rsidRPr="00A6284F" w:rsidRDefault="00303676" w:rsidP="00303676">
      <w:pPr>
        <w:spacing w:before="12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Ka vazhduar trendi i emërimit të një numri tejet të lartë të zëvendësministrave, ndonjëherë pa </w:t>
      </w:r>
      <w:proofErr w:type="spellStart"/>
      <w:r w:rsidRPr="00A6284F">
        <w:rPr>
          <w:rFonts w:eastAsia="Times New Roman"/>
          <w:color w:val="000000"/>
          <w:sz w:val="24"/>
          <w:lang w:val="sq-AL"/>
        </w:rPr>
        <w:t>atribuim</w:t>
      </w:r>
      <w:proofErr w:type="spellEnd"/>
      <w:r w:rsidRPr="00A6284F">
        <w:rPr>
          <w:rFonts w:eastAsia="Times New Roman"/>
          <w:color w:val="000000"/>
          <w:sz w:val="24"/>
          <w:lang w:val="sq-AL"/>
        </w:rPr>
        <w:t xml:space="preserve"> të qartë të roleve. Aktualisht janë rreth 80 zëvendësministra. Kjo vazhdon të minojë besueshmërinë, koherencën dhe efektivitetin e qeverisë.</w:t>
      </w:r>
    </w:p>
    <w:p w:rsidR="00303676" w:rsidRPr="00A6284F" w:rsidRDefault="00303676" w:rsidP="00303676">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Programi i përditësuar i Kosovës 2018-22 për zbatimin e MSA shërben si mjeti kryesor për planifikimin, bashkërendimin dhe monitorimin e reformave të lidhura me BE-në. Zbatimi i MSA-së është duke vazhduar, por pjesa më madhe e programit ka ngecë prapa. Do të nevojitet një përqendrim më i fortë në zbatimin e MSA për të siguruar që Kosova t'i përmbushë detyrimet e saja kontraktuale dhe afatet e saj sipas Marrëveshjes.</w:t>
      </w:r>
    </w:p>
    <w:p w:rsidR="00303676" w:rsidRPr="00A6284F" w:rsidRDefault="00303676" w:rsidP="00303676">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Këshilli Ministror për Integrim Evropian (i udhëhequr nga Kryeministri) dhe Komiteti i Punës për Integrim Evropian (i udhëhequr nga Ministrja për Integrime Evropiane) takohen në intervale të rregullta për të dhënë udhëzime strategjike për reformat e lidhura me BE. Roli i Ministrisë së Integrimit Evropian është vendimtar në sigurimin e koordinimit efektiv të reformave të lidhura me BE-në dhe një qasje strategjike ndaj tyre.</w:t>
      </w:r>
    </w:p>
    <w:p w:rsidR="00303676" w:rsidRPr="00A6284F" w:rsidRDefault="00303676" w:rsidP="00BB48F2">
      <w:pPr>
        <w:spacing w:before="120" w:after="616"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periudhën raportuese, ndodhën një numër i ndryshimeve të personelit në qeveri. Nga 21 ministra, 19 janë burra.</w:t>
      </w:r>
      <w:r w:rsidR="00BB48F2" w:rsidRPr="00A6284F">
        <w:rPr>
          <w:rFonts w:eastAsia="Times New Roman"/>
          <w:color w:val="000000"/>
          <w:sz w:val="24"/>
          <w:lang w:val="sq-AL"/>
        </w:rPr>
        <w:t xml:space="preserve"> </w:t>
      </w:r>
      <w:r w:rsidRPr="00A6284F">
        <w:rPr>
          <w:rFonts w:eastAsia="Times New Roman"/>
          <w:color w:val="000000"/>
          <w:sz w:val="24"/>
          <w:lang w:val="sq-AL"/>
        </w:rPr>
        <w:t>Pesë poste ministrore vazhdojnë të mbahen nga përfaqësuesit e</w:t>
      </w:r>
      <w:r w:rsidR="00BB48F2" w:rsidRPr="00A6284F">
        <w:rPr>
          <w:rFonts w:eastAsia="Times New Roman"/>
          <w:color w:val="000000"/>
          <w:sz w:val="24"/>
          <w:lang w:val="sq-AL"/>
        </w:rPr>
        <w:t xml:space="preserve"> </w:t>
      </w:r>
      <w:r w:rsidRPr="00A6284F">
        <w:rPr>
          <w:rFonts w:eastAsia="Times New Roman"/>
          <w:color w:val="000000"/>
          <w:sz w:val="24"/>
          <w:lang w:val="sq-AL"/>
        </w:rPr>
        <w:t xml:space="preserve">pakicave, por ministrat që i përkasin Lista </w:t>
      </w:r>
      <w:proofErr w:type="spellStart"/>
      <w:r w:rsidRPr="00A6284F">
        <w:rPr>
          <w:rFonts w:eastAsia="Times New Roman"/>
          <w:color w:val="000000"/>
          <w:sz w:val="24"/>
          <w:lang w:val="sq-AL"/>
        </w:rPr>
        <w:t>Srpska</w:t>
      </w:r>
      <w:proofErr w:type="spellEnd"/>
      <w:r w:rsidRPr="00A6284F">
        <w:rPr>
          <w:rFonts w:eastAsia="Times New Roman"/>
          <w:color w:val="000000"/>
          <w:sz w:val="24"/>
          <w:lang w:val="sq-AL"/>
        </w:rPr>
        <w:t xml:space="preserve"> nuk marrin pjesë në mbledhjet e qeverisë dhe në vendimmarrje.</w:t>
      </w:r>
    </w:p>
    <w:p w:rsidR="00303676" w:rsidRPr="00A6284F" w:rsidRDefault="00303676" w:rsidP="00303676">
      <w:pPr>
        <w:spacing w:before="110"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Kanë vazhduar përpjekjet për përmirësimin e kapaciteteve dhe ofrimin e shërbimeve të </w:t>
      </w:r>
      <w:r w:rsidRPr="00A6284F">
        <w:rPr>
          <w:rFonts w:eastAsia="Times New Roman"/>
          <w:b/>
          <w:color w:val="000000"/>
          <w:sz w:val="24"/>
          <w:lang w:val="sq-AL"/>
        </w:rPr>
        <w:t>pushtetit lokal</w:t>
      </w:r>
      <w:r w:rsidRPr="00A6284F">
        <w:rPr>
          <w:rFonts w:eastAsia="Times New Roman"/>
          <w:color w:val="000000"/>
          <w:sz w:val="24"/>
          <w:lang w:val="sq-AL"/>
        </w:rPr>
        <w:t>. Megjithatë, cilësia e konsultimeve publike në nivel lokal mbetet shqetësim. Gra</w:t>
      </w:r>
      <w:r w:rsidR="00BD474F" w:rsidRPr="00A6284F">
        <w:rPr>
          <w:rFonts w:eastAsia="Times New Roman"/>
          <w:color w:val="000000"/>
          <w:sz w:val="24"/>
          <w:lang w:val="sq-AL"/>
        </w:rPr>
        <w:t>të mbeten të në</w:t>
      </w:r>
      <w:r w:rsidRPr="00A6284F">
        <w:rPr>
          <w:rFonts w:eastAsia="Times New Roman"/>
          <w:color w:val="000000"/>
          <w:sz w:val="24"/>
          <w:lang w:val="sq-AL"/>
        </w:rPr>
        <w:t>n</w:t>
      </w:r>
      <w:r w:rsidR="00BD474F" w:rsidRPr="00A6284F">
        <w:rPr>
          <w:rFonts w:eastAsia="Times New Roman"/>
          <w:color w:val="000000"/>
          <w:sz w:val="24"/>
          <w:lang w:val="sq-AL"/>
        </w:rPr>
        <w:t>-</w:t>
      </w:r>
      <w:r w:rsidRPr="00A6284F">
        <w:rPr>
          <w:rFonts w:eastAsia="Times New Roman"/>
          <w:color w:val="000000"/>
          <w:sz w:val="24"/>
          <w:lang w:val="sq-AL"/>
        </w:rPr>
        <w:t>përfaqësuara në pozitat lokale të vendimmarrjes. Të 38 kryetarët e komunave të Kosovës janë burra. Nga 38 kryetarët e kuvendeve të komunave, 32 janë burra. Megjithatë, përpjekjet nga Ministria e Administrimit të Pushtetit Lokal kanë çuar në disa përmirësime. Përqindja e pozitave të drejtorëve në organet ekzekutive komunale të mbajtura nga gratë është rritur nga 11% në 19%. Në 31 nga 38 komunat, pozitat e paguara të komisioneve të kuvendeve të komunës përfshijnë një numër të barabartë të grave dhe burrave, siç kërkohet me Ligjin për Barazi Gjinore. Ministria e Administrimit të Pushtetit Lokal i ka referuar Ministrisë së Drejtësisë të gjashtë komunat mos respektuese</w:t>
      </w:r>
      <w:r w:rsidR="00BD474F" w:rsidRPr="00A6284F">
        <w:rPr>
          <w:rFonts w:eastAsia="Times New Roman"/>
          <w:color w:val="000000"/>
          <w:sz w:val="24"/>
          <w:lang w:val="sq-AL"/>
        </w:rPr>
        <w:t xml:space="preserve"> </w:t>
      </w:r>
      <w:r w:rsidRPr="00A6284F">
        <w:rPr>
          <w:rFonts w:eastAsia="Times New Roman"/>
          <w:color w:val="000000"/>
          <w:sz w:val="24"/>
          <w:lang w:val="sq-AL"/>
        </w:rPr>
        <w:t>për masa juridike.</w:t>
      </w:r>
    </w:p>
    <w:p w:rsidR="00303676" w:rsidRPr="00A6284F" w:rsidRDefault="00BD474F" w:rsidP="00303676">
      <w:pPr>
        <w:spacing w:before="115" w:line="277"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Megjithëse pushteteve</w:t>
      </w:r>
      <w:r w:rsidR="00303676" w:rsidRPr="00A6284F">
        <w:rPr>
          <w:rFonts w:eastAsia="Times New Roman"/>
          <w:color w:val="000000"/>
          <w:spacing w:val="-1"/>
          <w:sz w:val="24"/>
          <w:lang w:val="sq-AL"/>
        </w:rPr>
        <w:t xml:space="preserve"> lokale u janë dhënë më shumë kompetenca, burimet e tyre njerëzore dhe financiare shpesh janë të pamjaftueshme. Kapacitetet e kufizuara dhe vështirësitë në zbatimin e ligjeve, rregulloreve, politikave dhe procedurave </w:t>
      </w:r>
      <w:r w:rsidRPr="00A6284F">
        <w:rPr>
          <w:rFonts w:eastAsia="Times New Roman"/>
          <w:color w:val="000000"/>
          <w:spacing w:val="-1"/>
          <w:sz w:val="24"/>
          <w:lang w:val="sq-AL"/>
        </w:rPr>
        <w:t xml:space="preserve">e </w:t>
      </w:r>
      <w:r w:rsidR="00303676" w:rsidRPr="00A6284F">
        <w:rPr>
          <w:rFonts w:eastAsia="Times New Roman"/>
          <w:color w:val="000000"/>
          <w:spacing w:val="-1"/>
          <w:sz w:val="24"/>
          <w:lang w:val="sq-AL"/>
        </w:rPr>
        <w:t>dëmtojnë cilësinë e ofrimit të shërbimeve komunale. Ndikimi i tepruar politik në administratën lokale, së bashku me mbikëqyrjen dhe kompetencat</w:t>
      </w:r>
      <w:r w:rsidRPr="00A6284F">
        <w:rPr>
          <w:rFonts w:eastAsia="Times New Roman"/>
          <w:color w:val="000000"/>
          <w:spacing w:val="-1"/>
          <w:sz w:val="24"/>
          <w:lang w:val="sq-AL"/>
        </w:rPr>
        <w:t xml:space="preserve"> e</w:t>
      </w:r>
      <w:r w:rsidR="00303676" w:rsidRPr="00A6284F">
        <w:rPr>
          <w:rFonts w:eastAsia="Times New Roman"/>
          <w:color w:val="000000"/>
          <w:spacing w:val="-1"/>
          <w:sz w:val="24"/>
          <w:lang w:val="sq-AL"/>
        </w:rPr>
        <w:t xml:space="preserve"> dobëta </w:t>
      </w:r>
      <w:r w:rsidRPr="00A6284F">
        <w:rPr>
          <w:rFonts w:eastAsia="Times New Roman"/>
          <w:color w:val="000000"/>
          <w:spacing w:val="-1"/>
          <w:sz w:val="24"/>
          <w:lang w:val="sq-AL"/>
        </w:rPr>
        <w:t xml:space="preserve">buxhetore </w:t>
      </w:r>
      <w:r w:rsidR="00303676" w:rsidRPr="00A6284F">
        <w:rPr>
          <w:rFonts w:eastAsia="Times New Roman"/>
          <w:color w:val="000000"/>
          <w:spacing w:val="-1"/>
          <w:sz w:val="24"/>
          <w:lang w:val="sq-AL"/>
        </w:rPr>
        <w:t xml:space="preserve">të kuvendeve të komunave, kanë ndikim negativ në qeverisjen lokale. Është duke u hartuar një Ligj i ri për financat lokale që adreson çështjet që ndërlidhen, ndër të tjera, me </w:t>
      </w:r>
      <w:proofErr w:type="spellStart"/>
      <w:r w:rsidR="00303676" w:rsidRPr="00A6284F">
        <w:rPr>
          <w:rFonts w:eastAsia="Times New Roman"/>
          <w:color w:val="000000"/>
          <w:spacing w:val="-1"/>
          <w:sz w:val="24"/>
          <w:lang w:val="sq-AL"/>
        </w:rPr>
        <w:t>alokimet</w:t>
      </w:r>
      <w:proofErr w:type="spellEnd"/>
      <w:r w:rsidR="00303676" w:rsidRPr="00A6284F">
        <w:rPr>
          <w:rFonts w:eastAsia="Times New Roman"/>
          <w:color w:val="000000"/>
          <w:spacing w:val="-1"/>
          <w:sz w:val="24"/>
          <w:lang w:val="sq-AL"/>
        </w:rPr>
        <w:t xml:space="preserve"> buxhetore, marrëveshjet për investime kapitale në nivel lokal, qëndrueshmërinë financiare të komunave të vogla dhe </w:t>
      </w:r>
      <w:proofErr w:type="spellStart"/>
      <w:r w:rsidR="00303676" w:rsidRPr="00A6284F">
        <w:rPr>
          <w:rFonts w:eastAsia="Times New Roman"/>
          <w:color w:val="000000"/>
          <w:spacing w:val="-1"/>
          <w:sz w:val="24"/>
          <w:lang w:val="sq-AL"/>
        </w:rPr>
        <w:t>grantin</w:t>
      </w:r>
      <w:proofErr w:type="spellEnd"/>
      <w:r w:rsidR="00303676" w:rsidRPr="00A6284F">
        <w:rPr>
          <w:rFonts w:eastAsia="Times New Roman"/>
          <w:color w:val="000000"/>
          <w:spacing w:val="-1"/>
          <w:sz w:val="24"/>
          <w:lang w:val="sq-AL"/>
        </w:rPr>
        <w:t xml:space="preserve"> specifik që përcakton mjetet për shërbimet sociale.</w:t>
      </w:r>
    </w:p>
    <w:p w:rsidR="00303676" w:rsidRPr="00A6284F" w:rsidRDefault="00303676" w:rsidP="00303676">
      <w:pPr>
        <w:spacing w:before="115" w:line="277"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Komunat në veri të Kosovës iu përmbajtën legjislacionit për miratimin e buxheteve komunale të vitit 2018. Vazhdojnë mospërputhjet e shifrave</w:t>
      </w:r>
      <w:r w:rsidR="008B45F4" w:rsidRPr="00A6284F">
        <w:rPr>
          <w:rFonts w:eastAsia="Times New Roman"/>
          <w:color w:val="000000"/>
          <w:spacing w:val="-1"/>
          <w:sz w:val="24"/>
          <w:lang w:val="sq-AL"/>
        </w:rPr>
        <w:t xml:space="preserve"> </w:t>
      </w:r>
      <w:r w:rsidRPr="00A6284F">
        <w:rPr>
          <w:rFonts w:eastAsia="Times New Roman"/>
          <w:color w:val="000000"/>
          <w:spacing w:val="-1"/>
          <w:sz w:val="24"/>
          <w:lang w:val="sq-AL"/>
        </w:rPr>
        <w:t>të popullsisë dhe është e rëndësishme që komunat të marrin pjesë në regjistrimin e ardhshëm të popullsisë të planifikuar në mbarë Kosovën</w:t>
      </w:r>
      <w:r w:rsidRPr="00A6284F">
        <w:rPr>
          <w:rFonts w:eastAsia="Times New Roman"/>
          <w:color w:val="000000"/>
          <w:sz w:val="24"/>
          <w:lang w:val="sq-AL"/>
        </w:rPr>
        <w:t>.</w:t>
      </w:r>
    </w:p>
    <w:p w:rsidR="00303676" w:rsidRPr="00A6284F" w:rsidRDefault="00303676" w:rsidP="00303676">
      <w:pPr>
        <w:spacing w:before="130" w:after="110" w:line="274" w:lineRule="exact"/>
        <w:ind w:left="144"/>
        <w:textAlignment w:val="baseline"/>
        <w:rPr>
          <w:rFonts w:eastAsia="Times New Roman"/>
          <w:b/>
          <w:color w:val="000000"/>
          <w:sz w:val="24"/>
          <w:lang w:val="sq-AL"/>
        </w:rPr>
      </w:pPr>
      <w:r w:rsidRPr="00A6284F">
        <w:rPr>
          <w:rFonts w:eastAsia="Times New Roman"/>
          <w:b/>
          <w:color w:val="000000"/>
          <w:sz w:val="24"/>
          <w:lang w:val="sq-AL"/>
        </w:rPr>
        <w:t>Shoqëria civile</w:t>
      </w:r>
    </w:p>
    <w:p w:rsidR="00303676" w:rsidRPr="00A6284F" w:rsidRDefault="00303676" w:rsidP="00303676">
      <w:pPr>
        <w:pBdr>
          <w:top w:val="single" w:sz="5" w:space="0" w:color="000000"/>
          <w:left w:val="single" w:sz="5" w:space="7" w:color="000000"/>
          <w:bottom w:val="single" w:sz="5" w:space="0" w:color="000000"/>
          <w:right w:val="single" w:sz="5" w:space="7" w:color="000000"/>
        </w:pBdr>
        <w:shd w:val="solid" w:color="F1F1F1" w:fill="F1F1F1"/>
        <w:spacing w:after="122"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Është bërë progres </w:t>
      </w:r>
      <w:r w:rsidR="008B45F4" w:rsidRPr="00A6284F">
        <w:rPr>
          <w:rFonts w:eastAsia="Times New Roman"/>
          <w:color w:val="000000"/>
          <w:sz w:val="24"/>
          <w:lang w:val="sq-AL"/>
        </w:rPr>
        <w:t>i mëtejshëm</w:t>
      </w:r>
      <w:r w:rsidRPr="00A6284F">
        <w:rPr>
          <w:rFonts w:eastAsia="Times New Roman"/>
          <w:color w:val="000000"/>
          <w:sz w:val="24"/>
          <w:lang w:val="sq-AL"/>
        </w:rPr>
        <w:t xml:space="preserve"> në përmirësimin e bashkëpunimit </w:t>
      </w:r>
      <w:r w:rsidR="008B45F4" w:rsidRPr="00A6284F">
        <w:rPr>
          <w:rFonts w:eastAsia="Times New Roman"/>
          <w:color w:val="000000"/>
          <w:sz w:val="24"/>
          <w:lang w:val="sq-AL"/>
        </w:rPr>
        <w:t xml:space="preserve">mes </w:t>
      </w:r>
      <w:r w:rsidRPr="00A6284F">
        <w:rPr>
          <w:rFonts w:eastAsia="Times New Roman"/>
          <w:color w:val="000000"/>
          <w:sz w:val="24"/>
          <w:lang w:val="sq-AL"/>
        </w:rPr>
        <w:t xml:space="preserve">shoqërisë civile dhe qeverisë qendrore. Miratimi i Ligji të ri për Lirinë e Asocimit në Organizatat Joqeveritare (OJQ), në përputhje me standardet dhe praktikat më të mira ndërkombëtare, ishte një hap i rëndësishëm përpara. Publikimi i raportit të parë qeveritar për financimin publik të organizatave joqeveritare rezultoi me më shumë transparencë. Nevojiten më shumë përpjekje për të siguruar përfshirje dhe bashkëpunim kuptimplotë edhe në nivel lokal. Monitorimi i shoqërisë civile, </w:t>
      </w:r>
      <w:proofErr w:type="spellStart"/>
      <w:r w:rsidRPr="00A6284F">
        <w:rPr>
          <w:rFonts w:eastAsia="Times New Roman"/>
          <w:color w:val="000000"/>
          <w:sz w:val="24"/>
          <w:lang w:val="sq-AL"/>
        </w:rPr>
        <w:t>avokimi</w:t>
      </w:r>
      <w:proofErr w:type="spellEnd"/>
      <w:r w:rsidRPr="00A6284F">
        <w:rPr>
          <w:rFonts w:eastAsia="Times New Roman"/>
          <w:color w:val="000000"/>
          <w:sz w:val="24"/>
          <w:lang w:val="sq-AL"/>
        </w:rPr>
        <w:t xml:space="preserve"> dhe angazhimi i ngushtë në reformat evropiane mbetet çelësi i përparimit të Kosovës në rrugën e saj evropiane.</w:t>
      </w:r>
    </w:p>
    <w:p w:rsidR="00303676" w:rsidRPr="00A6284F" w:rsidRDefault="00303676" w:rsidP="00303676">
      <w:pPr>
        <w:spacing w:before="119"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Shoqëria civile e Kosovës duhet të vazhdojë dhe t'i mundësohet tutje të luajë një rol të rëndësishëm në debatin demokratik dhe në hartimin dhe zbatimin e politikave publike.</w:t>
      </w:r>
    </w:p>
    <w:p w:rsidR="00303676" w:rsidRPr="00A6284F" w:rsidRDefault="00303676" w:rsidP="00303676">
      <w:pPr>
        <w:spacing w:before="119"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prill 2019, Kuvendi më në fund miratoi Ligjin e ri për Lirinë e Asocimit në Organizatat Joqeveritare, i cili përmirëson mbrojtjen juridike të OJQ-ve, në përputhje me standardet dhe praktikat më të mira ndërkombëtare. Ky ligj ndryshoi ndryshimet kontestuese të miratuara nga Kuvendi në nëntor 2018.</w:t>
      </w:r>
    </w:p>
    <w:p w:rsidR="00303676" w:rsidRPr="00A6284F" w:rsidRDefault="00303676" w:rsidP="00303676">
      <w:pPr>
        <w:spacing w:before="119"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tetor </w:t>
      </w:r>
      <w:r w:rsidR="000F203D" w:rsidRPr="00A6284F">
        <w:rPr>
          <w:rFonts w:eastAsia="Times New Roman"/>
          <w:color w:val="000000"/>
          <w:sz w:val="24"/>
          <w:lang w:val="sq-AL"/>
        </w:rPr>
        <w:t xml:space="preserve">të vitit </w:t>
      </w:r>
      <w:r w:rsidRPr="00A6284F">
        <w:rPr>
          <w:rFonts w:eastAsia="Times New Roman"/>
          <w:color w:val="000000"/>
          <w:sz w:val="24"/>
          <w:lang w:val="sq-AL"/>
        </w:rPr>
        <w:t>2018,  Njësia e Inteligjencës Financiare në Kosovë, në konsultim me një numër organizatash të shoqërisë civile</w:t>
      </w:r>
      <w:r w:rsidR="000F203D" w:rsidRPr="00A6284F">
        <w:rPr>
          <w:rFonts w:eastAsia="Times New Roman"/>
          <w:color w:val="000000"/>
          <w:sz w:val="24"/>
          <w:lang w:val="sq-AL"/>
        </w:rPr>
        <w:t>,</w:t>
      </w:r>
      <w:r w:rsidRPr="00A6284F">
        <w:rPr>
          <w:rFonts w:eastAsia="Times New Roman"/>
          <w:color w:val="000000"/>
          <w:sz w:val="24"/>
          <w:lang w:val="sq-AL"/>
        </w:rPr>
        <w:t xml:space="preserve">  realizoi vlerësimin e rrezikshmërisë në sektorin e OJQ-ve për shpëlarjen e parave dhe </w:t>
      </w:r>
      <w:r w:rsidR="000F203D" w:rsidRPr="00A6284F">
        <w:rPr>
          <w:rFonts w:eastAsia="Times New Roman"/>
          <w:color w:val="000000"/>
          <w:sz w:val="24"/>
          <w:lang w:val="sq-AL"/>
        </w:rPr>
        <w:t>kundër</w:t>
      </w:r>
      <w:r w:rsidRPr="00A6284F">
        <w:rPr>
          <w:rFonts w:eastAsia="Times New Roman"/>
          <w:color w:val="000000"/>
          <w:sz w:val="24"/>
          <w:lang w:val="sq-AL"/>
        </w:rPr>
        <w:t>-terrorizmit.</w:t>
      </w:r>
    </w:p>
    <w:p w:rsidR="008B45F4" w:rsidRPr="00A6284F" w:rsidRDefault="008B45F4" w:rsidP="00303676">
      <w:pPr>
        <w:spacing w:before="18" w:line="276" w:lineRule="exact"/>
        <w:ind w:left="144" w:right="144"/>
        <w:jc w:val="both"/>
        <w:textAlignment w:val="baseline"/>
        <w:rPr>
          <w:rFonts w:eastAsia="Times New Roman"/>
          <w:color w:val="000000"/>
          <w:sz w:val="24"/>
          <w:lang w:val="sq-AL"/>
        </w:rPr>
      </w:pPr>
    </w:p>
    <w:p w:rsidR="00303676" w:rsidRPr="00A6284F" w:rsidRDefault="00303676" w:rsidP="00303676">
      <w:pPr>
        <w:spacing w:before="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Me disa vonesa, </w:t>
      </w:r>
      <w:r w:rsidR="000F203D" w:rsidRPr="00A6284F">
        <w:rPr>
          <w:rFonts w:eastAsia="Times New Roman"/>
          <w:color w:val="000000"/>
          <w:sz w:val="24"/>
          <w:lang w:val="sq-AL"/>
        </w:rPr>
        <w:t>është duke u</w:t>
      </w:r>
      <w:r w:rsidRPr="00A6284F">
        <w:rPr>
          <w:rFonts w:eastAsia="Times New Roman"/>
          <w:color w:val="000000"/>
          <w:sz w:val="24"/>
          <w:lang w:val="sq-AL"/>
        </w:rPr>
        <w:t xml:space="preserve"> përgatit</w:t>
      </w:r>
      <w:r w:rsidR="000F203D" w:rsidRPr="00A6284F">
        <w:rPr>
          <w:rFonts w:eastAsia="Times New Roman"/>
          <w:color w:val="000000"/>
          <w:sz w:val="24"/>
          <w:lang w:val="sq-AL"/>
        </w:rPr>
        <w:t xml:space="preserve">ur </w:t>
      </w:r>
      <w:r w:rsidRPr="00A6284F">
        <w:rPr>
          <w:rFonts w:eastAsia="Times New Roman"/>
          <w:color w:val="000000"/>
          <w:sz w:val="24"/>
          <w:lang w:val="sq-AL"/>
        </w:rPr>
        <w:t>strategji</w:t>
      </w:r>
      <w:r w:rsidR="000F203D" w:rsidRPr="00A6284F">
        <w:rPr>
          <w:rFonts w:eastAsia="Times New Roman"/>
          <w:color w:val="000000"/>
          <w:sz w:val="24"/>
          <w:lang w:val="sq-AL"/>
        </w:rPr>
        <w:t>a</w:t>
      </w:r>
      <w:r w:rsidRPr="00A6284F">
        <w:rPr>
          <w:rFonts w:eastAsia="Times New Roman"/>
          <w:color w:val="000000"/>
          <w:sz w:val="24"/>
          <w:lang w:val="sq-AL"/>
        </w:rPr>
        <w:t xml:space="preserve"> e re 2019-22 për bashkëpunim të strukturuar midis qeverisë së Kosovës dhe shoqërisë civile. Prioritetet e reja strategjike synojnë të zgjerojnë pjesëmarrjen në OJQ me bazë në komunitet dhe të sigurojnë qëndrueshmërinë e organizatave.</w:t>
      </w:r>
    </w:p>
    <w:p w:rsidR="008B45F4" w:rsidRPr="00A6284F" w:rsidRDefault="008B45F4" w:rsidP="00303676">
      <w:pPr>
        <w:spacing w:before="18" w:line="276" w:lineRule="exact"/>
        <w:ind w:left="144" w:right="144"/>
        <w:jc w:val="both"/>
        <w:textAlignment w:val="baseline"/>
        <w:rPr>
          <w:rFonts w:eastAsia="Times New Roman"/>
          <w:color w:val="000000"/>
          <w:sz w:val="24"/>
          <w:lang w:val="sq-AL"/>
        </w:rPr>
      </w:pPr>
    </w:p>
    <w:p w:rsidR="008B45F4" w:rsidRPr="00A6284F" w:rsidRDefault="008B45F4" w:rsidP="00303676">
      <w:pPr>
        <w:spacing w:before="18" w:line="276" w:lineRule="exact"/>
        <w:ind w:left="144" w:right="144"/>
        <w:jc w:val="both"/>
        <w:textAlignment w:val="baseline"/>
        <w:rPr>
          <w:rFonts w:eastAsia="Times New Roman"/>
          <w:color w:val="000000"/>
          <w:sz w:val="24"/>
          <w:lang w:val="sq-AL"/>
        </w:rPr>
      </w:pPr>
    </w:p>
    <w:p w:rsidR="00303676" w:rsidRPr="00A6284F" w:rsidRDefault="00303676" w:rsidP="00303676">
      <w:pPr>
        <w:spacing w:before="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Konsultimet publike nga qeveria po përmirësohen, duke përfshirë përdorimin e rritur të konsultimeve publike në internet. Për herë të parë, një raport vjetor për konsultimet publike të qeverisë u prodhua në maj të vitit 2018. Megjithatë, disa organe publike ende kanë kapacitete të kufizuara për të zbatuar detyrimet e tyre ligjore për konsultim. Institucionet duhet të shtojnë përpjekjet e tyre për të siguruar reagime më </w:t>
      </w:r>
      <w:proofErr w:type="spellStart"/>
      <w:r w:rsidRPr="00A6284F">
        <w:rPr>
          <w:rFonts w:eastAsia="Times New Roman"/>
          <w:color w:val="000000"/>
          <w:sz w:val="24"/>
          <w:lang w:val="sq-AL"/>
        </w:rPr>
        <w:t>konsistente</w:t>
      </w:r>
      <w:proofErr w:type="spellEnd"/>
      <w:r w:rsidRPr="00A6284F">
        <w:rPr>
          <w:rFonts w:eastAsia="Times New Roman"/>
          <w:color w:val="000000"/>
          <w:sz w:val="24"/>
          <w:lang w:val="sq-AL"/>
        </w:rPr>
        <w:t xml:space="preserve"> dhe më kuptimplotë për kontributin e marrë dhe për të zgjeruar mjetet e konsultimit të përdorura për të arritur një audiencë më të gjerë në mënyra efektive. Po bëhet punë në vazhdimësi për t'i prezantuar standardet e konsultimit publik edhe në nivel komunal.</w:t>
      </w:r>
    </w:p>
    <w:p w:rsidR="00E0616C" w:rsidRPr="00A6284F" w:rsidRDefault="00303676" w:rsidP="00303676">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Ende ka nevojë për transparencë sistematike në </w:t>
      </w:r>
      <w:proofErr w:type="spellStart"/>
      <w:r w:rsidRPr="00A6284F">
        <w:rPr>
          <w:rFonts w:eastAsia="Times New Roman"/>
          <w:color w:val="000000"/>
          <w:sz w:val="24"/>
          <w:lang w:val="sq-AL"/>
        </w:rPr>
        <w:t>disbursimin</w:t>
      </w:r>
      <w:proofErr w:type="spellEnd"/>
      <w:r w:rsidRPr="00A6284F">
        <w:rPr>
          <w:rFonts w:eastAsia="Times New Roman"/>
          <w:color w:val="000000"/>
          <w:sz w:val="24"/>
          <w:lang w:val="sq-AL"/>
        </w:rPr>
        <w:t xml:space="preserve"> e fondeve publike për OJQ-të. Ndërsa disa ministri dhe komuna për herë të parë kanë realizuar thirrje të hapura në përputhje me kërkesat ligjore, shumë ministri dhe komuna ende nuk kanë kapacitet</w:t>
      </w:r>
      <w:r w:rsidR="000F203D" w:rsidRPr="00A6284F">
        <w:rPr>
          <w:rFonts w:eastAsia="Times New Roman"/>
          <w:color w:val="000000"/>
          <w:sz w:val="24"/>
          <w:lang w:val="sq-AL"/>
        </w:rPr>
        <w:t>e</w:t>
      </w:r>
      <w:r w:rsidRPr="00A6284F">
        <w:rPr>
          <w:rFonts w:eastAsia="Times New Roman"/>
          <w:color w:val="000000"/>
          <w:sz w:val="24"/>
          <w:lang w:val="sq-AL"/>
        </w:rPr>
        <w:t xml:space="preserve"> për të përmbushur kërkesat e reja. Publikimi i raporti</w:t>
      </w:r>
      <w:r w:rsidR="000F203D" w:rsidRPr="00A6284F">
        <w:rPr>
          <w:rFonts w:eastAsia="Times New Roman"/>
          <w:color w:val="000000"/>
          <w:sz w:val="24"/>
          <w:lang w:val="sq-AL"/>
        </w:rPr>
        <w:t>t</w:t>
      </w:r>
      <w:r w:rsidRPr="00A6284F">
        <w:rPr>
          <w:rFonts w:eastAsia="Times New Roman"/>
          <w:color w:val="000000"/>
          <w:sz w:val="24"/>
          <w:lang w:val="sq-AL"/>
        </w:rPr>
        <w:t xml:space="preserve"> vjetor të qeverisë mbi financimin publik është një praktikë e mirë, por raporti duhet të jetë më i hollësishëm. Nevojiten përpjekje shtesë për adresimin e rreziqeve të konfliktit të interesit dhe forcimin e profesionalizmit dhe integritetit brenda komisioneve të vlerësimit që vendosin për </w:t>
      </w:r>
      <w:proofErr w:type="spellStart"/>
      <w:r w:rsidRPr="00A6284F">
        <w:rPr>
          <w:rFonts w:eastAsia="Times New Roman"/>
          <w:color w:val="000000"/>
          <w:sz w:val="24"/>
          <w:lang w:val="sq-AL"/>
        </w:rPr>
        <w:t>grante</w:t>
      </w:r>
      <w:proofErr w:type="spellEnd"/>
      <w:r w:rsidRPr="00A6284F">
        <w:rPr>
          <w:rFonts w:eastAsia="Times New Roman"/>
          <w:color w:val="000000"/>
          <w:sz w:val="24"/>
          <w:lang w:val="sq-AL"/>
        </w:rPr>
        <w:t xml:space="preserve"> për OJQ-të. Korniza ligjore për uljen e taksave për donacione mbetet e paqartë</w:t>
      </w:r>
      <w:r w:rsidR="009E4C9A" w:rsidRPr="00A6284F">
        <w:rPr>
          <w:rFonts w:eastAsia="Times New Roman"/>
          <w:color w:val="000000"/>
          <w:sz w:val="24"/>
          <w:lang w:val="sq-AL"/>
        </w:rPr>
        <w:t>.</w:t>
      </w:r>
    </w:p>
    <w:p w:rsidR="00CE1051" w:rsidRPr="00A6284F" w:rsidRDefault="00CE1051" w:rsidP="00CE1051">
      <w:pPr>
        <w:spacing w:before="130" w:line="274" w:lineRule="exact"/>
        <w:ind w:left="144"/>
        <w:textAlignment w:val="baseline"/>
        <w:rPr>
          <w:rFonts w:eastAsia="Times New Roman"/>
          <w:b/>
          <w:color w:val="000000"/>
          <w:spacing w:val="5"/>
          <w:sz w:val="24"/>
          <w:lang w:val="sq-AL"/>
        </w:rPr>
      </w:pPr>
      <w:r w:rsidRPr="00A6284F">
        <w:rPr>
          <w:rFonts w:eastAsia="Times New Roman"/>
          <w:b/>
          <w:color w:val="000000"/>
          <w:spacing w:val="5"/>
          <w:sz w:val="24"/>
          <w:lang w:val="sq-AL"/>
        </w:rPr>
        <w:t>2.1.2 Reforma e Administratës Publike</w:t>
      </w:r>
    </w:p>
    <w:p w:rsidR="00CE1051" w:rsidRPr="00A6284F" w:rsidRDefault="00CE1051" w:rsidP="00CE1051">
      <w:pPr>
        <w:spacing w:before="66"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arritur </w:t>
      </w:r>
      <w:r w:rsidRPr="00A6284F">
        <w:rPr>
          <w:rFonts w:eastAsia="Times New Roman"/>
          <w:b/>
          <w:color w:val="000000"/>
          <w:sz w:val="24"/>
          <w:lang w:val="sq-AL"/>
        </w:rPr>
        <w:t xml:space="preserve">një nivel përgatitjeje </w:t>
      </w:r>
      <w:r w:rsidRPr="00A6284F">
        <w:rPr>
          <w:rFonts w:eastAsia="Times New Roman"/>
          <w:color w:val="000000"/>
          <w:sz w:val="24"/>
          <w:lang w:val="sq-AL"/>
        </w:rPr>
        <w:t xml:space="preserve">në reformimin e administratës së saj publike. Në përgjithësi është arritur </w:t>
      </w:r>
      <w:r w:rsidRPr="00A6284F">
        <w:rPr>
          <w:rFonts w:eastAsia="Times New Roman"/>
          <w:b/>
          <w:color w:val="000000"/>
          <w:sz w:val="24"/>
          <w:lang w:val="sq-AL"/>
        </w:rPr>
        <w:t>pak progres</w:t>
      </w:r>
      <w:r w:rsidRPr="00A6284F">
        <w:rPr>
          <w:rFonts w:eastAsia="Times New Roman"/>
          <w:color w:val="000000"/>
          <w:sz w:val="24"/>
          <w:lang w:val="sq-AL"/>
        </w:rPr>
        <w:t xml:space="preserve">, ndërsa progres i </w:t>
      </w:r>
      <w:r w:rsidR="00BE01CF" w:rsidRPr="00A6284F">
        <w:rPr>
          <w:rFonts w:eastAsia="Times New Roman"/>
          <w:color w:val="000000"/>
          <w:sz w:val="24"/>
          <w:lang w:val="sq-AL"/>
        </w:rPr>
        <w:t xml:space="preserve">konsiderueshëm </w:t>
      </w:r>
      <w:r w:rsidRPr="00A6284F">
        <w:rPr>
          <w:rFonts w:eastAsia="Times New Roman"/>
          <w:color w:val="000000"/>
          <w:sz w:val="24"/>
          <w:lang w:val="sq-AL"/>
        </w:rPr>
        <w:t>është arritur me miratimin e pakos së Ligjit mbi Funksionimin dhe Organizimin e Administratës Publike, Ligjit për Zyrtarët Publikë dhe Ligjit për Pagat. Qeveria gjithashtu ka miratuar udhëzuesin për planifikim strategjik dhe ka filluar zbatimin e Planit të Veprimit për Racionalizimin e Agjencive.</w:t>
      </w:r>
      <w:r w:rsidR="000F203D" w:rsidRPr="00A6284F">
        <w:rPr>
          <w:rFonts w:eastAsia="Times New Roman"/>
          <w:color w:val="000000"/>
          <w:sz w:val="24"/>
          <w:lang w:val="sq-AL"/>
        </w:rPr>
        <w:t xml:space="preserve"> </w:t>
      </w:r>
      <w:r w:rsidRPr="00A6284F">
        <w:rPr>
          <w:rFonts w:eastAsia="Times New Roman"/>
          <w:color w:val="000000"/>
          <w:sz w:val="24"/>
          <w:lang w:val="sq-AL"/>
        </w:rPr>
        <w:t>Përderisa me Ligjin e ri për Pagat prezantohet një sistem më transparent i pagave për zyrtarët publikë, ndikimi i tij afat</w:t>
      </w:r>
      <w:r w:rsidR="00BE01CF" w:rsidRPr="00A6284F">
        <w:rPr>
          <w:rFonts w:eastAsia="Times New Roman"/>
          <w:color w:val="000000"/>
          <w:sz w:val="24"/>
          <w:lang w:val="sq-AL"/>
        </w:rPr>
        <w:t>-</w:t>
      </w:r>
      <w:r w:rsidRPr="00A6284F">
        <w:rPr>
          <w:rFonts w:eastAsia="Times New Roman"/>
          <w:color w:val="000000"/>
          <w:sz w:val="24"/>
          <w:lang w:val="sq-AL"/>
        </w:rPr>
        <w:t xml:space="preserve">mesëm buxhetor ngre shqetësime. Qeveria duhet të sigurojë zbatimin efikas të legjislacionit të ri. Është prezantuar një Rregullore e re për Procedurat e Rekrutimit në Pozitat e Larta Drejtuese në Shërbimin Civil. Megjithatë, ndikimi politik në rekrutimet në pozitat e larta në shërbimin civil dhe rekrutimet jo të bazuara në meritë mbesin çështje shumë shqetësuese. Hartimi </w:t>
      </w:r>
      <w:proofErr w:type="spellStart"/>
      <w:r w:rsidRPr="00A6284F">
        <w:rPr>
          <w:rFonts w:eastAsia="Times New Roman"/>
          <w:i/>
          <w:color w:val="000000"/>
          <w:sz w:val="24"/>
          <w:lang w:val="sq-AL"/>
        </w:rPr>
        <w:t>ad</w:t>
      </w:r>
      <w:proofErr w:type="spellEnd"/>
      <w:r w:rsidRPr="00A6284F">
        <w:rPr>
          <w:rFonts w:eastAsia="Times New Roman"/>
          <w:i/>
          <w:color w:val="000000"/>
          <w:sz w:val="24"/>
          <w:lang w:val="sq-AL"/>
        </w:rPr>
        <w:t xml:space="preserve"> </w:t>
      </w:r>
      <w:proofErr w:type="spellStart"/>
      <w:r w:rsidRPr="00A6284F">
        <w:rPr>
          <w:rFonts w:eastAsia="Times New Roman"/>
          <w:i/>
          <w:color w:val="000000"/>
          <w:sz w:val="24"/>
          <w:lang w:val="sq-AL"/>
        </w:rPr>
        <w:t>hoc</w:t>
      </w:r>
      <w:proofErr w:type="spellEnd"/>
      <w:r w:rsidRPr="00A6284F">
        <w:rPr>
          <w:rFonts w:eastAsia="Times New Roman"/>
          <w:color w:val="000000"/>
          <w:sz w:val="24"/>
          <w:lang w:val="sq-AL"/>
        </w:rPr>
        <w:t xml:space="preserve"> i politikave, në shumë raste i ndikuar nga interesa të veçanta, përbën pengesë për hartim gjithëpërfshirës dhe të bazuar në dëshmi të politikave. Vonesat në miratimin e ligjeve të</w:t>
      </w:r>
      <w:r w:rsidR="008728C5" w:rsidRPr="00A6284F">
        <w:rPr>
          <w:rFonts w:eastAsia="Times New Roman"/>
          <w:color w:val="000000"/>
          <w:sz w:val="24"/>
          <w:lang w:val="sq-AL"/>
        </w:rPr>
        <w:t xml:space="preserve"> </w:t>
      </w:r>
      <w:r w:rsidRPr="00A6284F">
        <w:rPr>
          <w:rFonts w:eastAsia="Times New Roman"/>
          <w:color w:val="000000"/>
          <w:sz w:val="24"/>
          <w:lang w:val="sq-AL"/>
        </w:rPr>
        <w:t xml:space="preserve">posaçme në harmoni me Ligjin për Procedurat e Përgjithshme Administrative vazhdojnë të shkaktojnë pasiguri për qytetarët dhe bizneset, kështu që </w:t>
      </w:r>
      <w:r w:rsidR="008728C5" w:rsidRPr="00A6284F">
        <w:rPr>
          <w:rFonts w:eastAsia="Times New Roman"/>
          <w:color w:val="000000"/>
          <w:sz w:val="24"/>
          <w:lang w:val="sq-AL"/>
        </w:rPr>
        <w:t xml:space="preserve">ende </w:t>
      </w:r>
      <w:r w:rsidRPr="00A6284F">
        <w:rPr>
          <w:rFonts w:eastAsia="Times New Roman"/>
          <w:color w:val="000000"/>
          <w:sz w:val="24"/>
          <w:lang w:val="sq-AL"/>
        </w:rPr>
        <w:t>vlen rekomandimi i Komisionit i bërë në vitin 2018 për këtë çështje. Në përgjithësi, koordinimi i dobët qendror dhe ndërministror pengon zbatimin e këtyre reformave të ndërlidhura.</w:t>
      </w:r>
    </w:p>
    <w:p w:rsidR="00CE1051" w:rsidRPr="00A6284F" w:rsidRDefault="00CE1051" w:rsidP="00CE1051">
      <w:pPr>
        <w:spacing w:before="118" w:line="276" w:lineRule="exact"/>
        <w:ind w:left="144"/>
        <w:textAlignment w:val="baseline"/>
        <w:rPr>
          <w:rFonts w:eastAsia="Times New Roman"/>
          <w:color w:val="000000"/>
          <w:sz w:val="24"/>
          <w:lang w:val="sq-AL"/>
        </w:rPr>
      </w:pPr>
      <w:r w:rsidRPr="00A6284F">
        <w:rPr>
          <w:rFonts w:eastAsia="Times New Roman"/>
          <w:color w:val="000000"/>
          <w:sz w:val="24"/>
          <w:lang w:val="sq-AL"/>
        </w:rPr>
        <w:t>Në vitin e ardhshëm, Kosova në veçanti duhet të:</w:t>
      </w:r>
    </w:p>
    <w:p w:rsidR="00CE1051" w:rsidRPr="00A6284F" w:rsidRDefault="00CE1051" w:rsidP="00CE1051">
      <w:pPr>
        <w:pStyle w:val="ListParagraph"/>
        <w:numPr>
          <w:ilvl w:val="0"/>
          <w:numId w:val="2"/>
        </w:numPr>
        <w:spacing w:before="139" w:line="276" w:lineRule="exact"/>
        <w:ind w:left="540"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miratojë të gjithë legjislacionin e nevojshëm sekondar dhe të fillojë zbatimin efikas të Ligjit për Zyrtarët Publikë, Ligjit për Pagat dhe Ligjit për Organizimin dhe Funksionimin e Administratës Publike;</w:t>
      </w:r>
    </w:p>
    <w:p w:rsidR="00CE1051" w:rsidRPr="00A6284F" w:rsidRDefault="00CE1051" w:rsidP="00CE1051">
      <w:pPr>
        <w:pStyle w:val="ListParagraph"/>
        <w:spacing w:before="139" w:line="276" w:lineRule="exact"/>
        <w:ind w:left="540" w:right="144"/>
        <w:jc w:val="both"/>
        <w:textAlignment w:val="baseline"/>
        <w:rPr>
          <w:rFonts w:eastAsia="Times New Roman"/>
          <w:color w:val="000000"/>
          <w:spacing w:val="-1"/>
          <w:sz w:val="24"/>
          <w:lang w:val="sq-AL"/>
        </w:rPr>
      </w:pPr>
    </w:p>
    <w:p w:rsidR="00CE1051" w:rsidRPr="00A6284F" w:rsidRDefault="00CE1051" w:rsidP="00CE1051">
      <w:pPr>
        <w:pStyle w:val="ListParagraph"/>
        <w:numPr>
          <w:ilvl w:val="0"/>
          <w:numId w:val="2"/>
        </w:numPr>
        <w:spacing w:before="139" w:line="276" w:lineRule="exact"/>
        <w:ind w:left="540"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rrisë llogaridhënien në sektorin publik duke zbatuar Planin e Veprimit për Racionalizimin e Agjencive dhe duke krijuar një kornizë të qartë për llogaridhënien </w:t>
      </w:r>
      <w:proofErr w:type="spellStart"/>
      <w:r w:rsidRPr="00A6284F">
        <w:rPr>
          <w:rFonts w:eastAsia="Times New Roman"/>
          <w:color w:val="000000"/>
          <w:spacing w:val="-1"/>
          <w:sz w:val="24"/>
          <w:lang w:val="sq-AL"/>
        </w:rPr>
        <w:t>menaxheriale</w:t>
      </w:r>
      <w:proofErr w:type="spellEnd"/>
      <w:r w:rsidRPr="00A6284F">
        <w:rPr>
          <w:rFonts w:eastAsia="Times New Roman"/>
          <w:color w:val="000000"/>
          <w:spacing w:val="-1"/>
          <w:sz w:val="24"/>
          <w:lang w:val="sq-AL"/>
        </w:rPr>
        <w:t xml:space="preserve"> dhe delegimin e përgjegjësive në institucionet publike;</w:t>
      </w:r>
    </w:p>
    <w:p w:rsidR="00CE1051" w:rsidRPr="00A6284F" w:rsidRDefault="00CE1051" w:rsidP="00CE1051">
      <w:pPr>
        <w:pStyle w:val="ListParagraph"/>
        <w:rPr>
          <w:rFonts w:eastAsia="Times New Roman"/>
          <w:color w:val="000000"/>
          <w:spacing w:val="-1"/>
          <w:sz w:val="24"/>
          <w:lang w:val="sq-AL"/>
        </w:rPr>
      </w:pPr>
    </w:p>
    <w:p w:rsidR="00CE1051" w:rsidRPr="00A6284F" w:rsidRDefault="00CE1051" w:rsidP="00CE1051">
      <w:pPr>
        <w:pStyle w:val="ListParagraph"/>
        <w:numPr>
          <w:ilvl w:val="0"/>
          <w:numId w:val="2"/>
        </w:numPr>
        <w:spacing w:before="139" w:line="276" w:lineRule="exact"/>
        <w:ind w:left="540"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harmonizojë ligje të veçanta që janë në kundërshtim me Ligjin për Procedurat e Përgjithshme Administrative dhe adresojë ngarkesën me rastet e prapambetura administrative;</w:t>
      </w:r>
    </w:p>
    <w:p w:rsidR="00CE1051" w:rsidRPr="00A6284F" w:rsidRDefault="00CE1051" w:rsidP="00CE1051">
      <w:pPr>
        <w:pStyle w:val="ListParagraph"/>
        <w:rPr>
          <w:rFonts w:eastAsia="Times New Roman"/>
          <w:color w:val="000000"/>
          <w:spacing w:val="-1"/>
          <w:sz w:val="24"/>
          <w:lang w:val="sq-AL"/>
        </w:rPr>
      </w:pPr>
    </w:p>
    <w:p w:rsidR="00CE1051" w:rsidRPr="00A6284F" w:rsidRDefault="00CE1051" w:rsidP="00CE1051">
      <w:pPr>
        <w:pStyle w:val="ListParagraph"/>
        <w:numPr>
          <w:ilvl w:val="0"/>
          <w:numId w:val="2"/>
        </w:numPr>
        <w:spacing w:before="139" w:line="276" w:lineRule="exact"/>
        <w:ind w:left="540"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sigurojë respektimin e plotë të rekrutimit dhe shkarkimit të zyrtarëve publikë</w:t>
      </w:r>
      <w:r w:rsidR="00A22302"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të bazuar në meritë, veçanërisht drejtuesve të lartë. </w:t>
      </w:r>
    </w:p>
    <w:p w:rsidR="00A22302" w:rsidRPr="00A6284F" w:rsidRDefault="00A22302" w:rsidP="00A22302">
      <w:pPr>
        <w:pStyle w:val="ListParagraph"/>
        <w:rPr>
          <w:rFonts w:eastAsia="Times New Roman"/>
          <w:color w:val="000000"/>
          <w:spacing w:val="-1"/>
          <w:sz w:val="24"/>
          <w:lang w:val="sq-AL"/>
        </w:rPr>
      </w:pPr>
    </w:p>
    <w:p w:rsidR="00A22302" w:rsidRPr="00A6284F" w:rsidRDefault="00A22302" w:rsidP="00A22302">
      <w:pPr>
        <w:pStyle w:val="ListParagraph"/>
        <w:spacing w:before="139" w:line="276" w:lineRule="exact"/>
        <w:ind w:left="540" w:right="144"/>
        <w:jc w:val="both"/>
        <w:textAlignment w:val="baseline"/>
        <w:rPr>
          <w:rFonts w:eastAsia="Times New Roman"/>
          <w:color w:val="000000"/>
          <w:spacing w:val="-1"/>
          <w:sz w:val="24"/>
          <w:lang w:val="sq-AL"/>
        </w:rPr>
      </w:pPr>
    </w:p>
    <w:p w:rsidR="00CE1051" w:rsidRPr="00A6284F" w:rsidRDefault="00CE1051" w:rsidP="00CE1051">
      <w:pPr>
        <w:spacing w:before="135"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lastRenderedPageBreak/>
        <w:t>Korniza strategjike për reformën e administratës publike</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duke zbatuar tri </w:t>
      </w:r>
      <w:r w:rsidRPr="00A6284F">
        <w:rPr>
          <w:rFonts w:eastAsia="Times New Roman"/>
          <w:b/>
          <w:color w:val="000000"/>
          <w:sz w:val="24"/>
          <w:lang w:val="sq-AL"/>
        </w:rPr>
        <w:t>strategji për reformën e administratës publike</w:t>
      </w:r>
      <w:r w:rsidRPr="00A6284F">
        <w:rPr>
          <w:rFonts w:eastAsia="Times New Roman"/>
          <w:color w:val="000000"/>
          <w:sz w:val="24"/>
          <w:lang w:val="sq-AL"/>
        </w:rPr>
        <w:t xml:space="preserve"> dhe </w:t>
      </w:r>
      <w:r w:rsidRPr="00A6284F">
        <w:rPr>
          <w:rFonts w:eastAsia="Times New Roman"/>
          <w:b/>
          <w:color w:val="000000"/>
          <w:sz w:val="24"/>
          <w:lang w:val="sq-AL"/>
        </w:rPr>
        <w:t>strategjinë për reformën e menaxhimit të financave publike</w:t>
      </w:r>
      <w:r w:rsidRPr="00A6284F">
        <w:rPr>
          <w:rFonts w:eastAsia="Times New Roman"/>
          <w:color w:val="000000"/>
          <w:sz w:val="24"/>
          <w:lang w:val="sq-AL"/>
        </w:rPr>
        <w:t xml:space="preserve"> për periudhën 2016-2020, të mbështetur nga një numër i strategjive më specifike të reformave. Zbatimi është shoqëruar me vonesa për shkak të natyrës ndër</w:t>
      </w:r>
      <w:r w:rsidR="00A22302" w:rsidRPr="00A6284F">
        <w:rPr>
          <w:rFonts w:eastAsia="Times New Roman"/>
          <w:color w:val="000000"/>
          <w:sz w:val="24"/>
          <w:lang w:val="sq-AL"/>
        </w:rPr>
        <w:t>-</w:t>
      </w:r>
      <w:r w:rsidRPr="00A6284F">
        <w:rPr>
          <w:rFonts w:eastAsia="Times New Roman"/>
          <w:color w:val="000000"/>
          <w:sz w:val="24"/>
          <w:lang w:val="sq-AL"/>
        </w:rPr>
        <w:t xml:space="preserve">sektoriale të reformave dhe dobësive në koordinimin ndërministror. Planet e veprimit janë rishikuar për të marrë më shumë parasysh kapacitetet e administratës publike. Qeveria ka vazhduar monitorimin e zbatimit të strategjive dhe ka publikuar raporte vjetore të monitorimit, të cilat japin bazën për dialog të politikave. Megjithatë, duhet të krijohet një kornizë e integruar e monitorimit dhe raportimit për të gjitha reformat e ndërlidhura. Shoqëria civile ka marrë pjesë në mënyrë aktive në monitorimin e përpjekjeve të qeverisë për reforma. </w:t>
      </w:r>
    </w:p>
    <w:p w:rsidR="00CE1051" w:rsidRPr="00A6284F" w:rsidRDefault="00CE1051" w:rsidP="00CE1051">
      <w:pPr>
        <w:spacing w:before="117"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Përderisa reforma e administratës publike ka gëzuar </w:t>
      </w:r>
      <w:r w:rsidRPr="00A6284F">
        <w:rPr>
          <w:rFonts w:eastAsia="Times New Roman"/>
          <w:b/>
          <w:color w:val="000000"/>
          <w:sz w:val="24"/>
          <w:lang w:val="sq-AL"/>
        </w:rPr>
        <w:t>mbështetje politike</w:t>
      </w:r>
      <w:r w:rsidR="00A22302" w:rsidRPr="00A6284F">
        <w:rPr>
          <w:rFonts w:eastAsia="Times New Roman"/>
          <w:b/>
          <w:color w:val="000000"/>
          <w:sz w:val="24"/>
          <w:lang w:val="sq-AL"/>
        </w:rPr>
        <w:t xml:space="preserve"> </w:t>
      </w:r>
      <w:r w:rsidRPr="00A6284F">
        <w:rPr>
          <w:rFonts w:eastAsia="Times New Roman"/>
          <w:color w:val="000000"/>
          <w:sz w:val="24"/>
          <w:lang w:val="sq-AL"/>
        </w:rPr>
        <w:t xml:space="preserve">dhe vazhdimësia e siguruar nga Ministri i Administratës Publike ka qenë shumë e rëndësishme, proceset paralele politike kanë penguar disa përpjekje për reforma. Raportet mbi monitorimin e reformave as nuk diskutohen në mënyrë aktive, e as nuk përcillen në nivelin politik. Gjithashtu, Ministria e Financave duhet të përfshihet </w:t>
      </w:r>
      <w:r w:rsidR="00A22302" w:rsidRPr="00A6284F">
        <w:rPr>
          <w:rFonts w:eastAsia="Times New Roman"/>
          <w:color w:val="000000"/>
          <w:sz w:val="24"/>
          <w:lang w:val="sq-AL"/>
        </w:rPr>
        <w:t xml:space="preserve">akoma </w:t>
      </w:r>
      <w:r w:rsidRPr="00A6284F">
        <w:rPr>
          <w:rFonts w:eastAsia="Times New Roman"/>
          <w:color w:val="000000"/>
          <w:sz w:val="24"/>
          <w:lang w:val="sq-AL"/>
        </w:rPr>
        <w:t xml:space="preserve">më shumë në koordinimin e përgjithshëm të reformave, veçanërisht për shkak të fokusit të rritur në llogaridhënien </w:t>
      </w:r>
      <w:proofErr w:type="spellStart"/>
      <w:r w:rsidRPr="00A6284F">
        <w:rPr>
          <w:rFonts w:eastAsia="Times New Roman"/>
          <w:color w:val="000000"/>
          <w:sz w:val="24"/>
          <w:lang w:val="sq-AL"/>
        </w:rPr>
        <w:t>menaxheriale</w:t>
      </w:r>
      <w:proofErr w:type="spellEnd"/>
      <w:r w:rsidRPr="00A6284F">
        <w:rPr>
          <w:rFonts w:eastAsia="Times New Roman"/>
          <w:color w:val="000000"/>
          <w:sz w:val="24"/>
          <w:lang w:val="sq-AL"/>
        </w:rPr>
        <w:t xml:space="preserve"> (</w:t>
      </w:r>
      <w:r w:rsidRPr="00A6284F">
        <w:rPr>
          <w:rFonts w:eastAsia="Times New Roman"/>
          <w:i/>
          <w:color w:val="000000"/>
          <w:sz w:val="24"/>
          <w:lang w:val="sq-AL"/>
        </w:rPr>
        <w:t>Shih seksionin 6.25 – Kontrolli Financiar</w:t>
      </w:r>
      <w:r w:rsidRPr="00A6284F">
        <w:rPr>
          <w:rFonts w:eastAsia="Times New Roman"/>
          <w:color w:val="000000"/>
          <w:sz w:val="24"/>
          <w:lang w:val="sq-AL"/>
        </w:rPr>
        <w:t xml:space="preserve">). </w:t>
      </w:r>
      <w:r w:rsidRPr="00A6284F">
        <w:rPr>
          <w:rFonts w:eastAsia="Times New Roman"/>
          <w:b/>
          <w:color w:val="000000"/>
          <w:sz w:val="24"/>
          <w:lang w:val="sq-AL"/>
        </w:rPr>
        <w:t>Qëndrueshmëria financiare</w:t>
      </w:r>
      <w:r w:rsidR="00D76552" w:rsidRPr="00A6284F">
        <w:rPr>
          <w:rFonts w:eastAsia="Times New Roman"/>
          <w:b/>
          <w:color w:val="000000"/>
          <w:sz w:val="24"/>
          <w:lang w:val="sq-AL"/>
        </w:rPr>
        <w:t xml:space="preserve"> </w:t>
      </w:r>
      <w:r w:rsidRPr="00A6284F">
        <w:rPr>
          <w:rFonts w:eastAsia="Times New Roman"/>
          <w:color w:val="000000"/>
          <w:sz w:val="24"/>
          <w:lang w:val="sq-AL"/>
        </w:rPr>
        <w:t xml:space="preserve">mbetet </w:t>
      </w:r>
      <w:proofErr w:type="spellStart"/>
      <w:r w:rsidRPr="00A6284F">
        <w:rPr>
          <w:rFonts w:eastAsia="Times New Roman"/>
          <w:color w:val="000000"/>
          <w:sz w:val="24"/>
          <w:lang w:val="sq-AL"/>
        </w:rPr>
        <w:t>brengosëse</w:t>
      </w:r>
      <w:proofErr w:type="spellEnd"/>
      <w:r w:rsidRPr="00A6284F">
        <w:rPr>
          <w:rFonts w:eastAsia="Times New Roman"/>
          <w:color w:val="000000"/>
          <w:sz w:val="24"/>
          <w:lang w:val="sq-AL"/>
        </w:rPr>
        <w:t xml:space="preserve">, pasi masat e reformave varen në masë të madhe nga përkrahja e donatorëve të jashtëm. </w:t>
      </w:r>
      <w:proofErr w:type="spellStart"/>
      <w:r w:rsidRPr="00A6284F">
        <w:rPr>
          <w:rFonts w:eastAsia="Times New Roman"/>
          <w:color w:val="000000"/>
          <w:sz w:val="24"/>
          <w:lang w:val="sq-AL"/>
        </w:rPr>
        <w:t>Alokimet</w:t>
      </w:r>
      <w:proofErr w:type="spellEnd"/>
      <w:r w:rsidRPr="00A6284F">
        <w:rPr>
          <w:rFonts w:eastAsia="Times New Roman"/>
          <w:color w:val="000000"/>
          <w:sz w:val="24"/>
          <w:lang w:val="sq-AL"/>
        </w:rPr>
        <w:t xml:space="preserve"> dhe ndarjet buxhetore vjetore në kornizën afatmesme të shpenzimeve mbeten më të ulëta se ato të planifikuara në strategji. </w:t>
      </w:r>
    </w:p>
    <w:p w:rsidR="00CE1051" w:rsidRPr="00A6284F" w:rsidRDefault="00CE1051" w:rsidP="00CE1051">
      <w:pPr>
        <w:spacing w:before="125"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Hartimi dhe bashkërendimi i politikave</w:t>
      </w:r>
    </w:p>
    <w:p w:rsidR="00CE1051" w:rsidRPr="00A6284F" w:rsidRDefault="00CE1051" w:rsidP="00CE1051">
      <w:pPr>
        <w:spacing w:before="117"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Ekziston një </w:t>
      </w:r>
      <w:r w:rsidRPr="00A6284F">
        <w:rPr>
          <w:rFonts w:eastAsia="Times New Roman"/>
          <w:b/>
          <w:color w:val="000000"/>
          <w:sz w:val="24"/>
          <w:lang w:val="sq-AL"/>
        </w:rPr>
        <w:t xml:space="preserve">sistem </w:t>
      </w:r>
      <w:r w:rsidR="00622C27" w:rsidRPr="00A6284F">
        <w:rPr>
          <w:rFonts w:eastAsia="Times New Roman"/>
          <w:b/>
          <w:color w:val="000000"/>
          <w:sz w:val="24"/>
          <w:lang w:val="sq-AL"/>
        </w:rPr>
        <w:t xml:space="preserve">për </w:t>
      </w:r>
      <w:r w:rsidRPr="00A6284F">
        <w:rPr>
          <w:rFonts w:eastAsia="Times New Roman"/>
          <w:b/>
          <w:color w:val="000000"/>
          <w:sz w:val="24"/>
          <w:lang w:val="sq-AL"/>
        </w:rPr>
        <w:t>hartimi</w:t>
      </w:r>
      <w:r w:rsidR="00622C27" w:rsidRPr="00A6284F">
        <w:rPr>
          <w:rFonts w:eastAsia="Times New Roman"/>
          <w:b/>
          <w:color w:val="000000"/>
          <w:sz w:val="24"/>
          <w:lang w:val="sq-AL"/>
        </w:rPr>
        <w:t xml:space="preserve">n e </w:t>
      </w:r>
      <w:r w:rsidRPr="00A6284F">
        <w:rPr>
          <w:rFonts w:eastAsia="Times New Roman"/>
          <w:b/>
          <w:color w:val="000000"/>
          <w:sz w:val="24"/>
          <w:lang w:val="sq-AL"/>
        </w:rPr>
        <w:t>politika</w:t>
      </w:r>
      <w:r w:rsidR="00622C27" w:rsidRPr="00A6284F">
        <w:rPr>
          <w:rFonts w:eastAsia="Times New Roman"/>
          <w:b/>
          <w:color w:val="000000"/>
          <w:sz w:val="24"/>
          <w:lang w:val="sq-AL"/>
        </w:rPr>
        <w:t>ve</w:t>
      </w:r>
      <w:r w:rsidRPr="00A6284F">
        <w:rPr>
          <w:rFonts w:eastAsia="Times New Roman"/>
          <w:color w:val="000000"/>
          <w:sz w:val="24"/>
          <w:lang w:val="sq-AL"/>
        </w:rPr>
        <w:t>, përfshirë për reformat e ndërlidhura me BE-në, por ka dobësi. Qeveria ka filluar adresimin e tyre duke miratuar udhëzimin e ri administrativ për planifikimin, zhvillimin dhe monitorimin e strategjive në prill të vitit 2018 dhe duke nxjerrë</w:t>
      </w:r>
      <w:r w:rsidR="00D76552" w:rsidRPr="00A6284F">
        <w:rPr>
          <w:rFonts w:eastAsia="Times New Roman"/>
          <w:color w:val="000000"/>
          <w:sz w:val="24"/>
          <w:lang w:val="sq-AL"/>
        </w:rPr>
        <w:t xml:space="preserve"> </w:t>
      </w:r>
      <w:r w:rsidRPr="00A6284F">
        <w:rPr>
          <w:rFonts w:eastAsia="Times New Roman"/>
          <w:color w:val="000000"/>
          <w:sz w:val="24"/>
          <w:lang w:val="sq-AL"/>
        </w:rPr>
        <w:t xml:space="preserve">udhëzuesin praktik në janar të vitit 2019. Këto kërkesa të unifikuara kanë për qëllim përmirësimin e cilësisë së strategjive sektoriale dhe adresimin e mbivendosjeve, planifikimin </w:t>
      </w:r>
      <w:r w:rsidR="00D76552" w:rsidRPr="00A6284F">
        <w:rPr>
          <w:rFonts w:eastAsia="Times New Roman"/>
          <w:color w:val="000000"/>
          <w:sz w:val="24"/>
          <w:lang w:val="sq-AL"/>
        </w:rPr>
        <w:t xml:space="preserve">shumë </w:t>
      </w:r>
      <w:r w:rsidRPr="00A6284F">
        <w:rPr>
          <w:rFonts w:eastAsia="Times New Roman"/>
          <w:color w:val="000000"/>
          <w:sz w:val="24"/>
          <w:lang w:val="sq-AL"/>
        </w:rPr>
        <w:t>ambicioz dhe planifikimin e dobët financiar, si dhe sigurimin e monitorimit dhe raportimit të rregullt. Zyra e Kryeministrit tani duhet të sigurojë një funksion të fuqishëm të kontrollit dhe monitorimit të cilësisë për të përcjellë zbatimin.</w:t>
      </w:r>
    </w:p>
    <w:p w:rsidR="00CE1051" w:rsidRPr="00A6284F" w:rsidRDefault="00D76552" w:rsidP="00CE1051">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Janë të vendosura d</w:t>
      </w:r>
      <w:r w:rsidR="00CE1051" w:rsidRPr="00A6284F">
        <w:rPr>
          <w:rFonts w:eastAsia="Times New Roman"/>
          <w:color w:val="000000"/>
          <w:sz w:val="24"/>
          <w:lang w:val="sq-AL"/>
        </w:rPr>
        <w:t xml:space="preserve">isa </w:t>
      </w:r>
      <w:r w:rsidRPr="00A6284F">
        <w:rPr>
          <w:rFonts w:eastAsia="Times New Roman"/>
          <w:color w:val="000000"/>
          <w:sz w:val="24"/>
          <w:lang w:val="sq-AL"/>
        </w:rPr>
        <w:t xml:space="preserve">nga </w:t>
      </w:r>
      <w:r w:rsidR="00CE1051" w:rsidRPr="00A6284F">
        <w:rPr>
          <w:rFonts w:eastAsia="Times New Roman"/>
          <w:color w:val="000000"/>
          <w:sz w:val="24"/>
          <w:lang w:val="sq-AL"/>
        </w:rPr>
        <w:t>aspekte</w:t>
      </w:r>
      <w:r w:rsidRPr="00A6284F">
        <w:rPr>
          <w:rFonts w:eastAsia="Times New Roman"/>
          <w:color w:val="000000"/>
          <w:sz w:val="24"/>
          <w:lang w:val="sq-AL"/>
        </w:rPr>
        <w:t>t</w:t>
      </w:r>
      <w:r w:rsidR="00CE1051" w:rsidRPr="00A6284F">
        <w:rPr>
          <w:rFonts w:eastAsia="Times New Roman"/>
          <w:color w:val="000000"/>
          <w:sz w:val="24"/>
          <w:lang w:val="sq-AL"/>
        </w:rPr>
        <w:t xml:space="preserve"> </w:t>
      </w:r>
      <w:r w:rsidRPr="00A6284F">
        <w:rPr>
          <w:rFonts w:eastAsia="Times New Roman"/>
          <w:color w:val="000000"/>
          <w:sz w:val="24"/>
          <w:lang w:val="sq-AL"/>
        </w:rPr>
        <w:t>e</w:t>
      </w:r>
      <w:r w:rsidR="00CE1051" w:rsidRPr="00A6284F">
        <w:rPr>
          <w:rFonts w:eastAsia="Times New Roman"/>
          <w:color w:val="000000"/>
          <w:sz w:val="24"/>
          <w:lang w:val="sq-AL"/>
        </w:rPr>
        <w:t xml:space="preserve"> </w:t>
      </w:r>
      <w:r w:rsidR="00CE1051" w:rsidRPr="00A6284F">
        <w:rPr>
          <w:rFonts w:eastAsia="Times New Roman"/>
          <w:b/>
          <w:color w:val="000000"/>
          <w:sz w:val="24"/>
          <w:lang w:val="sq-AL"/>
        </w:rPr>
        <w:t>hartimit të politikave dhe ligjeve në bazë të fakteve</w:t>
      </w:r>
      <w:r w:rsidR="00CE1051" w:rsidRPr="00A6284F">
        <w:rPr>
          <w:rFonts w:eastAsia="Times New Roman"/>
          <w:color w:val="000000"/>
          <w:sz w:val="24"/>
          <w:lang w:val="sq-AL"/>
        </w:rPr>
        <w:t xml:space="preserve"> dhe në mënyrë gjithëpërfshirëse. Vlerësimet e ndikimit rregullator dhe buxhetor dhe opinionet për përafrim me </w:t>
      </w:r>
      <w:r w:rsidR="00CE1051" w:rsidRPr="00A6284F">
        <w:rPr>
          <w:rFonts w:eastAsia="Times New Roman"/>
          <w:i/>
          <w:color w:val="000000"/>
          <w:sz w:val="24"/>
          <w:lang w:val="sq-AL"/>
        </w:rPr>
        <w:t xml:space="preserve">acquis </w:t>
      </w:r>
      <w:r w:rsidR="00CE1051" w:rsidRPr="00A6284F">
        <w:rPr>
          <w:rFonts w:eastAsia="Times New Roman"/>
          <w:color w:val="000000"/>
          <w:sz w:val="24"/>
          <w:lang w:val="sq-AL"/>
        </w:rPr>
        <w:t xml:space="preserve">të BE-së, edhe pse kërkohen zyrtarisht për projektligje, nuk pasqyrohen në mënyrë sistematike në vendimet e miratuara të qeverisë. Hartimi </w:t>
      </w:r>
      <w:proofErr w:type="spellStart"/>
      <w:r w:rsidR="00CE1051" w:rsidRPr="00A6284F">
        <w:rPr>
          <w:rFonts w:eastAsia="Times New Roman"/>
          <w:i/>
          <w:color w:val="000000"/>
          <w:sz w:val="24"/>
          <w:lang w:val="sq-AL"/>
        </w:rPr>
        <w:t>ad</w:t>
      </w:r>
      <w:proofErr w:type="spellEnd"/>
      <w:r w:rsidR="00CE1051" w:rsidRPr="00A6284F">
        <w:rPr>
          <w:rFonts w:eastAsia="Times New Roman"/>
          <w:i/>
          <w:color w:val="000000"/>
          <w:sz w:val="24"/>
          <w:lang w:val="sq-AL"/>
        </w:rPr>
        <w:t xml:space="preserve"> </w:t>
      </w:r>
      <w:proofErr w:type="spellStart"/>
      <w:r w:rsidR="00CE1051" w:rsidRPr="00A6284F">
        <w:rPr>
          <w:rFonts w:eastAsia="Times New Roman"/>
          <w:i/>
          <w:color w:val="000000"/>
          <w:sz w:val="24"/>
          <w:lang w:val="sq-AL"/>
        </w:rPr>
        <w:t>hoc</w:t>
      </w:r>
      <w:proofErr w:type="spellEnd"/>
      <w:r w:rsidR="00CE1051" w:rsidRPr="00A6284F">
        <w:rPr>
          <w:rFonts w:eastAsia="Times New Roman"/>
          <w:color w:val="000000"/>
          <w:sz w:val="24"/>
          <w:lang w:val="sq-AL"/>
        </w:rPr>
        <w:t xml:space="preserve"> i politikave, në shumë raste i ndikuar nga interesa të veçanta, dëmton seriozisht hartimin e politikave dhe ligjeve në bazë të fakteve dhe në mënyrë gjithëpërfshirëse. Mbledhja e të dhënave administrative dhe përdorimi i tyre sistematik për nevoja të hartimit të politikave duhet të përmirësohet në mënyrë substanciale në administratë. </w:t>
      </w:r>
      <w:r w:rsidR="00CE1051" w:rsidRPr="00A6284F">
        <w:rPr>
          <w:rFonts w:eastAsia="Times New Roman"/>
          <w:b/>
          <w:color w:val="000000"/>
          <w:sz w:val="24"/>
          <w:lang w:val="sq-AL"/>
        </w:rPr>
        <w:t>Konsultimet publike</w:t>
      </w:r>
      <w:r w:rsidR="00CE1051" w:rsidRPr="00A6284F">
        <w:rPr>
          <w:rFonts w:eastAsia="Times New Roman"/>
          <w:color w:val="000000"/>
          <w:sz w:val="24"/>
          <w:lang w:val="sq-AL"/>
        </w:rPr>
        <w:t xml:space="preserve"> organizohen më rregullisht falë standardeve minimale për konsultime të tilla. Në vitin 2018, më shumë se 50% e të gjitha dokumenteve primare të politikave dhe projektligjeve janë publikuar për konsultim në ueb-portal; kjo përbënë një rritje substanciale nga viti 2017. Pasi që shkalla e përgjigjes nga shoqëria civile dhe publiku mbetet relativisht e ulët, qeveria po bënë përpjekje që të promovojë përdorimin e ueb-portalit.</w:t>
      </w:r>
    </w:p>
    <w:p w:rsidR="00CE1051" w:rsidRPr="00A6284F" w:rsidRDefault="00E14F38" w:rsidP="00CE1051">
      <w:pPr>
        <w:spacing w:before="121"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Kontrolli</w:t>
      </w:r>
      <w:r w:rsidR="00CE1051" w:rsidRPr="00A6284F">
        <w:rPr>
          <w:rFonts w:eastAsia="Times New Roman"/>
          <w:b/>
          <w:color w:val="000000"/>
          <w:sz w:val="24"/>
          <w:lang w:val="sq-AL"/>
        </w:rPr>
        <w:t xml:space="preserve"> publik mbi punët qeveritare </w:t>
      </w:r>
      <w:r w:rsidR="00CE1051" w:rsidRPr="00A6284F">
        <w:rPr>
          <w:rFonts w:eastAsia="Times New Roman"/>
          <w:color w:val="000000"/>
          <w:sz w:val="24"/>
          <w:lang w:val="sq-AL"/>
        </w:rPr>
        <w:t xml:space="preserve">pritet të përmirësohet me kërkesën e re </w:t>
      </w:r>
      <w:r w:rsidRPr="00A6284F">
        <w:rPr>
          <w:rFonts w:eastAsia="Times New Roman"/>
          <w:color w:val="000000"/>
          <w:sz w:val="24"/>
          <w:lang w:val="sq-AL"/>
        </w:rPr>
        <w:t xml:space="preserve">ndaj </w:t>
      </w:r>
      <w:r w:rsidR="00CE1051" w:rsidRPr="00A6284F">
        <w:rPr>
          <w:rFonts w:eastAsia="Times New Roman"/>
          <w:color w:val="000000"/>
          <w:sz w:val="24"/>
          <w:lang w:val="sq-AL"/>
        </w:rPr>
        <w:t>institucione</w:t>
      </w:r>
      <w:r w:rsidRPr="00A6284F">
        <w:rPr>
          <w:rFonts w:eastAsia="Times New Roman"/>
          <w:color w:val="000000"/>
          <w:sz w:val="24"/>
          <w:lang w:val="sq-AL"/>
        </w:rPr>
        <w:t>ve</w:t>
      </w:r>
      <w:r w:rsidR="00CE1051" w:rsidRPr="00A6284F">
        <w:rPr>
          <w:rFonts w:eastAsia="Times New Roman"/>
          <w:color w:val="000000"/>
          <w:sz w:val="24"/>
          <w:lang w:val="sq-AL"/>
        </w:rPr>
        <w:t xml:space="preserve"> </w:t>
      </w:r>
      <w:r w:rsidRPr="00A6284F">
        <w:rPr>
          <w:rFonts w:eastAsia="Times New Roman"/>
          <w:color w:val="000000"/>
          <w:sz w:val="24"/>
          <w:lang w:val="sq-AL"/>
        </w:rPr>
        <w:t xml:space="preserve">të </w:t>
      </w:r>
      <w:r w:rsidR="00CE1051" w:rsidRPr="00A6284F">
        <w:rPr>
          <w:rFonts w:eastAsia="Times New Roman"/>
          <w:color w:val="000000"/>
          <w:sz w:val="24"/>
          <w:lang w:val="sq-AL"/>
        </w:rPr>
        <w:t xml:space="preserve">linjës për publikimin e raporteve vjetore të monitorimit për zbatimin e dokumenteve të tyre strategjike. Gjithashtu, në harmoni me planin e veprimit në vlerësimin e gatishmërisë për të dhëna të hapura, qeveria duhet të vendosë më shumë grupe të </w:t>
      </w:r>
      <w:proofErr w:type="spellStart"/>
      <w:r w:rsidR="00CE1051" w:rsidRPr="00A6284F">
        <w:rPr>
          <w:rFonts w:eastAsia="Times New Roman"/>
          <w:color w:val="000000"/>
          <w:sz w:val="24"/>
          <w:lang w:val="sq-AL"/>
        </w:rPr>
        <w:t>të</w:t>
      </w:r>
      <w:proofErr w:type="spellEnd"/>
      <w:r w:rsidR="00CE1051" w:rsidRPr="00A6284F">
        <w:rPr>
          <w:rFonts w:eastAsia="Times New Roman"/>
          <w:color w:val="000000"/>
          <w:sz w:val="24"/>
          <w:lang w:val="sq-AL"/>
        </w:rPr>
        <w:t xml:space="preserve"> dhënave në dispozicion në platformën e saj për të dhëna të hapura. Shoqëria civile duhet të përfshihet në mënyrë më sistematike në hartimin, monitorimin dhe vlerësimin e planeve dhe programeve qeveritare. </w:t>
      </w:r>
      <w:r w:rsidRPr="00A6284F">
        <w:rPr>
          <w:rFonts w:eastAsia="Times New Roman"/>
          <w:color w:val="000000"/>
          <w:sz w:val="24"/>
          <w:lang w:val="sq-AL"/>
        </w:rPr>
        <w:t>Kontrolli</w:t>
      </w:r>
      <w:r w:rsidR="00CE1051" w:rsidRPr="00A6284F">
        <w:rPr>
          <w:rFonts w:eastAsia="Times New Roman"/>
          <w:color w:val="000000"/>
          <w:sz w:val="24"/>
          <w:lang w:val="sq-AL"/>
        </w:rPr>
        <w:t xml:space="preserve"> </w:t>
      </w:r>
      <w:r w:rsidRPr="00A6284F">
        <w:rPr>
          <w:rFonts w:eastAsia="Times New Roman"/>
          <w:color w:val="000000"/>
          <w:sz w:val="24"/>
          <w:lang w:val="sq-AL"/>
        </w:rPr>
        <w:t xml:space="preserve">nga </w:t>
      </w:r>
      <w:r w:rsidR="00CE1051" w:rsidRPr="00A6284F">
        <w:rPr>
          <w:rFonts w:eastAsia="Times New Roman"/>
          <w:color w:val="000000"/>
          <w:sz w:val="24"/>
          <w:lang w:val="sq-AL"/>
        </w:rPr>
        <w:t>parlament</w:t>
      </w:r>
      <w:r w:rsidRPr="00A6284F">
        <w:rPr>
          <w:rFonts w:eastAsia="Times New Roman"/>
          <w:color w:val="000000"/>
          <w:sz w:val="24"/>
          <w:lang w:val="sq-AL"/>
        </w:rPr>
        <w:t xml:space="preserve">i </w:t>
      </w:r>
      <w:r w:rsidR="00CE1051" w:rsidRPr="00A6284F">
        <w:rPr>
          <w:rFonts w:eastAsia="Times New Roman"/>
          <w:color w:val="000000"/>
          <w:sz w:val="24"/>
          <w:lang w:val="sq-AL"/>
        </w:rPr>
        <w:t>mbi qeverinë</w:t>
      </w:r>
      <w:r w:rsidRPr="00A6284F">
        <w:rPr>
          <w:rFonts w:eastAsia="Times New Roman"/>
          <w:color w:val="000000"/>
          <w:sz w:val="24"/>
          <w:lang w:val="sq-AL"/>
        </w:rPr>
        <w:t xml:space="preserve"> </w:t>
      </w:r>
      <w:r w:rsidR="00CE1051" w:rsidRPr="00A6284F">
        <w:rPr>
          <w:rFonts w:eastAsia="Times New Roman"/>
          <w:color w:val="000000"/>
          <w:sz w:val="24"/>
          <w:lang w:val="sq-AL"/>
        </w:rPr>
        <w:t>është jo adekuat (</w:t>
      </w:r>
      <w:r w:rsidR="00CE1051" w:rsidRPr="00A6284F">
        <w:rPr>
          <w:rFonts w:eastAsia="Times New Roman"/>
          <w:i/>
          <w:color w:val="000000"/>
          <w:sz w:val="24"/>
          <w:lang w:val="sq-AL"/>
        </w:rPr>
        <w:t xml:space="preserve">Shih seksionin 2.1.1 </w:t>
      </w:r>
      <w:r w:rsidR="00CE1051" w:rsidRPr="00A6284F">
        <w:rPr>
          <w:rFonts w:eastAsia="Times New Roman"/>
          <w:color w:val="000000"/>
          <w:sz w:val="25"/>
          <w:lang w:val="sq-AL"/>
        </w:rPr>
        <w:t xml:space="preserve">– </w:t>
      </w:r>
      <w:r w:rsidR="00CE1051" w:rsidRPr="00A6284F">
        <w:rPr>
          <w:rFonts w:eastAsia="Times New Roman"/>
          <w:i/>
          <w:color w:val="000000"/>
          <w:sz w:val="24"/>
          <w:lang w:val="sq-AL"/>
        </w:rPr>
        <w:t>Demokracia</w:t>
      </w:r>
      <w:r w:rsidR="00CE1051" w:rsidRPr="00A6284F">
        <w:rPr>
          <w:rFonts w:eastAsia="Times New Roman"/>
          <w:color w:val="000000"/>
          <w:sz w:val="24"/>
          <w:lang w:val="sq-AL"/>
        </w:rPr>
        <w:t>).</w:t>
      </w:r>
    </w:p>
    <w:p w:rsidR="00CE1051" w:rsidRPr="00A6284F" w:rsidRDefault="00CE1051" w:rsidP="00CE1051">
      <w:pPr>
        <w:spacing w:before="122"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lastRenderedPageBreak/>
        <w:t>Menaxhimi i Financave Publike</w:t>
      </w:r>
    </w:p>
    <w:p w:rsidR="00CE1051" w:rsidRPr="00A6284F" w:rsidRDefault="00CE1051" w:rsidP="00E14F38">
      <w:pPr>
        <w:spacing w:before="119"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Strategjia për Reformën e Menaxhimit të Financave Publike (MFP) i është nënshtruar një shqyrtimi afatmesëm në vitin 2018, por kjo nuk bëri që të dalin në pah prioritete të reja. Katër shtyllat (disiplina fiskale, alokimi dhe efikasiteti </w:t>
      </w:r>
      <w:proofErr w:type="spellStart"/>
      <w:r w:rsidRPr="00A6284F">
        <w:rPr>
          <w:rFonts w:eastAsia="Times New Roman"/>
          <w:color w:val="000000"/>
          <w:sz w:val="24"/>
          <w:lang w:val="sq-AL"/>
        </w:rPr>
        <w:t>operacional</w:t>
      </w:r>
      <w:proofErr w:type="spellEnd"/>
      <w:r w:rsidRPr="00A6284F">
        <w:rPr>
          <w:rFonts w:eastAsia="Times New Roman"/>
          <w:color w:val="000000"/>
          <w:sz w:val="24"/>
          <w:lang w:val="sq-AL"/>
        </w:rPr>
        <w:t>, si dhe çështjet e ndërlidhura) dhe 12 prioritetet mbesin të njëjta, por disa aktivitete dhe tregues janë përshtatur me prioritetet aktuale. Strategjia plotësohet nga Strategjia Kombëtare e Prokurimit Publik 2017-2021, e miratuar në janar të vitit 2017 dhe Strategjia e Kontrollit të Brendshëm të Financave Publike (KBFP) 2015-2019, e miratuar në vitin 2015.</w:t>
      </w:r>
    </w:p>
    <w:p w:rsidR="00E14F38" w:rsidRPr="00A6284F" w:rsidRDefault="00E14F38" w:rsidP="00E14F38">
      <w:pPr>
        <w:spacing w:before="119" w:line="276" w:lineRule="exact"/>
        <w:ind w:left="72" w:right="144"/>
        <w:jc w:val="both"/>
        <w:textAlignment w:val="baseline"/>
        <w:rPr>
          <w:rFonts w:eastAsia="Times New Roman"/>
          <w:color w:val="000000"/>
          <w:sz w:val="24"/>
          <w:lang w:val="sq-AL"/>
        </w:rPr>
      </w:pPr>
    </w:p>
    <w:p w:rsidR="00CE1051" w:rsidRPr="00A6284F" w:rsidRDefault="00CE1051" w:rsidP="00E14F38">
      <w:pPr>
        <w:spacing w:before="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Kufijtë fiskal për raportin e borxhit ndaj BPV-së, deficiti fiskal, projektligji për pagat në sektorin publik dhe bilanci bankar janë </w:t>
      </w:r>
      <w:r w:rsidR="00B7200B" w:rsidRPr="00A6284F">
        <w:rPr>
          <w:rFonts w:eastAsia="Times New Roman"/>
          <w:color w:val="000000"/>
          <w:sz w:val="24"/>
          <w:lang w:val="sq-AL"/>
        </w:rPr>
        <w:t xml:space="preserve">vrojtuar </w:t>
      </w:r>
      <w:r w:rsidRPr="00A6284F">
        <w:rPr>
          <w:rFonts w:eastAsia="Times New Roman"/>
          <w:color w:val="000000"/>
          <w:sz w:val="24"/>
          <w:lang w:val="sq-AL"/>
        </w:rPr>
        <w:t xml:space="preserve">gjatë periudhës raportuese. Megjithatë, shqetësimet lidhur me disiplinën fiskale janë rritur dhe buxheti vjetor akoma nuk ka </w:t>
      </w:r>
      <w:proofErr w:type="spellStart"/>
      <w:r w:rsidRPr="00A6284F">
        <w:rPr>
          <w:rFonts w:eastAsia="Times New Roman"/>
          <w:color w:val="000000"/>
          <w:sz w:val="24"/>
          <w:lang w:val="sq-AL"/>
        </w:rPr>
        <w:t>kredibilitet</w:t>
      </w:r>
      <w:proofErr w:type="spellEnd"/>
      <w:r w:rsidRPr="00A6284F">
        <w:rPr>
          <w:rFonts w:eastAsia="Times New Roman"/>
          <w:color w:val="000000"/>
          <w:sz w:val="24"/>
          <w:lang w:val="sq-AL"/>
        </w:rPr>
        <w:t>. Për shembull, ka pasur mbishpenzim të konsiderueshëm në linja të caktuara buxhetore (si shpenzimet sociale). Vonesat në pagesa gjithashtu mbeten problematike. Të hyrat në vitin 2018 u rritën pak në krahasim me vitin 2017. Deficiti i buxhetit të qeverisë (sipas përkufizimit të rregullit fiskal) qëndroi në 1.0% të BPV-së në vitin 2018, në krahasim me 0.9% në vitin 2017. Deri në fund të vitit 2018, borxhi publik qëndroi në 17.1% të BPV-së, pak më lartë se në vitin 2017. Duhet të fuqizohe</w:t>
      </w:r>
      <w:r w:rsidR="00B7200B" w:rsidRPr="00A6284F">
        <w:rPr>
          <w:rFonts w:eastAsia="Times New Roman"/>
          <w:color w:val="000000"/>
          <w:sz w:val="24"/>
          <w:lang w:val="sq-AL"/>
        </w:rPr>
        <w:t>n</w:t>
      </w:r>
      <w:r w:rsidRPr="00A6284F">
        <w:rPr>
          <w:rFonts w:eastAsia="Times New Roman"/>
          <w:color w:val="000000"/>
          <w:sz w:val="24"/>
          <w:lang w:val="sq-AL"/>
        </w:rPr>
        <w:t xml:space="preserve"> më tej kapacitet</w:t>
      </w:r>
      <w:r w:rsidR="00B7200B" w:rsidRPr="00A6284F">
        <w:rPr>
          <w:rFonts w:eastAsia="Times New Roman"/>
          <w:color w:val="000000"/>
          <w:sz w:val="24"/>
          <w:lang w:val="sq-AL"/>
        </w:rPr>
        <w:t>et</w:t>
      </w:r>
      <w:r w:rsidRPr="00A6284F">
        <w:rPr>
          <w:rFonts w:eastAsia="Times New Roman"/>
          <w:color w:val="000000"/>
          <w:sz w:val="24"/>
          <w:lang w:val="sq-AL"/>
        </w:rPr>
        <w:t xml:space="preserve"> </w:t>
      </w:r>
      <w:r w:rsidR="00B7200B" w:rsidRPr="00A6284F">
        <w:rPr>
          <w:rFonts w:eastAsia="Times New Roman"/>
          <w:color w:val="000000"/>
          <w:sz w:val="24"/>
          <w:lang w:val="sq-AL"/>
        </w:rPr>
        <w:t>e</w:t>
      </w:r>
      <w:r w:rsidRPr="00A6284F">
        <w:rPr>
          <w:rFonts w:eastAsia="Times New Roman"/>
          <w:color w:val="000000"/>
          <w:sz w:val="24"/>
          <w:lang w:val="sq-AL"/>
        </w:rPr>
        <w:t xml:space="preserve"> qeverisë për planifikim dhe menaxhim të investimeve. </w:t>
      </w:r>
    </w:p>
    <w:p w:rsidR="00CE1051" w:rsidRPr="00A6284F" w:rsidRDefault="00CE1051" w:rsidP="00CE105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Për të përmirësuar </w:t>
      </w:r>
      <w:r w:rsidRPr="00A6284F">
        <w:rPr>
          <w:rFonts w:eastAsia="Times New Roman"/>
          <w:b/>
          <w:color w:val="000000"/>
          <w:sz w:val="24"/>
          <w:lang w:val="sq-AL"/>
        </w:rPr>
        <w:t>transparencën buxhetore</w:t>
      </w:r>
      <w:r w:rsidRPr="00A6284F">
        <w:rPr>
          <w:rFonts w:eastAsia="Times New Roman"/>
          <w:color w:val="000000"/>
          <w:sz w:val="24"/>
          <w:lang w:val="sq-AL"/>
        </w:rPr>
        <w:t xml:space="preserve">, Ministria e Financave </w:t>
      </w:r>
      <w:proofErr w:type="spellStart"/>
      <w:r w:rsidRPr="00A6284F">
        <w:rPr>
          <w:rFonts w:eastAsia="Times New Roman"/>
          <w:color w:val="000000"/>
          <w:sz w:val="24"/>
          <w:lang w:val="sq-AL"/>
        </w:rPr>
        <w:t>lansoi</w:t>
      </w:r>
      <w:proofErr w:type="spellEnd"/>
      <w:r w:rsidRPr="00A6284F">
        <w:rPr>
          <w:rFonts w:eastAsia="Times New Roman"/>
          <w:color w:val="000000"/>
          <w:sz w:val="24"/>
          <w:lang w:val="sq-AL"/>
        </w:rPr>
        <w:t xml:space="preserve"> “portalin e ri për transparencë” i cili përmban informacione buxhetore lidhur me institucionet qendrore dhe të nivelit lokal në format më të </w:t>
      </w:r>
      <w:r w:rsidR="009C7CDA" w:rsidRPr="00A6284F">
        <w:rPr>
          <w:rFonts w:eastAsia="Times New Roman"/>
          <w:color w:val="000000"/>
          <w:sz w:val="24"/>
          <w:lang w:val="sq-AL"/>
        </w:rPr>
        <w:t>përshtatshme</w:t>
      </w:r>
      <w:r w:rsidRPr="00A6284F">
        <w:rPr>
          <w:rFonts w:eastAsia="Times New Roman"/>
          <w:color w:val="000000"/>
          <w:sz w:val="24"/>
          <w:lang w:val="sq-AL"/>
        </w:rPr>
        <w:t xml:space="preserve"> për përdoruesin dhe në formë të lexueshme për kompjuterin. Megjithatë, sistemet e TI në dispozicion në Ministrinë e Financave dhe organet e ndërlidhura duhet të shqyrtohen më tej për të siguruar që ofrojnë informacione më të mira të integruara në kohë reale lidhur me të hyrat dhe shpenzimet publike.</w:t>
      </w:r>
    </w:p>
    <w:p w:rsidR="00CE1051" w:rsidRPr="00A6284F" w:rsidRDefault="00CE1051" w:rsidP="00CE1051">
      <w:pPr>
        <w:spacing w:before="125"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Shërbimi publik dhe menaxhimi i resurseve njerëzore</w:t>
      </w:r>
    </w:p>
    <w:p w:rsidR="00CE1051" w:rsidRPr="00A6284F" w:rsidRDefault="00CE1051" w:rsidP="00CE1051">
      <w:pPr>
        <w:spacing w:before="119"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Korniza ligjore për </w:t>
      </w:r>
      <w:r w:rsidRPr="00A6284F">
        <w:rPr>
          <w:rFonts w:eastAsia="Times New Roman"/>
          <w:b/>
          <w:color w:val="000000"/>
          <w:sz w:val="24"/>
          <w:lang w:val="sq-AL"/>
        </w:rPr>
        <w:t>rekrutimin, ngritjen në detyrë dhe shkarkimin në bazë të meritave</w:t>
      </w:r>
      <w:r w:rsidRPr="00A6284F">
        <w:rPr>
          <w:rFonts w:eastAsia="Times New Roman"/>
          <w:color w:val="000000"/>
          <w:sz w:val="24"/>
          <w:lang w:val="sq-AL"/>
        </w:rPr>
        <w:t xml:space="preserve"> </w:t>
      </w:r>
      <w:r w:rsidR="00B53D36" w:rsidRPr="00A6284F">
        <w:rPr>
          <w:rFonts w:eastAsia="Times New Roman"/>
          <w:color w:val="000000"/>
          <w:sz w:val="24"/>
          <w:lang w:val="sq-AL"/>
        </w:rPr>
        <w:t xml:space="preserve">si </w:t>
      </w:r>
      <w:r w:rsidRPr="00A6284F">
        <w:rPr>
          <w:rFonts w:eastAsia="Times New Roman"/>
          <w:color w:val="000000"/>
          <w:sz w:val="24"/>
          <w:lang w:val="sq-AL"/>
        </w:rPr>
        <w:t xml:space="preserve">dhe </w:t>
      </w:r>
      <w:r w:rsidR="00B53D36" w:rsidRPr="00A6284F">
        <w:rPr>
          <w:rFonts w:eastAsia="Times New Roman"/>
          <w:b/>
          <w:color w:val="000000"/>
          <w:sz w:val="24"/>
          <w:lang w:val="sq-AL"/>
        </w:rPr>
        <w:t xml:space="preserve">kompensimi i </w:t>
      </w:r>
      <w:r w:rsidRPr="00A6284F">
        <w:rPr>
          <w:rFonts w:eastAsia="Times New Roman"/>
          <w:color w:val="000000"/>
          <w:sz w:val="24"/>
          <w:lang w:val="sq-AL"/>
        </w:rPr>
        <w:t>nëpunësve civilë</w:t>
      </w:r>
      <w:r w:rsidR="00D0235E" w:rsidRPr="00A6284F">
        <w:rPr>
          <w:rFonts w:eastAsia="Times New Roman"/>
          <w:color w:val="000000"/>
          <w:sz w:val="24"/>
          <w:lang w:val="sq-AL"/>
        </w:rPr>
        <w:t xml:space="preserve"> </w:t>
      </w:r>
      <w:r w:rsidRPr="00A6284F">
        <w:rPr>
          <w:rFonts w:eastAsia="Times New Roman"/>
          <w:color w:val="000000"/>
          <w:sz w:val="24"/>
          <w:lang w:val="sq-AL"/>
        </w:rPr>
        <w:t xml:space="preserve">është përmirësuar pas miratimit të Ligjit për Zyrtarët Publikë dhe Ligjit për Pagat në shkurt të vitit 2019. Për herë të parë </w:t>
      </w:r>
      <w:r w:rsidR="009C7CDA" w:rsidRPr="00A6284F">
        <w:rPr>
          <w:rFonts w:eastAsia="Times New Roman"/>
          <w:color w:val="000000"/>
          <w:sz w:val="24"/>
          <w:lang w:val="sq-AL"/>
        </w:rPr>
        <w:t xml:space="preserve">në ligj </w:t>
      </w:r>
      <w:r w:rsidRPr="00A6284F">
        <w:rPr>
          <w:rFonts w:eastAsia="Times New Roman"/>
          <w:color w:val="000000"/>
          <w:sz w:val="24"/>
          <w:lang w:val="sq-AL"/>
        </w:rPr>
        <w:t xml:space="preserve">janë përcaktuar në mënyrë të qartë kategori të ndryshme të zyrtarëve publikë </w:t>
      </w:r>
      <w:r w:rsidR="009C7CDA" w:rsidRPr="00A6284F">
        <w:rPr>
          <w:rFonts w:eastAsia="Times New Roman"/>
          <w:color w:val="000000"/>
          <w:sz w:val="24"/>
          <w:lang w:val="sq-AL"/>
        </w:rPr>
        <w:t xml:space="preserve">si </w:t>
      </w:r>
      <w:r w:rsidRPr="00A6284F">
        <w:rPr>
          <w:rFonts w:eastAsia="Times New Roman"/>
          <w:color w:val="000000"/>
          <w:sz w:val="24"/>
          <w:lang w:val="sq-AL"/>
        </w:rPr>
        <w:t xml:space="preserve">dhe </w:t>
      </w:r>
      <w:r w:rsidR="009C7CDA" w:rsidRPr="00A6284F">
        <w:rPr>
          <w:rFonts w:eastAsia="Times New Roman"/>
          <w:color w:val="000000"/>
          <w:sz w:val="24"/>
          <w:lang w:val="sq-AL"/>
        </w:rPr>
        <w:t xml:space="preserve">është vendosur </w:t>
      </w:r>
      <w:r w:rsidRPr="00A6284F">
        <w:rPr>
          <w:rFonts w:eastAsia="Times New Roman"/>
          <w:color w:val="000000"/>
          <w:sz w:val="24"/>
          <w:lang w:val="sq-AL"/>
        </w:rPr>
        <w:t xml:space="preserve">një sistem koherent dhe transparent i pagave. Megjithatë, ndikimi fiskal i Ligjit të ri për Pagat është shqetësim që duhet të adresohet </w:t>
      </w:r>
      <w:r w:rsidRPr="00A6284F">
        <w:rPr>
          <w:rFonts w:eastAsia="Times New Roman"/>
          <w:i/>
          <w:color w:val="000000"/>
          <w:sz w:val="24"/>
          <w:lang w:val="sq-AL"/>
        </w:rPr>
        <w:t>(Shih seksionin 3 – Zhvillimi ekonomik dhe konkurrenca)</w:t>
      </w:r>
      <w:r w:rsidRPr="00A6284F">
        <w:rPr>
          <w:rFonts w:eastAsia="Times New Roman"/>
          <w:color w:val="000000"/>
          <w:sz w:val="24"/>
          <w:lang w:val="sq-AL"/>
        </w:rPr>
        <w:t>. Qeveria duhet të miratojë legjislacionin e nevojshëm sekondar dhe të sigurojë zbatimin efikas të legjislacionit të ri në administratë.</w:t>
      </w:r>
    </w:p>
    <w:p w:rsidR="00CE1051" w:rsidRPr="00A6284F" w:rsidRDefault="00CE1051" w:rsidP="00CE105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miratuar rregulloren e re e cila rregullon procedurat për rekrutimin e nëpunësve civilë të nivelit të lartë. Megjithatë, ndikimi politik në emërime dhe shkarkime, në veçanti për </w:t>
      </w:r>
      <w:proofErr w:type="spellStart"/>
      <w:r w:rsidRPr="00A6284F">
        <w:rPr>
          <w:rFonts w:eastAsia="Times New Roman"/>
          <w:b/>
          <w:color w:val="000000"/>
          <w:sz w:val="24"/>
          <w:lang w:val="sq-AL"/>
        </w:rPr>
        <w:t>menaxhmentin</w:t>
      </w:r>
      <w:proofErr w:type="spellEnd"/>
      <w:r w:rsidRPr="00A6284F">
        <w:rPr>
          <w:rFonts w:eastAsia="Times New Roman"/>
          <w:b/>
          <w:color w:val="000000"/>
          <w:sz w:val="24"/>
          <w:lang w:val="sq-AL"/>
        </w:rPr>
        <w:t xml:space="preserve"> e lartë</w:t>
      </w:r>
      <w:r w:rsidRPr="00A6284F">
        <w:rPr>
          <w:rFonts w:eastAsia="Times New Roman"/>
          <w:color w:val="000000"/>
          <w:sz w:val="24"/>
          <w:lang w:val="sq-AL"/>
        </w:rPr>
        <w:t>, ka vazhduar të jetë një problem serioz dhe duhet të adresohet me Ligjin e ri për Zyrtarët Publikë. Në periudhën raportuese, disa procese të rekrutimit për pozita të larta në ministri dhe agjenci kanë ngritur shqetësimet pasi që nuk kanë respektuar parimet e rekrutimit transparent dhe të bazuar në merita. Komunitetet jo</w:t>
      </w:r>
      <w:r w:rsidR="00B53D36" w:rsidRPr="00A6284F">
        <w:rPr>
          <w:rFonts w:eastAsia="Times New Roman"/>
          <w:color w:val="000000"/>
          <w:sz w:val="24"/>
          <w:lang w:val="sq-AL"/>
        </w:rPr>
        <w:t>-</w:t>
      </w:r>
      <w:r w:rsidRPr="00A6284F">
        <w:rPr>
          <w:rFonts w:eastAsia="Times New Roman"/>
          <w:color w:val="000000"/>
          <w:sz w:val="24"/>
          <w:lang w:val="sq-AL"/>
        </w:rPr>
        <w:t>shumicë</w:t>
      </w:r>
      <w:r w:rsidR="00B53D36" w:rsidRPr="00A6284F">
        <w:rPr>
          <w:rFonts w:eastAsia="Times New Roman"/>
          <w:color w:val="000000"/>
          <w:sz w:val="24"/>
          <w:lang w:val="sq-AL"/>
        </w:rPr>
        <w:t xml:space="preserve"> </w:t>
      </w:r>
      <w:r w:rsidRPr="00A6284F">
        <w:rPr>
          <w:rFonts w:eastAsia="Times New Roman"/>
          <w:color w:val="000000"/>
          <w:sz w:val="24"/>
          <w:lang w:val="sq-AL"/>
        </w:rPr>
        <w:t>mbeten dobët të përfaqësuara në institucionet publike qendrore. Gratë janë të nën</w:t>
      </w:r>
      <w:r w:rsidR="00B53D36" w:rsidRPr="00A6284F">
        <w:rPr>
          <w:rFonts w:eastAsia="Times New Roman"/>
          <w:color w:val="000000"/>
          <w:sz w:val="24"/>
          <w:lang w:val="sq-AL"/>
        </w:rPr>
        <w:t>-</w:t>
      </w:r>
      <w:r w:rsidRPr="00A6284F">
        <w:rPr>
          <w:rFonts w:eastAsia="Times New Roman"/>
          <w:color w:val="000000"/>
          <w:sz w:val="24"/>
          <w:lang w:val="sq-AL"/>
        </w:rPr>
        <w:t>përfaqësuara në shkallë të madhe</w:t>
      </w:r>
      <w:r w:rsidR="00B53D36" w:rsidRPr="00A6284F">
        <w:rPr>
          <w:rFonts w:eastAsia="Times New Roman"/>
          <w:color w:val="000000"/>
          <w:sz w:val="24"/>
          <w:lang w:val="sq-AL"/>
        </w:rPr>
        <w:t xml:space="preserve"> </w:t>
      </w:r>
      <w:r w:rsidRPr="00A6284F">
        <w:rPr>
          <w:rFonts w:eastAsia="Times New Roman"/>
          <w:color w:val="000000"/>
          <w:sz w:val="24"/>
          <w:lang w:val="sq-AL"/>
        </w:rPr>
        <w:t>në pozita të larta në shërbimin civil. Këshilli i Pavarur Mbikëqyrës i Shërbimit Civil, organi autonom i ankesave i ngarkuar me detyrën e sigurimit të përputhshmërisë me legjislacionin e aplikueshëm për shërbimin civil, ka fituar kompetenca shtesë nëpërmjet ndryshimeve ligjore të miratuara nga Kuvendi.</w:t>
      </w:r>
    </w:p>
    <w:p w:rsidR="00CE1051" w:rsidRPr="00A6284F" w:rsidRDefault="00CE1051" w:rsidP="00CE1051">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Ministria e Administratës Publike, sidomos me krijimin e Departamentit për Menaxhimin e Zyrtarëve Publikë, duhet të përmirësojë më tej kapacitetet e saja institucionale për bashkërendimin qendror të </w:t>
      </w:r>
      <w:r w:rsidRPr="00A6284F">
        <w:rPr>
          <w:rFonts w:eastAsia="Times New Roman"/>
          <w:b/>
          <w:color w:val="000000"/>
          <w:sz w:val="24"/>
          <w:lang w:val="sq-AL"/>
        </w:rPr>
        <w:t>menaxhimit të resurseve njerëzore</w:t>
      </w:r>
      <w:r w:rsidRPr="00A6284F">
        <w:rPr>
          <w:rFonts w:eastAsia="Times New Roman"/>
          <w:color w:val="000000"/>
          <w:sz w:val="24"/>
          <w:lang w:val="sq-AL"/>
        </w:rPr>
        <w:t xml:space="preserve"> në administratën e Kosovës. Gjithashtu, njësitë e institucioneve të linjës për menaxhimin e burimeve njerëzore duhet të fuqizohen para hyrjes në fuqi të ligjeve të reja për administratën publike. Sistemi Informativ </w:t>
      </w:r>
      <w:r w:rsidRPr="00A6284F">
        <w:rPr>
          <w:rFonts w:eastAsia="Times New Roman"/>
          <w:color w:val="000000"/>
          <w:sz w:val="24"/>
          <w:lang w:val="sq-AL"/>
        </w:rPr>
        <w:lastRenderedPageBreak/>
        <w:t>për Menaxhimin e Burimeve Njerëzore është krijuar, por jo të gjitha modulet janë operative dhe ndërveprimi me sistemin e listës së pagave nuk është vendosur akoma.</w:t>
      </w:r>
    </w:p>
    <w:p w:rsidR="00CE1051" w:rsidRPr="00A6284F" w:rsidRDefault="00CE1051" w:rsidP="00CE1051">
      <w:pPr>
        <w:spacing w:before="120" w:line="276" w:lineRule="exact"/>
        <w:ind w:left="72" w:right="144"/>
        <w:jc w:val="both"/>
        <w:textAlignment w:val="baseline"/>
        <w:rPr>
          <w:rFonts w:eastAsia="Times New Roman"/>
          <w:color w:val="000000"/>
          <w:spacing w:val="1"/>
          <w:sz w:val="24"/>
          <w:lang w:val="sq-AL"/>
        </w:rPr>
      </w:pPr>
      <w:r w:rsidRPr="00A6284F">
        <w:rPr>
          <w:rFonts w:eastAsia="Times New Roman"/>
          <w:b/>
          <w:color w:val="000000"/>
          <w:spacing w:val="1"/>
          <w:sz w:val="24"/>
          <w:lang w:val="sq-AL"/>
        </w:rPr>
        <w:t>Zhvillimi profesional</w:t>
      </w:r>
      <w:r w:rsidR="00027480" w:rsidRPr="00A6284F">
        <w:rPr>
          <w:rFonts w:eastAsia="Times New Roman"/>
          <w:b/>
          <w:color w:val="000000"/>
          <w:spacing w:val="1"/>
          <w:sz w:val="24"/>
          <w:lang w:val="sq-AL"/>
        </w:rPr>
        <w:t xml:space="preserve"> </w:t>
      </w:r>
      <w:r w:rsidRPr="00A6284F">
        <w:rPr>
          <w:rFonts w:eastAsia="Times New Roman"/>
          <w:color w:val="000000"/>
          <w:spacing w:val="1"/>
          <w:sz w:val="24"/>
          <w:lang w:val="sq-AL"/>
        </w:rPr>
        <w:t>i nëpunësve civilë vazhdon të mbetet problem, pasi që Instituti i Kosovës për Administratë Publike nuk ka buxhet dhe kapacitet</w:t>
      </w:r>
      <w:r w:rsidR="00027480" w:rsidRPr="00A6284F">
        <w:rPr>
          <w:rFonts w:eastAsia="Times New Roman"/>
          <w:color w:val="000000"/>
          <w:spacing w:val="1"/>
          <w:sz w:val="24"/>
          <w:lang w:val="sq-AL"/>
        </w:rPr>
        <w:t>e</w:t>
      </w:r>
      <w:r w:rsidRPr="00A6284F">
        <w:rPr>
          <w:rFonts w:eastAsia="Times New Roman"/>
          <w:color w:val="000000"/>
          <w:spacing w:val="1"/>
          <w:sz w:val="24"/>
          <w:lang w:val="sq-AL"/>
        </w:rPr>
        <w:t xml:space="preserve"> për ofrimin e trajnimit të nevojshëm. Vlerësimet e performancës vazhdojnë të kenë pak ndikim në zhvillimin e karrierës.</w:t>
      </w:r>
    </w:p>
    <w:p w:rsidR="00CE1051" w:rsidRPr="00A6284F" w:rsidRDefault="00CE1051" w:rsidP="00CE1051">
      <w:pPr>
        <w:spacing w:before="121" w:after="37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Edhe pse ekzistojnë masa</w:t>
      </w:r>
      <w:r w:rsidR="00F641E3" w:rsidRPr="00A6284F">
        <w:rPr>
          <w:rFonts w:eastAsia="Times New Roman"/>
          <w:color w:val="000000"/>
          <w:sz w:val="24"/>
          <w:lang w:val="sq-AL"/>
        </w:rPr>
        <w:t>t</w:t>
      </w:r>
      <w:r w:rsidRPr="00A6284F">
        <w:rPr>
          <w:rFonts w:eastAsia="Times New Roman"/>
          <w:color w:val="000000"/>
          <w:sz w:val="24"/>
          <w:lang w:val="sq-AL"/>
        </w:rPr>
        <w:t xml:space="preserve"> si</w:t>
      </w:r>
      <w:r w:rsidR="00F641E3" w:rsidRPr="00A6284F">
        <w:rPr>
          <w:rFonts w:eastAsia="Times New Roman"/>
          <w:color w:val="000000"/>
          <w:sz w:val="24"/>
          <w:lang w:val="sq-AL"/>
        </w:rPr>
        <w:t>ç</w:t>
      </w:r>
      <w:r w:rsidRPr="00A6284F">
        <w:rPr>
          <w:rFonts w:eastAsia="Times New Roman"/>
          <w:color w:val="000000"/>
          <w:sz w:val="24"/>
          <w:lang w:val="sq-AL"/>
        </w:rPr>
        <w:t xml:space="preserve"> </w:t>
      </w:r>
      <w:r w:rsidR="00F641E3" w:rsidRPr="00A6284F">
        <w:rPr>
          <w:rFonts w:eastAsia="Times New Roman"/>
          <w:color w:val="000000"/>
          <w:sz w:val="24"/>
          <w:lang w:val="sq-AL"/>
        </w:rPr>
        <w:t xml:space="preserve">janë </w:t>
      </w:r>
      <w:r w:rsidRPr="00A6284F">
        <w:rPr>
          <w:rFonts w:eastAsia="Times New Roman"/>
          <w:color w:val="000000"/>
          <w:sz w:val="24"/>
          <w:lang w:val="sq-AL"/>
        </w:rPr>
        <w:t xml:space="preserve">planet e integritetit për promovimin e </w:t>
      </w:r>
      <w:r w:rsidRPr="00A6284F">
        <w:rPr>
          <w:rFonts w:eastAsia="Times New Roman"/>
          <w:b/>
          <w:color w:val="000000"/>
          <w:sz w:val="24"/>
          <w:lang w:val="sq-AL"/>
        </w:rPr>
        <w:t>integritetit në shërbimin publik</w:t>
      </w:r>
      <w:r w:rsidRPr="00A6284F">
        <w:rPr>
          <w:rFonts w:eastAsia="Times New Roman"/>
          <w:color w:val="000000"/>
          <w:sz w:val="24"/>
          <w:lang w:val="sq-AL"/>
        </w:rPr>
        <w:t>, ato nuk zbatohen në mënyrë sistematike në administratë. Ligji i ri për Konfliktin e Interesit është miratuar në prill të vitit 2018. Mbrojtja e sinjalizuesve gjithashtu është fuqizuar nëpërmjet ligjit të ri të miratuar në nëntor të vitit 2018. Tani publikohen edhe raporte vjetore për masat disiplinore ndaj nëpunësve civilë. Kuvendi ka miratuar ndryshime legjislative që mundësojnë largimin e nëpunësve civilë që janë dënuar për vepra penale të ndërlidhura me korrupsionin (</w:t>
      </w:r>
      <w:r w:rsidRPr="00A6284F">
        <w:rPr>
          <w:rFonts w:eastAsia="Times New Roman"/>
          <w:i/>
          <w:color w:val="000000"/>
          <w:sz w:val="24"/>
          <w:lang w:val="sq-AL"/>
        </w:rPr>
        <w:t>Shih seksionin për luftën kundër korrupsionit</w:t>
      </w:r>
      <w:r w:rsidRPr="00A6284F">
        <w:rPr>
          <w:rFonts w:eastAsia="Times New Roman"/>
          <w:color w:val="000000"/>
          <w:sz w:val="24"/>
          <w:lang w:val="sq-AL"/>
        </w:rPr>
        <w:t>).</w:t>
      </w:r>
    </w:p>
    <w:p w:rsidR="00CE1051" w:rsidRPr="00A6284F" w:rsidRDefault="00CE1051" w:rsidP="00CE1051">
      <w:pPr>
        <w:spacing w:before="124"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Llogaridhënia e administratës</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demonstruar angazhim për </w:t>
      </w:r>
      <w:r w:rsidRPr="00A6284F">
        <w:rPr>
          <w:rFonts w:eastAsia="Times New Roman"/>
          <w:b/>
          <w:color w:val="000000"/>
          <w:sz w:val="24"/>
          <w:lang w:val="sq-AL"/>
        </w:rPr>
        <w:t>linja</w:t>
      </w:r>
      <w:r w:rsidRPr="00A6284F">
        <w:rPr>
          <w:rFonts w:eastAsia="Times New Roman"/>
          <w:color w:val="000000"/>
          <w:sz w:val="24"/>
          <w:lang w:val="sq-AL"/>
        </w:rPr>
        <w:t xml:space="preserve"> më efikase të </w:t>
      </w:r>
      <w:r w:rsidRPr="00A6284F">
        <w:rPr>
          <w:rFonts w:eastAsia="Times New Roman"/>
          <w:b/>
          <w:color w:val="000000"/>
          <w:sz w:val="24"/>
          <w:lang w:val="sq-AL"/>
        </w:rPr>
        <w:t>llogaridhënies</w:t>
      </w:r>
      <w:r w:rsidRPr="00A6284F">
        <w:rPr>
          <w:rFonts w:eastAsia="Times New Roman"/>
          <w:color w:val="000000"/>
          <w:sz w:val="24"/>
          <w:lang w:val="sq-AL"/>
        </w:rPr>
        <w:t xml:space="preserve">. Pas nënshkrimit të </w:t>
      </w:r>
      <w:r w:rsidR="00F641E3" w:rsidRPr="00A6284F">
        <w:rPr>
          <w:rFonts w:eastAsia="Times New Roman"/>
          <w:color w:val="000000"/>
          <w:sz w:val="24"/>
          <w:lang w:val="sq-AL"/>
        </w:rPr>
        <w:t>dokumentit të zotimeve</w:t>
      </w:r>
      <w:r w:rsidRPr="00A6284F">
        <w:rPr>
          <w:rFonts w:eastAsia="Times New Roman"/>
          <w:color w:val="000000"/>
          <w:sz w:val="24"/>
          <w:lang w:val="sq-AL"/>
        </w:rPr>
        <w:t xml:space="preserve"> nga Kryeministri dhe Kryetari i Kuvendit në mars të vitit 2018, qeveria miratoi një Plan të Veprimit për Racionalizimin e Agjencive në qershor të vitit 2018 dhe ka filluar zbatimin e tij. Progres është arritur në fazën e parë të racionalizimit të agjencive. Një Ligj i ri për Organizimin dhe Funksionimin e Administratës Publike dhe Agjencive të Pavarura është miratuar në shkurt të vitit 2019. Ky ligj prezanton një tipologji të agjencive ekzekutive dhe organeve </w:t>
      </w:r>
      <w:proofErr w:type="spellStart"/>
      <w:r w:rsidRPr="00A6284F">
        <w:rPr>
          <w:rFonts w:eastAsia="Times New Roman"/>
          <w:color w:val="000000"/>
          <w:sz w:val="24"/>
          <w:lang w:val="sq-AL"/>
        </w:rPr>
        <w:t>rregullative</w:t>
      </w:r>
      <w:proofErr w:type="spellEnd"/>
      <w:r w:rsidRPr="00A6284F">
        <w:rPr>
          <w:rFonts w:eastAsia="Times New Roman"/>
          <w:color w:val="000000"/>
          <w:sz w:val="24"/>
          <w:lang w:val="sq-AL"/>
        </w:rPr>
        <w:t xml:space="preserve"> dhe qartëson autonominë organizative, administrative, buxhetore dhe vendimmarrëse dhe kërkesat për mbikëqyrje për organet e tilla. Megjithatë, Kosova duhet të bëjë përpjekje tjera të konsiderueshme për të zbatuar llogaridhënien </w:t>
      </w:r>
      <w:proofErr w:type="spellStart"/>
      <w:r w:rsidRPr="00A6284F">
        <w:rPr>
          <w:rFonts w:eastAsia="Times New Roman"/>
          <w:color w:val="000000"/>
          <w:sz w:val="24"/>
          <w:lang w:val="sq-AL"/>
        </w:rPr>
        <w:t>menaxheriale</w:t>
      </w:r>
      <w:proofErr w:type="spellEnd"/>
      <w:r w:rsidRPr="00A6284F">
        <w:rPr>
          <w:rFonts w:eastAsia="Times New Roman"/>
          <w:color w:val="000000"/>
          <w:sz w:val="24"/>
          <w:lang w:val="sq-AL"/>
        </w:rPr>
        <w:t xml:space="preserve"> dhe për delegimin e përgjegjësive vendimmarrëse në administratën publike (</w:t>
      </w:r>
      <w:r w:rsidRPr="00A6284F">
        <w:rPr>
          <w:rFonts w:eastAsia="Times New Roman"/>
          <w:i/>
          <w:color w:val="000000"/>
          <w:sz w:val="24"/>
          <w:lang w:val="sq-AL"/>
        </w:rPr>
        <w:t>Shih seksionin 6.25 – Kontrolli Financiar</w:t>
      </w:r>
      <w:r w:rsidRPr="00A6284F">
        <w:rPr>
          <w:rFonts w:eastAsia="Times New Roman"/>
          <w:color w:val="000000"/>
          <w:sz w:val="24"/>
          <w:lang w:val="sq-AL"/>
        </w:rPr>
        <w:t>).</w:t>
      </w:r>
    </w:p>
    <w:p w:rsidR="00CE1051" w:rsidRPr="00A6284F" w:rsidRDefault="00CE1051" w:rsidP="00CE1051">
      <w:pPr>
        <w:spacing w:before="121"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Institucionet e pavarura të mbikëqyrjes, veçanërisht Avokati i Popullit dhe Zyra Kombëtare e Auditimit në Kosovë, vazhdojë të adresojnë</w:t>
      </w:r>
      <w:r w:rsidR="00670809" w:rsidRPr="00A6284F">
        <w:rPr>
          <w:rFonts w:eastAsia="Times New Roman"/>
          <w:color w:val="000000"/>
          <w:spacing w:val="1"/>
          <w:sz w:val="24"/>
          <w:lang w:val="sq-AL"/>
        </w:rPr>
        <w:t xml:space="preserve"> </w:t>
      </w:r>
      <w:r w:rsidRPr="00A6284F">
        <w:rPr>
          <w:rFonts w:eastAsia="Times New Roman"/>
          <w:b/>
          <w:color w:val="000000"/>
          <w:spacing w:val="1"/>
          <w:sz w:val="24"/>
          <w:lang w:val="sq-AL"/>
        </w:rPr>
        <w:t>të drejtën e qytetarëve për administratë të mirë</w:t>
      </w:r>
      <w:r w:rsidRPr="00A6284F">
        <w:rPr>
          <w:rFonts w:eastAsia="Times New Roman"/>
          <w:color w:val="000000"/>
          <w:spacing w:val="1"/>
          <w:sz w:val="24"/>
          <w:lang w:val="sq-AL"/>
        </w:rPr>
        <w:t xml:space="preserve">. Qeveria duhet të sigurojë përcjellje më efikase për zbatimin e rekomandimeve të tyre. Projektligji për Qasje në Dokumentet Publike duhet të miratohet për të siguruar të </w:t>
      </w:r>
      <w:r w:rsidRPr="00A6284F">
        <w:rPr>
          <w:rFonts w:eastAsia="Times New Roman"/>
          <w:b/>
          <w:color w:val="000000"/>
          <w:spacing w:val="1"/>
          <w:sz w:val="24"/>
          <w:lang w:val="sq-AL"/>
        </w:rPr>
        <w:t>drejtën e qasjes në informata publike</w:t>
      </w:r>
      <w:r w:rsidRPr="00A6284F">
        <w:rPr>
          <w:rFonts w:eastAsia="Times New Roman"/>
          <w:color w:val="000000"/>
          <w:spacing w:val="1"/>
          <w:sz w:val="24"/>
          <w:lang w:val="sq-AL"/>
        </w:rPr>
        <w:t xml:space="preserve">. Kosova duhet të rrisë kapacitetin juridik për të fuqizuar të </w:t>
      </w:r>
      <w:r w:rsidRPr="00A6284F">
        <w:rPr>
          <w:rFonts w:eastAsia="Times New Roman"/>
          <w:b/>
          <w:color w:val="000000"/>
          <w:spacing w:val="1"/>
          <w:sz w:val="24"/>
          <w:lang w:val="sq-AL"/>
        </w:rPr>
        <w:t>drejtën e qytetarëve për drejtësi administrative</w:t>
      </w:r>
      <w:r w:rsidRPr="00A6284F">
        <w:rPr>
          <w:rFonts w:eastAsia="Times New Roman"/>
          <w:color w:val="000000"/>
          <w:spacing w:val="1"/>
          <w:sz w:val="24"/>
          <w:lang w:val="sq-AL"/>
        </w:rPr>
        <w:t xml:space="preserve">. Gjykata Themelore në Prishtinë ka vazhduar akumulimin e rasteve të prapambetura administrative, veçanërisht që nga hyrja në fuqi e Ligjit për Kundërvajtje në janar të vitit 2017. Kjo ngarkesë e rasteve të prapambetura u rrit nga 1,390 raste në vitin 2017 në 1,511 raste në vitin 2018. Përgjegjësia e autoriteteve publike në rastet e kundërvajtjeve dhe e </w:t>
      </w:r>
      <w:r w:rsidRPr="00A6284F">
        <w:rPr>
          <w:rFonts w:eastAsia="Times New Roman"/>
          <w:b/>
          <w:color w:val="000000"/>
          <w:spacing w:val="1"/>
          <w:sz w:val="24"/>
          <w:lang w:val="sq-AL"/>
        </w:rPr>
        <w:t xml:space="preserve">drejta e kërkimit të kompensimit </w:t>
      </w:r>
      <w:r w:rsidRPr="00A6284F">
        <w:rPr>
          <w:rFonts w:eastAsia="Times New Roman"/>
          <w:color w:val="000000"/>
          <w:spacing w:val="1"/>
          <w:sz w:val="24"/>
          <w:lang w:val="sq-AL"/>
        </w:rPr>
        <w:t xml:space="preserve">ndikohen nga legjislacioni i fragmentuar. Nuk mblidhen të dhëna për monitorimin e implementimit. </w:t>
      </w:r>
    </w:p>
    <w:p w:rsidR="00CE1051" w:rsidRPr="00A6284F" w:rsidRDefault="00CE1051" w:rsidP="00CE1051">
      <w:pPr>
        <w:spacing w:before="1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Ofrimi i shërbimeve për qytetarë dhe biznese</w:t>
      </w:r>
    </w:p>
    <w:p w:rsidR="00CE1051" w:rsidRPr="00A6284F" w:rsidRDefault="00670809" w:rsidP="00CE1051">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Megjithëse</w:t>
      </w:r>
      <w:r w:rsidR="00CE1051" w:rsidRPr="00A6284F">
        <w:rPr>
          <w:rFonts w:eastAsia="Times New Roman"/>
          <w:color w:val="000000"/>
          <w:sz w:val="24"/>
          <w:lang w:val="sq-AL"/>
        </w:rPr>
        <w:t xml:space="preserve"> qeveria promovon </w:t>
      </w:r>
      <w:r w:rsidR="00CE1051" w:rsidRPr="00A6284F">
        <w:rPr>
          <w:rFonts w:eastAsia="Times New Roman"/>
          <w:b/>
          <w:color w:val="000000"/>
          <w:sz w:val="24"/>
          <w:lang w:val="sq-AL"/>
        </w:rPr>
        <w:t xml:space="preserve">administratën e orientuar </w:t>
      </w:r>
      <w:r w:rsidRPr="00A6284F">
        <w:rPr>
          <w:rFonts w:eastAsia="Times New Roman"/>
          <w:b/>
          <w:color w:val="000000"/>
          <w:sz w:val="24"/>
          <w:lang w:val="sq-AL"/>
        </w:rPr>
        <w:t>drejt</w:t>
      </w:r>
      <w:r w:rsidR="00CE1051" w:rsidRPr="00A6284F">
        <w:rPr>
          <w:rFonts w:eastAsia="Times New Roman"/>
          <w:b/>
          <w:color w:val="000000"/>
          <w:sz w:val="24"/>
          <w:lang w:val="sq-AL"/>
        </w:rPr>
        <w:t xml:space="preserve"> shfrytëzuesi</w:t>
      </w:r>
      <w:r w:rsidRPr="00A6284F">
        <w:rPr>
          <w:rFonts w:eastAsia="Times New Roman"/>
          <w:b/>
          <w:color w:val="000000"/>
          <w:sz w:val="24"/>
          <w:lang w:val="sq-AL"/>
        </w:rPr>
        <w:t>t</w:t>
      </w:r>
      <w:r w:rsidR="00CE1051" w:rsidRPr="00A6284F">
        <w:rPr>
          <w:rFonts w:eastAsia="Times New Roman"/>
          <w:color w:val="000000"/>
          <w:sz w:val="24"/>
          <w:lang w:val="sq-AL"/>
        </w:rPr>
        <w:t xml:space="preserve">, ka dobësi në </w:t>
      </w:r>
      <w:proofErr w:type="spellStart"/>
      <w:r w:rsidR="00CE1051" w:rsidRPr="00A6284F">
        <w:rPr>
          <w:rFonts w:eastAsia="Times New Roman"/>
          <w:color w:val="000000"/>
          <w:sz w:val="24"/>
          <w:lang w:val="sq-AL"/>
        </w:rPr>
        <w:t>lidership</w:t>
      </w:r>
      <w:proofErr w:type="spellEnd"/>
      <w:r w:rsidR="00CE1051" w:rsidRPr="00A6284F">
        <w:rPr>
          <w:rFonts w:eastAsia="Times New Roman"/>
          <w:color w:val="000000"/>
          <w:sz w:val="24"/>
          <w:lang w:val="sq-AL"/>
        </w:rPr>
        <w:t xml:space="preserve">, drejtimin e politikave dhe koordinimin e procesit të përgjithshëm të reformës. Shumë institucione vazhdojnë të zbatojnë zgjidhje </w:t>
      </w:r>
      <w:proofErr w:type="spellStart"/>
      <w:r w:rsidR="00CE1051" w:rsidRPr="00A6284F">
        <w:rPr>
          <w:rFonts w:eastAsia="Times New Roman"/>
          <w:color w:val="000000"/>
          <w:sz w:val="24"/>
          <w:lang w:val="sq-AL"/>
        </w:rPr>
        <w:t>vetanake</w:t>
      </w:r>
      <w:proofErr w:type="spellEnd"/>
      <w:r w:rsidR="00CE1051" w:rsidRPr="00A6284F">
        <w:rPr>
          <w:rFonts w:eastAsia="Times New Roman"/>
          <w:color w:val="000000"/>
          <w:sz w:val="24"/>
          <w:lang w:val="sq-AL"/>
        </w:rPr>
        <w:t xml:space="preserve"> krahas mjeteve të identifikimit elektronik (</w:t>
      </w:r>
      <w:proofErr w:type="spellStart"/>
      <w:r w:rsidR="00CE1051" w:rsidRPr="00A6284F">
        <w:rPr>
          <w:rFonts w:eastAsia="Times New Roman"/>
          <w:color w:val="000000"/>
          <w:sz w:val="24"/>
          <w:lang w:val="sq-AL"/>
        </w:rPr>
        <w:t>eID</w:t>
      </w:r>
      <w:proofErr w:type="spellEnd"/>
      <w:r w:rsidR="00CE1051" w:rsidRPr="00A6284F">
        <w:rPr>
          <w:rFonts w:eastAsia="Times New Roman"/>
          <w:color w:val="000000"/>
          <w:sz w:val="24"/>
          <w:lang w:val="sq-AL"/>
        </w:rPr>
        <w:t>) që po zhvillohen</w:t>
      </w:r>
      <w:r w:rsidR="0019134A" w:rsidRPr="00A6284F">
        <w:rPr>
          <w:rFonts w:eastAsia="Times New Roman"/>
          <w:color w:val="000000"/>
          <w:sz w:val="24"/>
          <w:lang w:val="sq-AL"/>
        </w:rPr>
        <w:t xml:space="preserve"> në nivel qendror</w:t>
      </w:r>
      <w:r w:rsidR="00CE1051" w:rsidRPr="00A6284F">
        <w:rPr>
          <w:rFonts w:eastAsia="Times New Roman"/>
          <w:color w:val="000000"/>
          <w:sz w:val="24"/>
          <w:lang w:val="sq-AL"/>
        </w:rPr>
        <w:t xml:space="preserve">. Mbledhja e informatave kthyese të qytetarëve dhe bizneseve mbi cilësinë e ofrimit të shërbimeve akoma duhet të zhvillohet në mënyrë sistematike. Ekziston platforma e </w:t>
      </w:r>
      <w:proofErr w:type="spellStart"/>
      <w:r w:rsidR="00CE1051" w:rsidRPr="00A6284F">
        <w:rPr>
          <w:rFonts w:eastAsia="Times New Roman"/>
          <w:color w:val="000000"/>
          <w:sz w:val="24"/>
          <w:lang w:val="sq-AL"/>
        </w:rPr>
        <w:t>interoperabilitetit</w:t>
      </w:r>
      <w:proofErr w:type="spellEnd"/>
      <w:r w:rsidR="00CE1051" w:rsidRPr="00A6284F">
        <w:rPr>
          <w:rFonts w:eastAsia="Times New Roman"/>
          <w:color w:val="000000"/>
          <w:sz w:val="24"/>
          <w:lang w:val="sq-AL"/>
        </w:rPr>
        <w:t xml:space="preserve"> dhe tani është funksionale, por cilësia e të dhënave të regjistruara duhet të përmirësohet në mënyrë që platforma të jetë e dobishme. Edhe pse ekziston legjislacioni për qasje të barabartë në shërbime, nuk zbatohet në mënyrë sistematike.</w:t>
      </w:r>
    </w:p>
    <w:p w:rsidR="00CE1051" w:rsidRPr="00A6284F" w:rsidRDefault="00CE1051" w:rsidP="0019134A">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arritur pak progres në </w:t>
      </w:r>
      <w:r w:rsidRPr="00A6284F">
        <w:rPr>
          <w:rFonts w:eastAsia="Times New Roman"/>
          <w:b/>
          <w:color w:val="000000"/>
          <w:sz w:val="24"/>
          <w:lang w:val="sq-AL"/>
        </w:rPr>
        <w:t>thjeshtimin e procedurave administrative</w:t>
      </w:r>
      <w:r w:rsidRPr="00A6284F">
        <w:rPr>
          <w:rFonts w:eastAsia="Times New Roman"/>
          <w:color w:val="000000"/>
          <w:sz w:val="24"/>
          <w:lang w:val="sq-AL"/>
        </w:rPr>
        <w:t xml:space="preserve"> që nga hyrja në fuqi e Ligjit për Procedurat e Përgjithshme Administrative në qershor të vitit 2017. Tani ekziston inventari i ligjeve me procedura të posaçme administrative, por progresi i arritur në </w:t>
      </w:r>
      <w:r w:rsidRPr="00A6284F">
        <w:rPr>
          <w:rFonts w:eastAsia="Times New Roman"/>
          <w:color w:val="000000"/>
          <w:sz w:val="24"/>
          <w:lang w:val="sq-AL"/>
        </w:rPr>
        <w:lastRenderedPageBreak/>
        <w:t xml:space="preserve">harmonizimin e ligjeve sektoriale me ligjin e ri është i kufizuar. Nevojiten përpjekje të konsiderueshme për të informuar dhe edukuar administratën dhe publikun e gjerë për detyrimet dhe të drejtat për hartimin e politikës së qartë për digjitalizimin e shërbimeve administrative. </w:t>
      </w:r>
    </w:p>
    <w:p w:rsidR="0019134A" w:rsidRPr="00A6284F" w:rsidRDefault="0019134A" w:rsidP="0019134A">
      <w:pPr>
        <w:spacing w:before="122" w:line="276" w:lineRule="exact"/>
        <w:ind w:left="144" w:right="144"/>
        <w:jc w:val="both"/>
        <w:textAlignment w:val="baseline"/>
        <w:rPr>
          <w:rFonts w:ascii="Sylfaen" w:eastAsia="Times New Roman" w:hAnsi="Sylfaen"/>
          <w:color w:val="000000"/>
          <w:sz w:val="24"/>
          <w:lang w:val="sq-AL"/>
        </w:rPr>
      </w:pPr>
    </w:p>
    <w:p w:rsidR="00CE1051" w:rsidRPr="00A6284F" w:rsidRDefault="00CE1051" w:rsidP="0019134A">
      <w:pPr>
        <w:tabs>
          <w:tab w:val="left" w:pos="792"/>
        </w:tabs>
        <w:spacing w:line="338" w:lineRule="exact"/>
        <w:ind w:left="144"/>
        <w:textAlignment w:val="baseline"/>
        <w:rPr>
          <w:rFonts w:eastAsia="Times New Roman"/>
          <w:b/>
          <w:color w:val="000000"/>
          <w:sz w:val="24"/>
          <w:lang w:val="sq-AL"/>
        </w:rPr>
      </w:pPr>
      <w:r w:rsidRPr="00A6284F">
        <w:rPr>
          <w:rFonts w:eastAsia="Times New Roman"/>
          <w:b/>
          <w:color w:val="000000"/>
          <w:sz w:val="24"/>
          <w:lang w:val="sq-AL"/>
        </w:rPr>
        <w:t>2.2</w:t>
      </w:r>
      <w:r w:rsidRPr="00A6284F">
        <w:rPr>
          <w:rFonts w:eastAsia="Times New Roman"/>
          <w:b/>
          <w:color w:val="000000"/>
          <w:sz w:val="24"/>
          <w:lang w:val="sq-AL"/>
        </w:rPr>
        <w:tab/>
        <w:t>Sundimi i ligjit dhe të drejtat themelore</w:t>
      </w:r>
      <w:r w:rsidRPr="00A6284F">
        <w:rPr>
          <w:rFonts w:eastAsia="Times New Roman"/>
          <w:b/>
          <w:color w:val="000000"/>
          <w:sz w:val="24"/>
          <w:lang w:val="sq-AL"/>
        </w:rPr>
        <w:br/>
        <w:t>2.2.1 Gjyqësori dhe të drejtat themelore</w:t>
      </w:r>
    </w:p>
    <w:p w:rsidR="00CE1051" w:rsidRPr="00A6284F" w:rsidRDefault="00CE1051" w:rsidP="00CE1051">
      <w:pPr>
        <w:pBdr>
          <w:top w:val="single" w:sz="5" w:space="1" w:color="000000"/>
          <w:left w:val="single" w:sz="5" w:space="7" w:color="000000"/>
          <w:bottom w:val="single" w:sz="5" w:space="0" w:color="000000"/>
          <w:right w:val="single" w:sz="5" w:space="7" w:color="000000"/>
        </w:pBdr>
        <w:shd w:val="solid" w:color="D9D9D9" w:fill="D9D9D9"/>
        <w:spacing w:after="127"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është në një </w:t>
      </w:r>
      <w:r w:rsidRPr="00A6284F">
        <w:rPr>
          <w:rFonts w:eastAsia="Times New Roman"/>
          <w:b/>
          <w:color w:val="000000"/>
          <w:spacing w:val="-1"/>
          <w:sz w:val="24"/>
          <w:lang w:val="sq-AL"/>
        </w:rPr>
        <w:t>fazë të hershme</w:t>
      </w:r>
      <w:r w:rsidRPr="00A6284F">
        <w:rPr>
          <w:rFonts w:eastAsia="Times New Roman"/>
          <w:color w:val="000000"/>
          <w:spacing w:val="-1"/>
          <w:sz w:val="24"/>
          <w:lang w:val="sq-AL"/>
        </w:rPr>
        <w:t xml:space="preserve">/ka </w:t>
      </w:r>
      <w:r w:rsidRPr="00A6284F">
        <w:rPr>
          <w:rFonts w:eastAsia="Times New Roman"/>
          <w:b/>
          <w:color w:val="000000"/>
          <w:spacing w:val="-1"/>
          <w:sz w:val="24"/>
          <w:lang w:val="sq-AL"/>
        </w:rPr>
        <w:t>një nivel përgatitjeje</w:t>
      </w:r>
      <w:r w:rsidRPr="00A6284F">
        <w:rPr>
          <w:rFonts w:eastAsia="Times New Roman"/>
          <w:color w:val="000000"/>
          <w:spacing w:val="-1"/>
          <w:sz w:val="24"/>
          <w:lang w:val="sq-AL"/>
        </w:rPr>
        <w:t xml:space="preserve"> për të zbatuar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dhe standardet evropiane në këtë fushë. </w:t>
      </w:r>
      <w:r w:rsidRPr="00A6284F">
        <w:rPr>
          <w:rFonts w:eastAsia="Times New Roman"/>
          <w:b/>
          <w:color w:val="000000"/>
          <w:spacing w:val="-1"/>
          <w:sz w:val="24"/>
          <w:lang w:val="sq-AL"/>
        </w:rPr>
        <w:t xml:space="preserve">Pak progres </w:t>
      </w:r>
      <w:r w:rsidRPr="00A6284F">
        <w:rPr>
          <w:rFonts w:eastAsia="Times New Roman"/>
          <w:color w:val="000000"/>
          <w:spacing w:val="-1"/>
          <w:sz w:val="24"/>
          <w:lang w:val="sq-AL"/>
        </w:rPr>
        <w:t xml:space="preserve">është arritur, përfshirë hetimin dhe ndjekjen penale të disa rasteve </w:t>
      </w:r>
      <w:proofErr w:type="spellStart"/>
      <w:r w:rsidRPr="00A6284F">
        <w:rPr>
          <w:rFonts w:eastAsia="Times New Roman"/>
          <w:color w:val="000000"/>
          <w:spacing w:val="-1"/>
          <w:sz w:val="24"/>
          <w:lang w:val="sq-AL"/>
        </w:rPr>
        <w:t>korruptive</w:t>
      </w:r>
      <w:proofErr w:type="spellEnd"/>
      <w:r w:rsidRPr="00A6284F">
        <w:rPr>
          <w:rFonts w:eastAsia="Times New Roman"/>
          <w:color w:val="000000"/>
          <w:spacing w:val="-1"/>
          <w:sz w:val="24"/>
          <w:lang w:val="sq-AL"/>
        </w:rPr>
        <w:t xml:space="preserve"> të nivelit të lartë. Megjithatë, korrupsioni është i përhapur dhe mbetet një çështje shqetësuese. Miratimi i disa pjesëve të legjislacionit që janë të rëndësishme për funksionimin e gjyqësorit dhe luftën kundër korrupsionit ka shënuar një hap të rëndësishëm përpara dhe këto tani duhet të zbatohen në mënyrë të fuqishme. Sa i përket të drejtave themelore, zbatimi i ligjeve dhe strategjive relevante vazhdon të dëmtohet nga resurset joadekuate financiare dhe tjera dhe mungesa e </w:t>
      </w:r>
      <w:proofErr w:type="spellStart"/>
      <w:r w:rsidRPr="00A6284F">
        <w:rPr>
          <w:rFonts w:eastAsia="Times New Roman"/>
          <w:color w:val="000000"/>
          <w:spacing w:val="-1"/>
          <w:sz w:val="24"/>
          <w:lang w:val="sq-AL"/>
        </w:rPr>
        <w:t>prioritizimit</w:t>
      </w:r>
      <w:proofErr w:type="spellEnd"/>
      <w:r w:rsidRPr="00A6284F">
        <w:rPr>
          <w:rFonts w:eastAsia="Times New Roman"/>
          <w:color w:val="000000"/>
          <w:spacing w:val="-1"/>
          <w:sz w:val="24"/>
          <w:lang w:val="sq-AL"/>
        </w:rPr>
        <w:t xml:space="preserve"> dhe koordinimit politik. </w:t>
      </w:r>
    </w:p>
    <w:p w:rsidR="00CE1051" w:rsidRPr="00A6284F" w:rsidRDefault="00CE1051" w:rsidP="00CE1051">
      <w:pPr>
        <w:spacing w:before="3" w:line="273" w:lineRule="exact"/>
        <w:ind w:left="144"/>
        <w:textAlignment w:val="baseline"/>
        <w:rPr>
          <w:rFonts w:eastAsia="Times New Roman"/>
          <w:b/>
          <w:color w:val="000000"/>
          <w:sz w:val="24"/>
          <w:lang w:val="sq-AL"/>
        </w:rPr>
      </w:pPr>
      <w:r w:rsidRPr="00A6284F">
        <w:rPr>
          <w:rFonts w:eastAsia="Times New Roman"/>
          <w:b/>
          <w:color w:val="000000"/>
          <w:sz w:val="24"/>
          <w:lang w:val="sq-AL"/>
        </w:rPr>
        <w:t>Funksionimi i gjyqësorit</w:t>
      </w:r>
    </w:p>
    <w:p w:rsidR="00CE1051" w:rsidRPr="00A6284F" w:rsidRDefault="00CE1051" w:rsidP="00CE1051">
      <w:pPr>
        <w:spacing w:before="143" w:line="276" w:lineRule="exact"/>
        <w:ind w:left="144" w:right="144"/>
        <w:jc w:val="both"/>
        <w:textAlignment w:val="baseline"/>
        <w:rPr>
          <w:rFonts w:eastAsia="Times New Roman"/>
          <w:b/>
          <w:color w:val="000000"/>
          <w:sz w:val="24"/>
          <w:lang w:val="sq-AL"/>
        </w:rPr>
      </w:pPr>
      <w:r w:rsidRPr="00A6284F">
        <w:rPr>
          <w:rFonts w:eastAsia="Times New Roman"/>
          <w:color w:val="000000"/>
          <w:sz w:val="24"/>
          <w:lang w:val="sq-AL"/>
        </w:rPr>
        <w:t xml:space="preserve">Kosova është në një </w:t>
      </w:r>
      <w:r w:rsidRPr="00A6284F">
        <w:rPr>
          <w:rFonts w:eastAsia="Times New Roman"/>
          <w:b/>
          <w:color w:val="000000"/>
          <w:sz w:val="24"/>
          <w:lang w:val="sq-AL"/>
        </w:rPr>
        <w:t xml:space="preserve">fazë të hershme </w:t>
      </w:r>
      <w:r w:rsidRPr="00A6284F">
        <w:rPr>
          <w:rFonts w:eastAsia="Times New Roman"/>
          <w:color w:val="000000"/>
          <w:sz w:val="24"/>
          <w:lang w:val="sq-AL"/>
        </w:rPr>
        <w:t xml:space="preserve">të zhvillimit të një sistemi funksional gjyqësor. </w:t>
      </w:r>
      <w:r w:rsidRPr="00A6284F">
        <w:rPr>
          <w:rFonts w:eastAsia="Times New Roman"/>
          <w:b/>
          <w:color w:val="000000"/>
          <w:sz w:val="24"/>
          <w:lang w:val="sq-AL"/>
        </w:rPr>
        <w:t>Pak progres</w:t>
      </w:r>
      <w:r w:rsidR="0019134A" w:rsidRPr="00A6284F">
        <w:rPr>
          <w:rFonts w:eastAsia="Times New Roman"/>
          <w:b/>
          <w:color w:val="000000"/>
          <w:sz w:val="24"/>
          <w:lang w:val="sq-AL"/>
        </w:rPr>
        <w:t xml:space="preserve"> </w:t>
      </w:r>
      <w:r w:rsidRPr="00A6284F">
        <w:rPr>
          <w:rFonts w:eastAsia="Times New Roman"/>
          <w:color w:val="000000"/>
          <w:sz w:val="24"/>
          <w:lang w:val="sq-AL"/>
        </w:rPr>
        <w:t xml:space="preserve">është arritur në vitin 2018. Sa i përket rekomandimeve të vitit të kaluar, janë miratuar Ligji për Përgjegjësinë Disiplinore të Gjyqtarëve dhe Prokurorëve dhe Ligji për Ndërmjetësimin </w:t>
      </w:r>
      <w:r w:rsidR="0019134A" w:rsidRPr="00A6284F">
        <w:rPr>
          <w:rFonts w:eastAsia="Times New Roman"/>
          <w:color w:val="000000"/>
          <w:sz w:val="24"/>
          <w:lang w:val="sq-AL"/>
        </w:rPr>
        <w:t xml:space="preserve">si </w:t>
      </w:r>
      <w:r w:rsidRPr="00A6284F">
        <w:rPr>
          <w:rFonts w:eastAsia="Times New Roman"/>
          <w:color w:val="000000"/>
          <w:sz w:val="24"/>
          <w:lang w:val="sq-AL"/>
        </w:rPr>
        <w:t xml:space="preserve">dhe ka </w:t>
      </w:r>
      <w:r w:rsidR="005D68E3" w:rsidRPr="00A6284F">
        <w:rPr>
          <w:rFonts w:eastAsia="Times New Roman"/>
          <w:color w:val="000000"/>
          <w:sz w:val="24"/>
          <w:lang w:val="sq-AL"/>
        </w:rPr>
        <w:t xml:space="preserve">avancuar </w:t>
      </w:r>
      <w:proofErr w:type="spellStart"/>
      <w:r w:rsidRPr="00A6284F">
        <w:rPr>
          <w:rFonts w:eastAsia="Times New Roman"/>
          <w:color w:val="000000"/>
          <w:sz w:val="24"/>
          <w:lang w:val="sq-AL"/>
        </w:rPr>
        <w:t>lansimi</w:t>
      </w:r>
      <w:proofErr w:type="spellEnd"/>
      <w:r w:rsidRPr="00A6284F">
        <w:rPr>
          <w:rFonts w:eastAsia="Times New Roman"/>
          <w:color w:val="000000"/>
          <w:sz w:val="24"/>
          <w:lang w:val="sq-AL"/>
        </w:rPr>
        <w:t xml:space="preserve"> i një sistemi elektronik për menaxhimin e rasteve. Megjithatë, procesi i ndryshimit të pakos së drejtësisë të vitit 2015 (ligjet për Këshillin Gjyqësor, Këshillin Prokurorial dhe gjykatat), i cili ka filluar në vitin 2017, ka ngadalësuar zbatimin e ligjeve të vitit 2015. Numri i stafit gjyqësor në prokurori dhe gjykata është rritur në vitin 2018, përfshirë edhe në Prokurorinë Speciale. Edhe pse zyrtarisht integrimi i gjykatësve dhe prokurorëve serb dhe stafit të tyre mbështetës në sistemin gjyqësor të Kosovës është përfunduar në vitin 2017, nevojitet më shumë punë për të siguruar funksionalitetin e plotë, në veçanti lidhur me Gjykatën e Apelit. Pas emërimeve të bëra më në fund, Gjykata Kushtetuese tash është formuar plotësisht. Dy iniciativa ministrore që kanë pasur për qëllim përmirësimin e aspekteve të ndryshme të gjyqësorit (rishikimi funksional dhe agjenda e “Drejtësia 2020”) kanë filluar dhe janë duke vazhduar. Ka raste të ndërhyrjes politike në gjyqësor, sidomos sa i përket rastit të skemës </w:t>
      </w:r>
      <w:proofErr w:type="spellStart"/>
      <w:r w:rsidRPr="00A6284F">
        <w:rPr>
          <w:rFonts w:eastAsia="Times New Roman"/>
          <w:color w:val="000000"/>
          <w:sz w:val="24"/>
          <w:lang w:val="sq-AL"/>
        </w:rPr>
        <w:t>pensionale</w:t>
      </w:r>
      <w:proofErr w:type="spellEnd"/>
      <w:r w:rsidRPr="00A6284F">
        <w:rPr>
          <w:rFonts w:eastAsia="Times New Roman"/>
          <w:color w:val="000000"/>
          <w:sz w:val="24"/>
          <w:lang w:val="sq-AL"/>
        </w:rPr>
        <w:t xml:space="preserve"> të veteranëve të luftës. Administrimi i drejtësisë është i ngadalshëm dhe joefikas dhe institucionet e sundimit të ligjit kanë nevojë për përpjekje për ngritjen e kapaciteteve të tyre. </w:t>
      </w:r>
    </w:p>
    <w:p w:rsidR="00CE1051" w:rsidRPr="00A6284F" w:rsidRDefault="00CE1051" w:rsidP="00CE1051">
      <w:pPr>
        <w:spacing w:before="123" w:line="276" w:lineRule="exact"/>
        <w:ind w:left="144"/>
        <w:textAlignment w:val="baseline"/>
        <w:rPr>
          <w:rFonts w:eastAsia="Times New Roman"/>
          <w:color w:val="000000"/>
          <w:sz w:val="24"/>
          <w:lang w:val="sq-AL"/>
        </w:rPr>
      </w:pPr>
      <w:r w:rsidRPr="00A6284F">
        <w:rPr>
          <w:rFonts w:eastAsia="Times New Roman"/>
          <w:color w:val="000000"/>
          <w:sz w:val="24"/>
          <w:lang w:val="sq-AL"/>
        </w:rPr>
        <w:t>Në vitin e ardhshëm, Kosova duhet</w:t>
      </w:r>
      <w:r w:rsidR="00275800" w:rsidRPr="00A6284F">
        <w:rPr>
          <w:rFonts w:eastAsia="Times New Roman"/>
          <w:color w:val="000000"/>
          <w:sz w:val="24"/>
          <w:lang w:val="sq-AL"/>
        </w:rPr>
        <w:t xml:space="preserve"> veçanërisht</w:t>
      </w:r>
      <w:r w:rsidRPr="00A6284F">
        <w:rPr>
          <w:rFonts w:eastAsia="Times New Roman"/>
          <w:color w:val="000000"/>
          <w:sz w:val="24"/>
          <w:lang w:val="sq-AL"/>
        </w:rPr>
        <w:t xml:space="preserve"> të:</w:t>
      </w:r>
    </w:p>
    <w:p w:rsidR="00CE1051" w:rsidRPr="00A6284F" w:rsidRDefault="00CE1051" w:rsidP="00CE1051">
      <w:pPr>
        <w:pStyle w:val="ListParagraph"/>
        <w:numPr>
          <w:ilvl w:val="0"/>
          <w:numId w:val="3"/>
        </w:numPr>
        <w:spacing w:before="136" w:line="276" w:lineRule="exact"/>
        <w:ind w:left="567" w:right="144"/>
        <w:jc w:val="both"/>
        <w:textAlignment w:val="baseline"/>
        <w:rPr>
          <w:rFonts w:ascii="Arial Narrow" w:eastAsia="Arial Narrow" w:hAnsi="Arial Narrow"/>
          <w:color w:val="000000"/>
          <w:lang w:val="sq-AL"/>
        </w:rPr>
      </w:pPr>
      <w:r w:rsidRPr="00A6284F">
        <w:rPr>
          <w:rFonts w:eastAsia="Times New Roman"/>
          <w:color w:val="000000"/>
          <w:sz w:val="24"/>
          <w:lang w:val="sq-AL"/>
        </w:rPr>
        <w:t>vazhdojë</w:t>
      </w:r>
      <w:r w:rsidR="00275800" w:rsidRPr="00A6284F">
        <w:rPr>
          <w:rFonts w:eastAsia="Times New Roman"/>
          <w:color w:val="000000"/>
          <w:sz w:val="24"/>
          <w:lang w:val="sq-AL"/>
        </w:rPr>
        <w:t xml:space="preserve"> </w:t>
      </w:r>
      <w:r w:rsidRPr="00A6284F">
        <w:rPr>
          <w:rFonts w:eastAsia="Times New Roman"/>
          <w:color w:val="000000"/>
          <w:sz w:val="24"/>
          <w:lang w:val="sq-AL"/>
        </w:rPr>
        <w:t xml:space="preserve">të përforcojë kapacitetet e gjyqtarëve, prokurorëve dhe stafit mbështetës dhe përmirësojë administratën gjyqësore, në veçanti nëpërmjet sistemit elektronik për menaxhimin e rasteve që përdoret vazhdimisht në të gjitha gjykatat dhe prokuroritë, që gjithashtu duhet të bëjë ndarjen e rëndomtë të rasteve në përputhje me metodologjinë e Komisionit Evropian për Efikasitetin e Drejtësisë (CEPEJ); </w:t>
      </w:r>
    </w:p>
    <w:p w:rsidR="00CE1051" w:rsidRPr="00A6284F" w:rsidRDefault="00CE1051" w:rsidP="00CE1051">
      <w:pPr>
        <w:pStyle w:val="ListParagraph"/>
        <w:numPr>
          <w:ilvl w:val="0"/>
          <w:numId w:val="3"/>
        </w:numPr>
        <w:spacing w:before="136" w:line="276" w:lineRule="exact"/>
        <w:ind w:left="567" w:right="144"/>
        <w:jc w:val="both"/>
        <w:textAlignment w:val="baseline"/>
        <w:rPr>
          <w:rFonts w:eastAsia="Times New Roman"/>
          <w:color w:val="000000"/>
          <w:sz w:val="24"/>
          <w:lang w:val="sq-AL"/>
        </w:rPr>
      </w:pPr>
      <w:r w:rsidRPr="00A6284F">
        <w:rPr>
          <w:rFonts w:eastAsia="Times New Roman"/>
          <w:color w:val="000000"/>
          <w:sz w:val="24"/>
          <w:lang w:val="sq-AL"/>
        </w:rPr>
        <w:t>zbatojë Ligjin e ri për Përgjegjësinë Disiplinore të Gjyqtarëve dhe Prokurorëve për të fuqizuar llogaridhënien;</w:t>
      </w:r>
    </w:p>
    <w:p w:rsidR="00CE1051" w:rsidRPr="00A6284F" w:rsidRDefault="00CE1051" w:rsidP="00CE1051">
      <w:pPr>
        <w:pStyle w:val="ListParagraph"/>
        <w:numPr>
          <w:ilvl w:val="0"/>
          <w:numId w:val="3"/>
        </w:numPr>
        <w:spacing w:before="136" w:line="276" w:lineRule="exact"/>
        <w:ind w:left="567" w:right="144"/>
        <w:jc w:val="both"/>
        <w:textAlignment w:val="baseline"/>
        <w:rPr>
          <w:rFonts w:eastAsia="Times New Roman"/>
          <w:color w:val="000000"/>
          <w:sz w:val="24"/>
          <w:lang w:val="sq-AL"/>
        </w:rPr>
      </w:pPr>
      <w:r w:rsidRPr="00A6284F">
        <w:rPr>
          <w:rFonts w:eastAsia="Times New Roman"/>
          <w:color w:val="000000"/>
          <w:sz w:val="24"/>
          <w:lang w:val="sq-AL"/>
        </w:rPr>
        <w:t xml:space="preserve">rrisë përpjekjet për të zvogëluar ngarkesën me raste të prapambetura, duke përfshirë edhe shfrytëzimin e mjeteve të zgjidhjes alternative të kontesteve dhe në veçanti ndërmjetësimit, përdorimi i të cilave duhet të financohet dhe promovohet në mënyrë të duhur. </w:t>
      </w:r>
    </w:p>
    <w:p w:rsidR="00CE1051" w:rsidRPr="00A6284F" w:rsidRDefault="00CE1051" w:rsidP="00CE1051">
      <w:pPr>
        <w:spacing w:before="131"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Dokumentet strategjike</w:t>
      </w:r>
    </w:p>
    <w:p w:rsidR="00CE1051" w:rsidRPr="00A6284F" w:rsidRDefault="00CE1051" w:rsidP="00CE1051">
      <w:pPr>
        <w:spacing w:before="119" w:after="4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Përgjithësisht, ka progres të ngadalshëm në zbatimin e </w:t>
      </w:r>
      <w:r w:rsidRPr="00A6284F">
        <w:rPr>
          <w:rFonts w:eastAsia="Times New Roman"/>
          <w:b/>
          <w:color w:val="000000"/>
          <w:spacing w:val="-1"/>
          <w:sz w:val="24"/>
          <w:lang w:val="sq-AL"/>
        </w:rPr>
        <w:t>planit strategjik 2014-2019</w:t>
      </w:r>
      <w:r w:rsidRPr="00A6284F">
        <w:rPr>
          <w:rFonts w:eastAsia="Times New Roman"/>
          <w:color w:val="000000"/>
          <w:spacing w:val="-1"/>
          <w:sz w:val="24"/>
          <w:lang w:val="sq-AL"/>
        </w:rPr>
        <w:t xml:space="preserve"> të Këshillit Gjyqësor të Kosovës (KGJK), strategjisë së komunikimit 2014-2019, si dhe strategjinë për zvogëlimin e numrit të rasteve të prapambetura, i cili është një dokument i papërfunduar që është miratuar në vitin 2013.</w:t>
      </w:r>
      <w:r w:rsidR="007A2BF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Këshilli Gjyqësor i Kosovës dhe Këshilli Prokurorial i Kosovës </w:t>
      </w:r>
      <w:r w:rsidRPr="00A6284F">
        <w:rPr>
          <w:rFonts w:eastAsia="Times New Roman"/>
          <w:color w:val="000000"/>
          <w:spacing w:val="-1"/>
          <w:sz w:val="24"/>
          <w:lang w:val="sq-AL"/>
        </w:rPr>
        <w:lastRenderedPageBreak/>
        <w:t xml:space="preserve">(KPK) kanë miratuar plane vjetore që përcaktojnë prioritetet për këshillat, gjykatat dhe prokuroritë për vitin 2018. Edhe pse Këshilli Prokurorial ka shënuar progres në zbatimin e planit të tij strategjik për 2016-2018, prapë është duke ngecur prapa. Kosovës i mungon një strategji gjithëpërfshirëse për reforma të sektorit të drejtësisë, si dhe mekanizmi i mirëfilltë për bashkërendimin ndërinstitucional. Koordinimi i donatorëve është i pamjaftueshëm nga autoritetet e Kosovës. Kjo shpie në </w:t>
      </w:r>
      <w:proofErr w:type="spellStart"/>
      <w:r w:rsidR="008823CF" w:rsidRPr="00A6284F">
        <w:rPr>
          <w:rFonts w:eastAsia="Times New Roman"/>
          <w:color w:val="000000"/>
          <w:spacing w:val="-1"/>
          <w:sz w:val="24"/>
          <w:lang w:val="sq-AL"/>
        </w:rPr>
        <w:t>jo</w:t>
      </w:r>
      <w:r w:rsidRPr="00A6284F">
        <w:rPr>
          <w:rFonts w:eastAsia="Times New Roman"/>
          <w:color w:val="000000"/>
          <w:spacing w:val="-1"/>
          <w:sz w:val="24"/>
          <w:lang w:val="sq-AL"/>
        </w:rPr>
        <w:t>efikasitet</w:t>
      </w:r>
      <w:proofErr w:type="spellEnd"/>
      <w:r w:rsidRPr="00A6284F">
        <w:rPr>
          <w:rFonts w:eastAsia="Times New Roman"/>
          <w:color w:val="000000"/>
          <w:spacing w:val="-1"/>
          <w:sz w:val="24"/>
          <w:lang w:val="sq-AL"/>
        </w:rPr>
        <w:t xml:space="preserve">, </w:t>
      </w:r>
      <w:proofErr w:type="spellStart"/>
      <w:r w:rsidRPr="00A6284F">
        <w:rPr>
          <w:rFonts w:eastAsia="Times New Roman"/>
          <w:color w:val="000000"/>
          <w:spacing w:val="-1"/>
          <w:sz w:val="24"/>
          <w:lang w:val="sq-AL"/>
        </w:rPr>
        <w:t>jokoherencë</w:t>
      </w:r>
      <w:proofErr w:type="spellEnd"/>
      <w:r w:rsidRPr="00A6284F">
        <w:rPr>
          <w:rFonts w:eastAsia="Times New Roman"/>
          <w:color w:val="000000"/>
          <w:spacing w:val="-1"/>
          <w:sz w:val="24"/>
          <w:lang w:val="sq-AL"/>
        </w:rPr>
        <w:t xml:space="preserve"> dhe dyfishim të përpjekjeve.</w:t>
      </w:r>
      <w:r w:rsidR="007A2BF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Rishikimi funksional i sektorit të sundimit të ligjit duhet të finalizohet në shtator të vitit 2019 dhe duhet të rezultojë, ndër të tjera, me një strategji të sektorit të sundimit të ligjit. Në shtator të vitit 2018, Ministria e Drejtësisë, në koordinim me Këshillin Gjyqësor dhe Këshillin Prokurorial, </w:t>
      </w:r>
      <w:proofErr w:type="spellStart"/>
      <w:r w:rsidRPr="00A6284F">
        <w:rPr>
          <w:rFonts w:eastAsia="Times New Roman"/>
          <w:color w:val="000000"/>
          <w:spacing w:val="-1"/>
          <w:sz w:val="24"/>
          <w:lang w:val="sq-AL"/>
        </w:rPr>
        <w:t>lansoi</w:t>
      </w:r>
      <w:proofErr w:type="spellEnd"/>
      <w:r w:rsidRPr="00A6284F">
        <w:rPr>
          <w:rFonts w:eastAsia="Times New Roman"/>
          <w:color w:val="000000"/>
          <w:spacing w:val="-1"/>
          <w:sz w:val="24"/>
          <w:lang w:val="sq-AL"/>
        </w:rPr>
        <w:t xml:space="preserve"> agjendën e “Drejtësia 2020”, duke detajuar numrin e hapave konkretë për përmirësimin e funksionimit të gjyqësorit në planin afatshkurtër. </w:t>
      </w:r>
    </w:p>
    <w:p w:rsidR="00CE1051" w:rsidRPr="00A6284F" w:rsidRDefault="00CE1051" w:rsidP="00CE1051">
      <w:pPr>
        <w:spacing w:before="1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Organet menaxhuese</w:t>
      </w:r>
    </w:p>
    <w:p w:rsidR="00CE1051" w:rsidRPr="00A6284F" w:rsidRDefault="00CE1051" w:rsidP="00CE1051">
      <w:pPr>
        <w:spacing w:before="121"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 xml:space="preserve">Këshilli Gjyqësor i Kosovës </w:t>
      </w:r>
      <w:r w:rsidRPr="00A6284F">
        <w:rPr>
          <w:rFonts w:eastAsia="Times New Roman"/>
          <w:color w:val="000000"/>
          <w:sz w:val="24"/>
          <w:lang w:val="sq-AL"/>
        </w:rPr>
        <w:t>dhe</w:t>
      </w:r>
      <w:r w:rsidR="007A2BF5" w:rsidRPr="00A6284F">
        <w:rPr>
          <w:rFonts w:eastAsia="Times New Roman"/>
          <w:color w:val="000000"/>
          <w:sz w:val="24"/>
          <w:lang w:val="sq-AL"/>
        </w:rPr>
        <w:t xml:space="preserve"> </w:t>
      </w:r>
      <w:r w:rsidRPr="00A6284F">
        <w:rPr>
          <w:rFonts w:eastAsia="Times New Roman"/>
          <w:b/>
          <w:color w:val="000000"/>
          <w:sz w:val="24"/>
          <w:lang w:val="sq-AL"/>
        </w:rPr>
        <w:t xml:space="preserve">Këshilli Prokurorial i </w:t>
      </w:r>
      <w:r w:rsidR="00522A4C" w:rsidRPr="00A6284F">
        <w:rPr>
          <w:rFonts w:eastAsia="Times New Roman"/>
          <w:b/>
          <w:color w:val="000000"/>
          <w:sz w:val="24"/>
          <w:lang w:val="sq-AL"/>
        </w:rPr>
        <w:t xml:space="preserve">Kosovës </w:t>
      </w:r>
      <w:r w:rsidRPr="00A6284F">
        <w:rPr>
          <w:rFonts w:eastAsia="Times New Roman"/>
          <w:color w:val="000000"/>
          <w:sz w:val="24"/>
          <w:lang w:val="sq-AL"/>
        </w:rPr>
        <w:t>janë përgjegjës për të siguruar pavarësinë dhe paanshmërinë e gjyqësorit. Përbërja e tyre dhe procedurat e emërimit janë përgjithësisht në pajtim me standardet evropiane.</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Ligji për Këshillin Gjyqësor të Kosovës është ndryshuar për ta harmonizuar me ndryshimet kushtetuese në vitin 2016, sipas të cilave shumica e anëtarëve të tij duhet </w:t>
      </w:r>
      <w:r w:rsidR="00522A4C" w:rsidRPr="00A6284F">
        <w:rPr>
          <w:rFonts w:eastAsia="Times New Roman"/>
          <w:color w:val="000000"/>
          <w:sz w:val="24"/>
          <w:lang w:val="sq-AL"/>
        </w:rPr>
        <w:t>të zgjidhen nga kolegët</w:t>
      </w:r>
      <w:r w:rsidRPr="00A6284F">
        <w:rPr>
          <w:rFonts w:eastAsia="Times New Roman"/>
          <w:color w:val="000000"/>
          <w:sz w:val="24"/>
          <w:lang w:val="sq-AL"/>
        </w:rPr>
        <w:t>.</w:t>
      </w:r>
      <w:r w:rsidR="00522A4C" w:rsidRPr="00A6284F">
        <w:rPr>
          <w:rFonts w:eastAsia="Times New Roman"/>
          <w:color w:val="000000"/>
          <w:sz w:val="24"/>
          <w:lang w:val="sq-AL"/>
        </w:rPr>
        <w:t xml:space="preserve"> Tani k</w:t>
      </w:r>
      <w:r w:rsidRPr="00A6284F">
        <w:rPr>
          <w:rFonts w:eastAsia="Times New Roman"/>
          <w:color w:val="000000"/>
          <w:sz w:val="24"/>
          <w:lang w:val="sq-AL"/>
        </w:rPr>
        <w:t xml:space="preserve">ëshilli tani duhet të </w:t>
      </w:r>
      <w:proofErr w:type="spellStart"/>
      <w:r w:rsidRPr="00A6284F">
        <w:rPr>
          <w:rFonts w:eastAsia="Times New Roman"/>
          <w:color w:val="000000"/>
          <w:sz w:val="24"/>
          <w:lang w:val="sq-AL"/>
        </w:rPr>
        <w:t>konstituohet</w:t>
      </w:r>
      <w:proofErr w:type="spellEnd"/>
      <w:r w:rsidRPr="00A6284F">
        <w:rPr>
          <w:rFonts w:eastAsia="Times New Roman"/>
          <w:color w:val="000000"/>
          <w:sz w:val="24"/>
          <w:lang w:val="sq-AL"/>
        </w:rPr>
        <w:t xml:space="preserve"> plotësisht. Është dashur të ndërmerren hapa për të zbatuar ligjet e reja për Këshillin Gjyqësor, Gjykatat dhe Përgjegjësinë Disiplinore të Gjyqtarëve dhe Prokurorëve menjëherë pas miratimit të tyre. Buxheti i </w:t>
      </w:r>
      <w:proofErr w:type="spellStart"/>
      <w:r w:rsidRPr="00A6284F">
        <w:rPr>
          <w:rFonts w:eastAsia="Times New Roman"/>
          <w:color w:val="000000"/>
          <w:sz w:val="24"/>
          <w:lang w:val="sq-AL"/>
        </w:rPr>
        <w:t>alokuar</w:t>
      </w:r>
      <w:proofErr w:type="spellEnd"/>
      <w:r w:rsidRPr="00A6284F">
        <w:rPr>
          <w:rFonts w:eastAsia="Times New Roman"/>
          <w:color w:val="000000"/>
          <w:sz w:val="24"/>
          <w:lang w:val="sq-AL"/>
        </w:rPr>
        <w:t xml:space="preserve"> për Këshillin Gjyqësor dhe Këshillin Prokurorial është rritur më tej gjatë periudhës raportuese. Statistikat gjyqësore akoma nuk mund të qasen me lehtësi nga publiku dhe nuk janë të besueshme. </w:t>
      </w:r>
    </w:p>
    <w:p w:rsidR="00CE1051" w:rsidRPr="00A6284F" w:rsidRDefault="00CE1051" w:rsidP="00CE1051">
      <w:pPr>
        <w:spacing w:before="120" w:line="276" w:lineRule="exact"/>
        <w:ind w:left="144" w:right="144"/>
        <w:jc w:val="both"/>
        <w:textAlignment w:val="baseline"/>
        <w:rPr>
          <w:rFonts w:eastAsia="Times New Roman"/>
          <w:color w:val="000000"/>
          <w:spacing w:val="-2"/>
          <w:sz w:val="24"/>
          <w:lang w:val="sq-AL"/>
        </w:rPr>
      </w:pPr>
      <w:r w:rsidRPr="00A6284F">
        <w:rPr>
          <w:rFonts w:eastAsia="Times New Roman"/>
          <w:color w:val="000000"/>
          <w:sz w:val="24"/>
          <w:lang w:val="sq-AL"/>
        </w:rPr>
        <w:t xml:space="preserve">Procesi zyrtar për integrimin e gjyqtarëve dhe prokurorëve serb në Kosovë në sistemin gjyqësor është përfunduar në vitin 2017. Sigurimi i qasjes në procedurat gjyqësore në gjuhët shqipe dhe serbe në Kosovë dhe përdorimi i të dy gjuhëve në punën e organeve gjyqësore mbetet sfidë për shkak të mungesës së përkthyesve të kualifikuar. Përkthimi i ligjeve zakonisht është i dobët. </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gusht të vitit 2018, Presidenti emëroi pesë gjyqtarë në Gjykatën Kushtetuese, e cila tani ka përbërjen e plotë prej nëntë gjyqtarëve.</w:t>
      </w:r>
    </w:p>
    <w:p w:rsidR="00CE1051" w:rsidRPr="00A6284F" w:rsidRDefault="00CE1051" w:rsidP="00CE1051">
      <w:pPr>
        <w:spacing w:before="125"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Pavarësia dhe paanshmëria</w:t>
      </w:r>
    </w:p>
    <w:p w:rsidR="00CE1051"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Rregullorja për Organizimin e Brendshëm të Gjykatave parasheh ndarjen e rëndomtë të rasteve. Ka shqetësime që nuk është duke u zbatuar vazhdimisht. Rastet e profilit të lartë dhe të ndjeshme jo gjithmonë </w:t>
      </w:r>
      <w:r w:rsidR="008E790A" w:rsidRPr="00A6284F">
        <w:rPr>
          <w:rFonts w:eastAsia="Times New Roman"/>
          <w:color w:val="000000"/>
          <w:sz w:val="24"/>
          <w:lang w:val="sq-AL"/>
        </w:rPr>
        <w:t>procedohen</w:t>
      </w:r>
      <w:r w:rsidRPr="00A6284F">
        <w:rPr>
          <w:rFonts w:eastAsia="Times New Roman"/>
          <w:color w:val="000000"/>
          <w:sz w:val="24"/>
          <w:lang w:val="sq-AL"/>
        </w:rPr>
        <w:t xml:space="preserve"> në kohë.</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Masat mbrojtëse</w:t>
      </w:r>
      <w:r w:rsidRPr="00A6284F">
        <w:rPr>
          <w:rFonts w:eastAsia="Times New Roman"/>
          <w:color w:val="000000"/>
          <w:sz w:val="24"/>
          <w:lang w:val="sq-AL"/>
        </w:rPr>
        <w:t xml:space="preserve"> ligjore për pavarësinë dhe paanshmërinë janë të </w:t>
      </w:r>
      <w:r w:rsidR="008823CF" w:rsidRPr="00A6284F">
        <w:rPr>
          <w:rFonts w:eastAsia="Times New Roman"/>
          <w:color w:val="000000"/>
          <w:sz w:val="24"/>
          <w:lang w:val="sq-AL"/>
        </w:rPr>
        <w:t>nd</w:t>
      </w:r>
      <w:r w:rsidRPr="00A6284F">
        <w:rPr>
          <w:rFonts w:eastAsia="Times New Roman"/>
          <w:color w:val="000000"/>
          <w:sz w:val="24"/>
          <w:lang w:val="sq-AL"/>
        </w:rPr>
        <w:t xml:space="preserve">ërlidhura në Kushtetutë dhe kornizën ligjore. Gjyqtarët nuk mund të transferohen pa pëlqimin e tyre. Këshillat duhet të reagojnë në mënyrë më efikase dhe aktive në rastet e ndërhyrjeve të pohuara politike në gjyqësor, siç është rasti në lidhje me skemën </w:t>
      </w:r>
      <w:proofErr w:type="spellStart"/>
      <w:r w:rsidRPr="00A6284F">
        <w:rPr>
          <w:rFonts w:eastAsia="Times New Roman"/>
          <w:color w:val="000000"/>
          <w:sz w:val="24"/>
          <w:lang w:val="sq-AL"/>
        </w:rPr>
        <w:t>pensionale</w:t>
      </w:r>
      <w:proofErr w:type="spellEnd"/>
      <w:r w:rsidRPr="00A6284F">
        <w:rPr>
          <w:rFonts w:eastAsia="Times New Roman"/>
          <w:color w:val="000000"/>
          <w:sz w:val="24"/>
          <w:lang w:val="sq-AL"/>
        </w:rPr>
        <w:t xml:space="preserve"> të veteranëve të luftës. Gjyqësori duhet të mbrohet në mënyrë efikase nga presioni i tepërt, qoftë politik apo tjetër. </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Këshilli Gjyqësor dhe ai Prokurorial janë përgjegjës për ndërmarrjen e masave mbrojtëse për të mundësuar sigurinë e gjyqtarëve dhe prokurorëve. Aspektet teknike të mbrojtjes trajtohen nga policia. Gjatë periudhës së raportimit, tre prokurorëve iu është caktuar mbrojtja e afërt për shkak të kërcënimeve që kanë marrë për rastet që hetojnë.</w:t>
      </w:r>
    </w:p>
    <w:p w:rsidR="00CE1051" w:rsidRPr="00A6284F" w:rsidRDefault="00CE1051" w:rsidP="00CE1051">
      <w:pPr>
        <w:spacing w:before="119" w:line="276"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Llogaridhënia</w:t>
      </w:r>
    </w:p>
    <w:p w:rsidR="00CE1051" w:rsidRPr="00A6284F" w:rsidRDefault="00CE1051" w:rsidP="008E790A">
      <w:pPr>
        <w:spacing w:before="124"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Kodet</w:t>
      </w:r>
      <w:r w:rsidR="008E790A" w:rsidRPr="00A6284F">
        <w:rPr>
          <w:rFonts w:eastAsia="Times New Roman"/>
          <w:b/>
          <w:color w:val="000000"/>
          <w:sz w:val="24"/>
          <w:lang w:val="sq-AL"/>
        </w:rPr>
        <w:t xml:space="preserve"> e</w:t>
      </w:r>
      <w:r w:rsidRPr="00A6284F">
        <w:rPr>
          <w:rFonts w:eastAsia="Times New Roman"/>
          <w:b/>
          <w:color w:val="000000"/>
          <w:sz w:val="24"/>
          <w:lang w:val="sq-AL"/>
        </w:rPr>
        <w:t xml:space="preserve"> etik</w:t>
      </w:r>
      <w:r w:rsidR="008E790A" w:rsidRPr="00A6284F">
        <w:rPr>
          <w:rFonts w:eastAsia="Times New Roman"/>
          <w:b/>
          <w:color w:val="000000"/>
          <w:sz w:val="24"/>
          <w:lang w:val="sq-AL"/>
        </w:rPr>
        <w:t>ës</w:t>
      </w:r>
      <w:r w:rsidRPr="00A6284F">
        <w:rPr>
          <w:rFonts w:eastAsia="Times New Roman"/>
          <w:b/>
          <w:color w:val="000000"/>
          <w:sz w:val="24"/>
          <w:lang w:val="sq-AL"/>
        </w:rPr>
        <w:t xml:space="preserve"> </w:t>
      </w:r>
      <w:r w:rsidRPr="00A6284F">
        <w:rPr>
          <w:rFonts w:eastAsia="Times New Roman"/>
          <w:color w:val="000000"/>
          <w:sz w:val="24"/>
          <w:lang w:val="sq-AL"/>
        </w:rPr>
        <w:t xml:space="preserve">janë në fuqi për gjyqtarë, prokurorë e avokatë, por implementimi efektiv mbetet i dobët. Këshilli Prokurorial miratoi kodin e ri të etikës në dhjetor të vitit 2018. Këshilli Gjyqësor e ka bërë të detyrueshme për të gjithë gjyqtarët që të ndjekin trajnimin për etikën gjyqësore çdo vit. Në vitin 2018, 88% e të gjithë gjyqtarëve kanë ndjekur këtë trajnim. </w:t>
      </w:r>
      <w:r w:rsidRPr="00A6284F">
        <w:rPr>
          <w:rFonts w:eastAsia="Times New Roman"/>
          <w:b/>
          <w:color w:val="000000"/>
          <w:sz w:val="24"/>
          <w:lang w:val="sq-AL"/>
        </w:rPr>
        <w:lastRenderedPageBreak/>
        <w:t xml:space="preserve">Procedurat disiplinore </w:t>
      </w:r>
      <w:r w:rsidRPr="00A6284F">
        <w:rPr>
          <w:rFonts w:eastAsia="Times New Roman"/>
          <w:color w:val="000000"/>
          <w:sz w:val="24"/>
          <w:lang w:val="sq-AL"/>
        </w:rPr>
        <w:t>janë në fuqi, por përballen me vonesa të gjata dhe janë vërtetuar të mos jenë efikase. Ligji i ri për Përgjegjësinë Disiplinore të Gjyqtarëve dhe Prokurorëve i miratuar në nëntor të vitit 2018 parasheh mekanizma më të fuqishëm dhe më të qartë disiplinor, me afate rigoroze të fundit dhe ndarje të qartë të kompetencave dhe përgjegjësive. Presidenti mund të shkarkojë gjyqtarët dhe prokurorët me propozim të Këshillit Gjyqësor dhe Këshillit Prokurorial për një numër të veprave penale dhe disiplinore. Ata kanë të drejtë për ankesë.</w:t>
      </w:r>
    </w:p>
    <w:p w:rsidR="00CE1051" w:rsidRPr="00A6284F" w:rsidRDefault="00CE1051" w:rsidP="008E790A">
      <w:pPr>
        <w:spacing w:before="12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vitin 2018, Zyra e Prokurorit Disiplinor ka dërguar dy raste kundër gjyqtarëve dhe sh</w:t>
      </w:r>
      <w:r w:rsidR="008E790A" w:rsidRPr="00A6284F">
        <w:rPr>
          <w:rFonts w:eastAsia="Times New Roman"/>
          <w:color w:val="000000"/>
          <w:sz w:val="24"/>
          <w:lang w:val="sq-AL"/>
        </w:rPr>
        <w:t xml:space="preserve">tatë raste kundër prokurorëve të </w:t>
      </w:r>
      <w:r w:rsidRPr="00A6284F">
        <w:rPr>
          <w:rFonts w:eastAsia="Times New Roman"/>
          <w:color w:val="000000"/>
          <w:sz w:val="24"/>
          <w:lang w:val="sq-AL"/>
        </w:rPr>
        <w:t>Këshilli</w:t>
      </w:r>
      <w:r w:rsidR="008E790A" w:rsidRPr="00A6284F">
        <w:rPr>
          <w:rFonts w:eastAsia="Times New Roman"/>
          <w:color w:val="000000"/>
          <w:sz w:val="24"/>
          <w:lang w:val="sq-AL"/>
        </w:rPr>
        <w:t>t</w:t>
      </w:r>
      <w:r w:rsidRPr="00A6284F">
        <w:rPr>
          <w:rFonts w:eastAsia="Times New Roman"/>
          <w:color w:val="000000"/>
          <w:sz w:val="24"/>
          <w:lang w:val="sq-AL"/>
        </w:rPr>
        <w:t xml:space="preserve"> Gjyqësor dhe Këshilli Prokurorial. Këshillat kanë shqiptuar një numër të masave disiplinore, por nuk ka pasur shkarkime.</w:t>
      </w:r>
    </w:p>
    <w:p w:rsidR="00CE1051" w:rsidRPr="00A6284F" w:rsidRDefault="00CE1051" w:rsidP="00CE1051">
      <w:pPr>
        <w:spacing w:before="12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Gjyqtarët dhe prokurorët janë të obliguar me ligj që të </w:t>
      </w:r>
      <w:r w:rsidRPr="00A6284F">
        <w:rPr>
          <w:rFonts w:eastAsia="Times New Roman"/>
          <w:b/>
          <w:color w:val="000000"/>
          <w:sz w:val="24"/>
          <w:lang w:val="sq-AL"/>
        </w:rPr>
        <w:t>deklarojnë pasuritë e tyre</w:t>
      </w:r>
      <w:r w:rsidRPr="00A6284F">
        <w:rPr>
          <w:rFonts w:eastAsia="Times New Roman"/>
          <w:color w:val="000000"/>
          <w:sz w:val="24"/>
          <w:lang w:val="sq-AL"/>
        </w:rPr>
        <w:t xml:space="preserve"> dhe dhuratat e pranuara, por edhe të raportojnë ndonjë </w:t>
      </w:r>
      <w:r w:rsidRPr="00A6284F">
        <w:rPr>
          <w:rFonts w:eastAsia="Times New Roman"/>
          <w:b/>
          <w:color w:val="000000"/>
          <w:sz w:val="24"/>
          <w:lang w:val="sq-AL"/>
        </w:rPr>
        <w:t>konflikt të mundshëm të interesit</w:t>
      </w:r>
      <w:r w:rsidRPr="00A6284F">
        <w:rPr>
          <w:rFonts w:eastAsia="Times New Roman"/>
          <w:color w:val="000000"/>
          <w:sz w:val="24"/>
          <w:lang w:val="sq-AL"/>
        </w:rPr>
        <w:t xml:space="preserve"> tek Agjencia </w:t>
      </w:r>
      <w:r w:rsidR="008E790A" w:rsidRPr="00A6284F">
        <w:rPr>
          <w:rFonts w:eastAsia="Times New Roman"/>
          <w:color w:val="000000"/>
          <w:sz w:val="24"/>
          <w:lang w:val="sq-AL"/>
        </w:rPr>
        <w:t>Kundër</w:t>
      </w:r>
      <w:r w:rsidRPr="00A6284F">
        <w:rPr>
          <w:rFonts w:eastAsia="Times New Roman"/>
          <w:color w:val="000000"/>
          <w:sz w:val="24"/>
          <w:lang w:val="sq-AL"/>
        </w:rPr>
        <w:t xml:space="preserve">-Korrupsion. Në vitin 2018, me përjashtim të një prokurori, ata të gjithë kanë dërguar </w:t>
      </w:r>
      <w:r w:rsidRPr="00A6284F">
        <w:rPr>
          <w:rFonts w:eastAsia="Times New Roman"/>
          <w:b/>
          <w:color w:val="000000"/>
          <w:sz w:val="24"/>
          <w:lang w:val="sq-AL"/>
        </w:rPr>
        <w:t>deklarimet e tyre të pasurisë</w:t>
      </w:r>
      <w:r w:rsidRPr="00A6284F">
        <w:rPr>
          <w:rFonts w:eastAsia="Times New Roman"/>
          <w:color w:val="000000"/>
          <w:sz w:val="24"/>
          <w:lang w:val="sq-AL"/>
        </w:rPr>
        <w:t xml:space="preserve"> me kohë.</w:t>
      </w:r>
    </w:p>
    <w:p w:rsidR="00CE1051" w:rsidRPr="00A6284F" w:rsidRDefault="00CE1051" w:rsidP="00CE1051">
      <w:pPr>
        <w:spacing w:before="120"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Profesionalizmi dhe k</w:t>
      </w:r>
      <w:r w:rsidR="009F161D" w:rsidRPr="00A6284F">
        <w:rPr>
          <w:rFonts w:eastAsia="Times New Roman"/>
          <w:color w:val="000000"/>
          <w:sz w:val="24"/>
          <w:u w:val="single"/>
          <w:lang w:val="sq-AL"/>
        </w:rPr>
        <w:t xml:space="preserve">ompetenca </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Presidenti </w:t>
      </w:r>
      <w:r w:rsidRPr="00A6284F">
        <w:rPr>
          <w:rFonts w:eastAsia="Times New Roman"/>
          <w:b/>
          <w:color w:val="000000"/>
          <w:sz w:val="24"/>
          <w:lang w:val="sq-AL"/>
        </w:rPr>
        <w:t xml:space="preserve">emëron gjyqtarët dhe prokurorët </w:t>
      </w:r>
      <w:r w:rsidRPr="00A6284F">
        <w:rPr>
          <w:rFonts w:eastAsia="Times New Roman"/>
          <w:color w:val="000000"/>
          <w:sz w:val="24"/>
          <w:lang w:val="sq-AL"/>
        </w:rPr>
        <w:t xml:space="preserve">për një mandat fillestar trevjeçar, pas propozimit nga Këshilli Gjyqësor i Kosovës, respektivisht Prokurorial i Kosovës. Deri me tash, Presidenti i ka </w:t>
      </w:r>
      <w:r w:rsidR="009F161D" w:rsidRPr="00A6284F">
        <w:rPr>
          <w:rFonts w:eastAsia="Times New Roman"/>
          <w:color w:val="000000"/>
          <w:sz w:val="24"/>
          <w:lang w:val="sq-AL"/>
        </w:rPr>
        <w:t xml:space="preserve">ndjekur </w:t>
      </w:r>
      <w:r w:rsidRPr="00A6284F">
        <w:rPr>
          <w:rFonts w:eastAsia="Times New Roman"/>
          <w:color w:val="000000"/>
          <w:sz w:val="24"/>
          <w:lang w:val="sq-AL"/>
        </w:rPr>
        <w:t xml:space="preserve">të gjitha propozimet. Procesi i rekrutimit dhe provimet hyrëse për gjyqtarë dhe prokurorë organizohen nga Këshilli Gjyqësor, respektivisht Prokurorial, si dhe formalisht janë të bazuara në merita. Në vitin 2018, Këshilli Gjyqësorë ka rekrutuar 37 gjyqtarë të rinj të Gjykatës Themelore (18 femra, 19 meshkuj), duke përfshirë 7 prej tyre nga komunitetet jo shumicë. Procesi i rekrutimit është zhvilluar në përputhje me kornizën ekzistuese ligjore. Këshilli duhet të sigurojë që vlerësimi dhe verifikimi të kenë bazë të qartë ligjore dhe të mos </w:t>
      </w:r>
      <w:r w:rsidR="005056C2" w:rsidRPr="00A6284F">
        <w:rPr>
          <w:rFonts w:eastAsia="Times New Roman"/>
          <w:color w:val="000000"/>
          <w:sz w:val="24"/>
          <w:lang w:val="sq-AL"/>
        </w:rPr>
        <w:t xml:space="preserve">ndërhyjë </w:t>
      </w:r>
      <w:r w:rsidRPr="00A6284F">
        <w:rPr>
          <w:rFonts w:eastAsia="Times New Roman"/>
          <w:color w:val="000000"/>
          <w:sz w:val="24"/>
          <w:lang w:val="sq-AL"/>
        </w:rPr>
        <w:t>në jetën private të gjyqtarëve.</w:t>
      </w:r>
    </w:p>
    <w:p w:rsidR="00CE1051" w:rsidRPr="00A6284F" w:rsidRDefault="005056C2" w:rsidP="00CE1051">
      <w:pPr>
        <w:spacing w:before="122" w:line="276" w:lineRule="exact"/>
        <w:ind w:left="144" w:right="144"/>
        <w:jc w:val="both"/>
        <w:textAlignment w:val="baseline"/>
        <w:rPr>
          <w:rFonts w:eastAsia="Times New Roman"/>
          <w:b/>
          <w:color w:val="000000"/>
          <w:spacing w:val="-1"/>
          <w:sz w:val="24"/>
          <w:lang w:val="sq-AL"/>
        </w:rPr>
      </w:pPr>
      <w:r w:rsidRPr="00A6284F">
        <w:rPr>
          <w:rFonts w:eastAsia="Times New Roman"/>
          <w:color w:val="000000"/>
          <w:spacing w:val="-1"/>
          <w:sz w:val="24"/>
          <w:lang w:val="sq-AL"/>
        </w:rPr>
        <w:t>Ekzistojnë</w:t>
      </w:r>
      <w:r w:rsidR="00CE1051" w:rsidRPr="00A6284F">
        <w:rPr>
          <w:rFonts w:eastAsia="Times New Roman"/>
          <w:b/>
          <w:color w:val="000000"/>
          <w:spacing w:val="-1"/>
          <w:sz w:val="24"/>
          <w:lang w:val="sq-AL"/>
        </w:rPr>
        <w:t xml:space="preserve"> sistem</w:t>
      </w:r>
      <w:r w:rsidRPr="00A6284F">
        <w:rPr>
          <w:rFonts w:eastAsia="Times New Roman"/>
          <w:b/>
          <w:color w:val="000000"/>
          <w:spacing w:val="-1"/>
          <w:sz w:val="24"/>
          <w:lang w:val="sq-AL"/>
        </w:rPr>
        <w:t>i</w:t>
      </w:r>
      <w:r w:rsidR="00CE1051" w:rsidRPr="00A6284F">
        <w:rPr>
          <w:rFonts w:eastAsia="Times New Roman"/>
          <w:b/>
          <w:color w:val="000000"/>
          <w:spacing w:val="-1"/>
          <w:sz w:val="24"/>
          <w:lang w:val="sq-AL"/>
        </w:rPr>
        <w:t xml:space="preserve"> i vlerësimit dhe kritere</w:t>
      </w:r>
      <w:r w:rsidRPr="00A6284F">
        <w:rPr>
          <w:rFonts w:eastAsia="Times New Roman"/>
          <w:b/>
          <w:color w:val="000000"/>
          <w:spacing w:val="-1"/>
          <w:sz w:val="24"/>
          <w:lang w:val="sq-AL"/>
        </w:rPr>
        <w:t>t</w:t>
      </w:r>
      <w:r w:rsidR="00CE1051" w:rsidRPr="00A6284F">
        <w:rPr>
          <w:rFonts w:eastAsia="Times New Roman"/>
          <w:b/>
          <w:color w:val="000000"/>
          <w:spacing w:val="-1"/>
          <w:sz w:val="24"/>
          <w:lang w:val="sq-AL"/>
        </w:rPr>
        <w:t xml:space="preserve"> </w:t>
      </w:r>
      <w:r w:rsidRPr="00A6284F">
        <w:rPr>
          <w:rFonts w:eastAsia="Times New Roman"/>
          <w:b/>
          <w:color w:val="000000"/>
          <w:spacing w:val="-1"/>
          <w:sz w:val="24"/>
          <w:lang w:val="sq-AL"/>
        </w:rPr>
        <w:t>e</w:t>
      </w:r>
      <w:r w:rsidR="00CE1051" w:rsidRPr="00A6284F">
        <w:rPr>
          <w:rFonts w:eastAsia="Times New Roman"/>
          <w:b/>
          <w:color w:val="000000"/>
          <w:spacing w:val="-1"/>
          <w:sz w:val="24"/>
          <w:lang w:val="sq-AL"/>
        </w:rPr>
        <w:t xml:space="preserve"> performancës </w:t>
      </w:r>
      <w:r w:rsidRPr="00A6284F">
        <w:rPr>
          <w:rFonts w:eastAsia="Times New Roman"/>
          <w:b/>
          <w:color w:val="000000"/>
          <w:spacing w:val="-1"/>
          <w:sz w:val="24"/>
          <w:lang w:val="sq-AL"/>
        </w:rPr>
        <w:t xml:space="preserve">të </w:t>
      </w:r>
      <w:r w:rsidR="00CE1051" w:rsidRPr="00A6284F">
        <w:rPr>
          <w:rFonts w:eastAsia="Times New Roman"/>
          <w:b/>
          <w:color w:val="000000"/>
          <w:spacing w:val="-1"/>
          <w:sz w:val="24"/>
          <w:lang w:val="sq-AL"/>
        </w:rPr>
        <w:t xml:space="preserve">bazuara </w:t>
      </w:r>
      <w:r w:rsidRPr="00A6284F">
        <w:rPr>
          <w:rFonts w:eastAsia="Times New Roman"/>
          <w:b/>
          <w:color w:val="000000"/>
          <w:spacing w:val="-1"/>
          <w:sz w:val="24"/>
          <w:lang w:val="sq-AL"/>
        </w:rPr>
        <w:t xml:space="preserve">në </w:t>
      </w:r>
      <w:r w:rsidR="00CE1051" w:rsidRPr="00A6284F">
        <w:rPr>
          <w:rFonts w:eastAsia="Times New Roman"/>
          <w:b/>
          <w:color w:val="000000"/>
          <w:spacing w:val="-1"/>
          <w:sz w:val="24"/>
          <w:lang w:val="sq-AL"/>
        </w:rPr>
        <w:t>merita.</w:t>
      </w:r>
      <w:r w:rsidR="00CE1051" w:rsidRPr="00A6284F">
        <w:rPr>
          <w:rFonts w:eastAsia="Times New Roman"/>
          <w:color w:val="000000"/>
          <w:spacing w:val="-1"/>
          <w:sz w:val="24"/>
          <w:lang w:val="sq-AL"/>
        </w:rPr>
        <w:t xml:space="preserve"> Këshillat kërkohen që çdo tri vite të zhvillojnë </w:t>
      </w:r>
      <w:r w:rsidR="00CE1051" w:rsidRPr="00A6284F">
        <w:rPr>
          <w:rFonts w:eastAsia="Times New Roman"/>
          <w:b/>
          <w:color w:val="000000"/>
          <w:spacing w:val="-1"/>
          <w:sz w:val="24"/>
          <w:lang w:val="sq-AL"/>
        </w:rPr>
        <w:t xml:space="preserve">vlerësime të performancës </w:t>
      </w:r>
      <w:r w:rsidR="00CE1051" w:rsidRPr="00A6284F">
        <w:rPr>
          <w:rFonts w:eastAsia="Times New Roman"/>
          <w:color w:val="000000"/>
          <w:spacing w:val="-1"/>
          <w:sz w:val="24"/>
          <w:lang w:val="sq-AL"/>
        </w:rPr>
        <w:t>së prokurorëve dhe gjyqtarë</w:t>
      </w:r>
      <w:r w:rsidRPr="00A6284F">
        <w:rPr>
          <w:rFonts w:eastAsia="Times New Roman"/>
          <w:color w:val="000000"/>
          <w:spacing w:val="-1"/>
          <w:sz w:val="24"/>
          <w:lang w:val="sq-AL"/>
        </w:rPr>
        <w:t>ve</w:t>
      </w:r>
      <w:r w:rsidR="00CE1051" w:rsidRPr="00A6284F">
        <w:rPr>
          <w:rFonts w:eastAsia="Times New Roman"/>
          <w:color w:val="000000"/>
          <w:spacing w:val="-1"/>
          <w:sz w:val="24"/>
          <w:lang w:val="sq-AL"/>
        </w:rPr>
        <w:t xml:space="preserve"> që kanë mandat të përhershëm. Në vitin 2018, Këshilli Prokurorial ka bërë vlerësimin e 67 prokurorëve dhe 118 gjyqtarëve të Këshillit Gjyqësor. Rezultatet e vlerësimit (të 94% </w:t>
      </w:r>
      <w:r w:rsidRPr="00A6284F">
        <w:rPr>
          <w:rFonts w:eastAsia="Times New Roman"/>
          <w:color w:val="000000"/>
          <w:spacing w:val="-1"/>
          <w:sz w:val="24"/>
          <w:lang w:val="sq-AL"/>
        </w:rPr>
        <w:t xml:space="preserve">të </w:t>
      </w:r>
      <w:r w:rsidR="00CE1051" w:rsidRPr="00A6284F">
        <w:rPr>
          <w:rFonts w:eastAsia="Times New Roman"/>
          <w:color w:val="000000"/>
          <w:spacing w:val="-1"/>
          <w:sz w:val="24"/>
          <w:lang w:val="sq-AL"/>
        </w:rPr>
        <w:t xml:space="preserve">prokurorëve dhe 100% </w:t>
      </w:r>
      <w:r w:rsidRPr="00A6284F">
        <w:rPr>
          <w:rFonts w:eastAsia="Times New Roman"/>
          <w:color w:val="000000"/>
          <w:spacing w:val="-1"/>
          <w:sz w:val="24"/>
          <w:lang w:val="sq-AL"/>
        </w:rPr>
        <w:t xml:space="preserve">të </w:t>
      </w:r>
      <w:r w:rsidR="00CE1051" w:rsidRPr="00A6284F">
        <w:rPr>
          <w:rFonts w:eastAsia="Times New Roman"/>
          <w:color w:val="000000"/>
          <w:spacing w:val="-1"/>
          <w:sz w:val="24"/>
          <w:lang w:val="sq-AL"/>
        </w:rPr>
        <w:t xml:space="preserve">gjyqtarëve me mandate </w:t>
      </w:r>
      <w:r w:rsidRPr="00A6284F">
        <w:rPr>
          <w:rFonts w:eastAsia="Times New Roman"/>
          <w:color w:val="000000"/>
          <w:spacing w:val="-1"/>
          <w:sz w:val="24"/>
          <w:lang w:val="sq-AL"/>
        </w:rPr>
        <w:t xml:space="preserve">të </w:t>
      </w:r>
      <w:r w:rsidR="00CE1051" w:rsidRPr="00A6284F">
        <w:rPr>
          <w:rFonts w:eastAsia="Times New Roman"/>
          <w:color w:val="000000"/>
          <w:spacing w:val="-1"/>
          <w:sz w:val="24"/>
          <w:lang w:val="sq-AL"/>
        </w:rPr>
        <w:t xml:space="preserve">përhershme janë vlerësuar </w:t>
      </w:r>
      <w:r w:rsidRPr="00A6284F">
        <w:rPr>
          <w:rFonts w:eastAsia="Times New Roman"/>
          <w:color w:val="000000"/>
          <w:spacing w:val="-1"/>
          <w:sz w:val="24"/>
          <w:lang w:val="sq-AL"/>
        </w:rPr>
        <w:t>me “</w:t>
      </w:r>
      <w:r w:rsidR="00CE1051" w:rsidRPr="00A6284F">
        <w:rPr>
          <w:rFonts w:eastAsia="Times New Roman"/>
          <w:color w:val="000000"/>
          <w:spacing w:val="-1"/>
          <w:sz w:val="24"/>
          <w:lang w:val="sq-AL"/>
        </w:rPr>
        <w:t>mirë</w:t>
      </w:r>
      <w:r w:rsidRPr="00A6284F">
        <w:rPr>
          <w:rFonts w:eastAsia="Times New Roman"/>
          <w:color w:val="000000"/>
          <w:spacing w:val="-1"/>
          <w:sz w:val="24"/>
          <w:lang w:val="sq-AL"/>
        </w:rPr>
        <w:t>”</w:t>
      </w:r>
      <w:r w:rsidR="00CE1051" w:rsidRPr="00A6284F">
        <w:rPr>
          <w:rFonts w:eastAsia="Times New Roman"/>
          <w:color w:val="000000"/>
          <w:spacing w:val="-1"/>
          <w:sz w:val="24"/>
          <w:lang w:val="sq-AL"/>
        </w:rPr>
        <w:t xml:space="preserve"> ose </w:t>
      </w:r>
      <w:r w:rsidRPr="00A6284F">
        <w:rPr>
          <w:rFonts w:eastAsia="Times New Roman"/>
          <w:color w:val="000000"/>
          <w:spacing w:val="-1"/>
          <w:sz w:val="24"/>
          <w:lang w:val="sq-AL"/>
        </w:rPr>
        <w:t>“</w:t>
      </w:r>
      <w:r w:rsidR="00CE1051" w:rsidRPr="00A6284F">
        <w:rPr>
          <w:rFonts w:eastAsia="Times New Roman"/>
          <w:color w:val="000000"/>
          <w:spacing w:val="-1"/>
          <w:sz w:val="24"/>
          <w:lang w:val="sq-AL"/>
        </w:rPr>
        <w:t>shumë mirë</w:t>
      </w:r>
      <w:r w:rsidRPr="00A6284F">
        <w:rPr>
          <w:rFonts w:eastAsia="Times New Roman"/>
          <w:color w:val="000000"/>
          <w:spacing w:val="-1"/>
          <w:sz w:val="24"/>
          <w:lang w:val="sq-AL"/>
        </w:rPr>
        <w:t>”</w:t>
      </w:r>
      <w:r w:rsidR="00CE1051" w:rsidRPr="00A6284F">
        <w:rPr>
          <w:rFonts w:eastAsia="Times New Roman"/>
          <w:color w:val="000000"/>
          <w:spacing w:val="-1"/>
          <w:sz w:val="24"/>
          <w:lang w:val="sq-AL"/>
        </w:rPr>
        <w:t xml:space="preserve"> dhe asnjë prej tyre nuk është vlerësuar me </w:t>
      </w:r>
      <w:r w:rsidRPr="00A6284F">
        <w:rPr>
          <w:rFonts w:eastAsia="Times New Roman"/>
          <w:color w:val="000000"/>
          <w:spacing w:val="-1"/>
          <w:sz w:val="24"/>
          <w:lang w:val="sq-AL"/>
        </w:rPr>
        <w:t>“pa</w:t>
      </w:r>
      <w:r w:rsidR="00CE1051" w:rsidRPr="00A6284F">
        <w:rPr>
          <w:rFonts w:eastAsia="Times New Roman"/>
          <w:color w:val="000000"/>
          <w:spacing w:val="-1"/>
          <w:sz w:val="24"/>
          <w:lang w:val="sq-AL"/>
        </w:rPr>
        <w:t>mjaftueshëm</w:t>
      </w:r>
      <w:r w:rsidRPr="00A6284F">
        <w:rPr>
          <w:rFonts w:eastAsia="Times New Roman"/>
          <w:color w:val="000000"/>
          <w:spacing w:val="-1"/>
          <w:sz w:val="24"/>
          <w:lang w:val="sq-AL"/>
        </w:rPr>
        <w:t>”</w:t>
      </w:r>
      <w:r w:rsidR="00CE1051" w:rsidRPr="00A6284F">
        <w:rPr>
          <w:rFonts w:eastAsia="Times New Roman"/>
          <w:color w:val="000000"/>
          <w:spacing w:val="-1"/>
          <w:sz w:val="24"/>
          <w:lang w:val="sq-AL"/>
        </w:rPr>
        <w:t xml:space="preserve">) janë tërësisht te kundërta me perceptimin e publikut lidhur me performancën e prokurorëve dhe gjyqtarëve. Niveli i </w:t>
      </w:r>
      <w:r w:rsidR="00CE1051" w:rsidRPr="00A6284F">
        <w:rPr>
          <w:rFonts w:eastAsia="Times New Roman"/>
          <w:b/>
          <w:color w:val="000000"/>
          <w:spacing w:val="-1"/>
          <w:sz w:val="24"/>
          <w:lang w:val="sq-AL"/>
        </w:rPr>
        <w:t>profesionalizmit dhe kompetencës</w:t>
      </w:r>
      <w:r w:rsidR="00CE1051" w:rsidRPr="00A6284F">
        <w:rPr>
          <w:rFonts w:eastAsia="Times New Roman"/>
          <w:color w:val="000000"/>
          <w:spacing w:val="-1"/>
          <w:sz w:val="24"/>
          <w:lang w:val="sq-AL"/>
        </w:rPr>
        <w:t xml:space="preserve">, sidomos </w:t>
      </w:r>
      <w:r w:rsidRPr="00A6284F">
        <w:rPr>
          <w:rFonts w:eastAsia="Times New Roman"/>
          <w:color w:val="000000"/>
          <w:spacing w:val="-1"/>
          <w:sz w:val="24"/>
          <w:lang w:val="sq-AL"/>
        </w:rPr>
        <w:t>për</w:t>
      </w:r>
      <w:r w:rsidR="00CE1051" w:rsidRPr="00A6284F">
        <w:rPr>
          <w:rFonts w:eastAsia="Times New Roman"/>
          <w:color w:val="000000"/>
          <w:spacing w:val="-1"/>
          <w:sz w:val="24"/>
          <w:lang w:val="sq-AL"/>
        </w:rPr>
        <w:t xml:space="preserve"> prokurorë</w:t>
      </w:r>
      <w:r w:rsidRPr="00A6284F">
        <w:rPr>
          <w:rFonts w:eastAsia="Times New Roman"/>
          <w:color w:val="000000"/>
          <w:spacing w:val="-1"/>
          <w:sz w:val="24"/>
          <w:lang w:val="sq-AL"/>
        </w:rPr>
        <w:t>t</w:t>
      </w:r>
      <w:r w:rsidR="00CE1051" w:rsidRPr="00A6284F">
        <w:rPr>
          <w:rFonts w:eastAsia="Times New Roman"/>
          <w:color w:val="000000"/>
          <w:spacing w:val="-1"/>
          <w:sz w:val="24"/>
          <w:lang w:val="sq-AL"/>
        </w:rPr>
        <w:t>, është ende shqetësu</w:t>
      </w:r>
      <w:r w:rsidRPr="00A6284F">
        <w:rPr>
          <w:rFonts w:eastAsia="Times New Roman"/>
          <w:color w:val="000000"/>
          <w:spacing w:val="-1"/>
          <w:sz w:val="24"/>
          <w:lang w:val="sq-AL"/>
        </w:rPr>
        <w:t>ese</w:t>
      </w:r>
      <w:r w:rsidR="00CE1051" w:rsidRPr="00A6284F">
        <w:rPr>
          <w:rFonts w:eastAsia="Times New Roman"/>
          <w:color w:val="000000"/>
          <w:spacing w:val="-1"/>
          <w:sz w:val="24"/>
          <w:lang w:val="sq-AL"/>
        </w:rPr>
        <w:t xml:space="preserve">; disa </w:t>
      </w:r>
      <w:r w:rsidRPr="00A6284F">
        <w:rPr>
          <w:rFonts w:eastAsia="Times New Roman"/>
          <w:color w:val="000000"/>
          <w:spacing w:val="-1"/>
          <w:sz w:val="24"/>
          <w:lang w:val="sq-AL"/>
        </w:rPr>
        <w:t xml:space="preserve">prej tyre nuk </w:t>
      </w:r>
      <w:r w:rsidR="00CE1051" w:rsidRPr="00A6284F">
        <w:rPr>
          <w:rFonts w:eastAsia="Times New Roman"/>
          <w:color w:val="000000"/>
          <w:spacing w:val="-1"/>
          <w:sz w:val="24"/>
          <w:lang w:val="sq-AL"/>
        </w:rPr>
        <w:t xml:space="preserve">janë të trajnuar në mënyrë adekuate, ndërsa </w:t>
      </w:r>
      <w:r w:rsidRPr="00A6284F">
        <w:rPr>
          <w:rFonts w:eastAsia="Times New Roman"/>
          <w:color w:val="000000"/>
          <w:spacing w:val="-1"/>
          <w:sz w:val="24"/>
          <w:lang w:val="sq-AL"/>
        </w:rPr>
        <w:t xml:space="preserve">të </w:t>
      </w:r>
      <w:r w:rsidR="00CE1051" w:rsidRPr="00A6284F">
        <w:rPr>
          <w:rFonts w:eastAsia="Times New Roman"/>
          <w:color w:val="000000"/>
          <w:spacing w:val="-1"/>
          <w:sz w:val="24"/>
          <w:lang w:val="sq-AL"/>
        </w:rPr>
        <w:t>tjerë</w:t>
      </w:r>
      <w:r w:rsidRPr="00A6284F">
        <w:rPr>
          <w:rFonts w:eastAsia="Times New Roman"/>
          <w:color w:val="000000"/>
          <w:spacing w:val="-1"/>
          <w:sz w:val="24"/>
          <w:lang w:val="sq-AL"/>
        </w:rPr>
        <w:t>t</w:t>
      </w:r>
      <w:r w:rsidR="00CE1051" w:rsidRPr="00A6284F">
        <w:rPr>
          <w:rFonts w:eastAsia="Times New Roman"/>
          <w:color w:val="000000"/>
          <w:spacing w:val="-1"/>
          <w:sz w:val="24"/>
          <w:lang w:val="sq-AL"/>
        </w:rPr>
        <w:t xml:space="preserve"> nuk </w:t>
      </w:r>
      <w:r w:rsidRPr="00A6284F">
        <w:rPr>
          <w:rFonts w:eastAsia="Times New Roman"/>
          <w:color w:val="000000"/>
          <w:spacing w:val="-1"/>
          <w:sz w:val="24"/>
          <w:lang w:val="sq-AL"/>
        </w:rPr>
        <w:t xml:space="preserve">e </w:t>
      </w:r>
      <w:r w:rsidR="00CE1051" w:rsidRPr="00A6284F">
        <w:rPr>
          <w:rFonts w:eastAsia="Times New Roman"/>
          <w:color w:val="000000"/>
          <w:spacing w:val="-1"/>
          <w:sz w:val="24"/>
          <w:lang w:val="sq-AL"/>
        </w:rPr>
        <w:t xml:space="preserve">kanë vullnet që të aplikojnë njohuritë e marra nga trajnimet e vijuara dhe kështu të marrin përgjegjësinë e plotë për rastet e </w:t>
      </w:r>
      <w:r w:rsidR="00246966" w:rsidRPr="00A6284F">
        <w:rPr>
          <w:rFonts w:eastAsia="Times New Roman"/>
          <w:color w:val="000000"/>
          <w:spacing w:val="-1"/>
          <w:sz w:val="24"/>
          <w:lang w:val="sq-AL"/>
        </w:rPr>
        <w:t>tyre</w:t>
      </w:r>
      <w:r w:rsidR="00CE1051" w:rsidRPr="00A6284F">
        <w:rPr>
          <w:rFonts w:eastAsia="Times New Roman"/>
          <w:color w:val="000000"/>
          <w:spacing w:val="-1"/>
          <w:sz w:val="24"/>
          <w:lang w:val="sq-AL"/>
        </w:rPr>
        <w:t>. Mbetet që të zbatohet një sistem sipas të cilit  gjyqtarët dhe prokurorët i nënshtrohen një vlerësimi efektiv dhe sistematik, duke u bazuar në kritere të qarta, me rezultatet që ndikojnë në ngritjen e tyre në karrierë.</w:t>
      </w:r>
    </w:p>
    <w:p w:rsidR="00CE1051" w:rsidRPr="00A6284F" w:rsidRDefault="00CE1051" w:rsidP="00CE1051">
      <w:pPr>
        <w:spacing w:before="121"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Cilësia e drejtësisë </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Akademia e Drejtësisë është përgjegjëse për ofrimin e </w:t>
      </w:r>
      <w:r w:rsidRPr="00A6284F">
        <w:rPr>
          <w:rFonts w:eastAsia="Times New Roman"/>
          <w:b/>
          <w:color w:val="000000"/>
          <w:sz w:val="24"/>
          <w:lang w:val="sq-AL"/>
        </w:rPr>
        <w:t>trajnimit</w:t>
      </w:r>
      <w:r w:rsidRPr="00A6284F">
        <w:rPr>
          <w:rFonts w:eastAsia="Times New Roman"/>
          <w:color w:val="000000"/>
          <w:sz w:val="24"/>
          <w:lang w:val="sq-AL"/>
        </w:rPr>
        <w:t xml:space="preserve"> fillestar dhe atij të vazhdueshëm për gjyqtarë e prokurorë, si dhe stafin ligjor dhe administrativ gjyqësor. Trajnimi bazohet në kurrikulat vjetore të trajnimit, të përgatitura bashkërisht nga Këshilli Gjyqësor dhe Prokurorial, si dhe Akademia, pas një vlerësimi gjithëpërfshirës nevojash. Akademia gjithashtu ka ofruar një program trajnimi për gjyqtarët dhe prokurorët serb të cilët iu bashkuan sistemit gjyqësor në muajin tetor 2017. Pas emërimit, gjyqtarët dhe prokurorët i nënshtrohen një trajnimi fillestar prej 12 muajsh. Buxheti i ndarë për Akademinë e Drejtësisë është rritur për më shumë se 20% nga viti 2017 deri në vitin 2018. Trajnimi i vazhdueshëm mbetet i domosdoshëm, sidomos në fushat e specializuara si krimet ekonomike, konfiskimi, prokurimi publik, dispozitat e reja te Kodit te rishikuar Penal (duke përfshirë dhunën në familje dhe ngacmimin seksual), dhe jurisprudenca e Gjykatës Evropiane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Drejtave të Njeriut. Edukimi gjyqësor duhet të ketë rol më të dukshëm në procesin e vlerësimit.</w:t>
      </w:r>
    </w:p>
    <w:p w:rsidR="00CE1051" w:rsidRPr="00A6284F" w:rsidRDefault="00CE1051" w:rsidP="00CE105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Masat të cilat shërbejnë për të siguruar konsistencën e </w:t>
      </w:r>
      <w:r w:rsidRPr="00A6284F">
        <w:rPr>
          <w:rFonts w:eastAsia="Times New Roman"/>
          <w:b/>
          <w:color w:val="000000"/>
          <w:sz w:val="24"/>
          <w:lang w:val="sq-AL"/>
        </w:rPr>
        <w:t>jurisprudencës</w:t>
      </w:r>
      <w:r w:rsidRPr="00A6284F">
        <w:rPr>
          <w:rFonts w:eastAsia="Times New Roman"/>
          <w:color w:val="000000"/>
          <w:sz w:val="24"/>
          <w:lang w:val="sq-AL"/>
        </w:rPr>
        <w:t xml:space="preserve"> duhet të forcohen edhe me shumë. Ligji i ri për gjykatat synon të rrisë transparencën duke e bërë të detyrueshme për të gjitha gjykatat që brenda 60 ditëve të publikojnë vendimet e tyre në faqet zyrtare</w:t>
      </w:r>
      <w:r w:rsidR="00246966" w:rsidRPr="00A6284F">
        <w:rPr>
          <w:rFonts w:eastAsia="Times New Roman"/>
          <w:color w:val="000000"/>
          <w:sz w:val="24"/>
          <w:lang w:val="sq-AL"/>
        </w:rPr>
        <w:t xml:space="preserve"> të tyre</w:t>
      </w:r>
      <w:r w:rsidRPr="00A6284F">
        <w:rPr>
          <w:rFonts w:eastAsia="Times New Roman"/>
          <w:color w:val="000000"/>
          <w:sz w:val="24"/>
          <w:lang w:val="sq-AL"/>
        </w:rPr>
        <w:t>. Një portal në internet është duke u zhvilluar për t'i bërë të gjitha lehtësisht të qasshme dhe të kërkueshme. Akademia e Drejtësisë mban një bazë të dhënash të qasshme për të gjithë gjyqtarët dhe prokurorët; kjo përfshin legjislacionin e aplikueshëm, komentet dhe materiale</w:t>
      </w:r>
      <w:r w:rsidR="00246966" w:rsidRPr="00A6284F">
        <w:rPr>
          <w:rFonts w:eastAsia="Times New Roman"/>
          <w:color w:val="000000"/>
          <w:sz w:val="24"/>
          <w:lang w:val="sq-AL"/>
        </w:rPr>
        <w:t>t</w:t>
      </w:r>
      <w:r w:rsidRPr="00A6284F">
        <w:rPr>
          <w:rFonts w:eastAsia="Times New Roman"/>
          <w:color w:val="000000"/>
          <w:sz w:val="24"/>
          <w:lang w:val="sq-AL"/>
        </w:rPr>
        <w:t xml:space="preserve"> </w:t>
      </w:r>
      <w:r w:rsidR="00246966" w:rsidRPr="00A6284F">
        <w:rPr>
          <w:rFonts w:eastAsia="Times New Roman"/>
          <w:color w:val="000000"/>
          <w:sz w:val="24"/>
          <w:lang w:val="sq-AL"/>
        </w:rPr>
        <w:t>e</w:t>
      </w:r>
      <w:r w:rsidRPr="00A6284F">
        <w:rPr>
          <w:rFonts w:eastAsia="Times New Roman"/>
          <w:color w:val="000000"/>
          <w:sz w:val="24"/>
          <w:lang w:val="sq-AL"/>
        </w:rPr>
        <w:t xml:space="preserve"> tjera ligjore.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Pas emërimit të 37 gjyqtarëve në janar të vitit 2019, tani janë gjithsejtë 431 gjyqtarë (140 femra dhe 291 meshkuj) dhe 191 prokurorë (77 femra dhe 114 meshkuj), që i bie 24 gjyqtarë dhe 10.6 prokurorë për 100.000 banorë. Sipas </w:t>
      </w:r>
      <w:r w:rsidR="008823CF" w:rsidRPr="00A6284F">
        <w:rPr>
          <w:rFonts w:eastAsia="Times New Roman"/>
          <w:color w:val="000000"/>
          <w:sz w:val="24"/>
          <w:lang w:val="sq-AL"/>
        </w:rPr>
        <w:t>Komisionit Evropian për Efikasitetin e Drejtësisë të Këshillit të Evropës</w:t>
      </w:r>
      <w:r w:rsidRPr="00A6284F">
        <w:rPr>
          <w:rFonts w:eastAsia="Times New Roman"/>
          <w:color w:val="000000"/>
          <w:sz w:val="24"/>
          <w:lang w:val="sq-AL"/>
        </w:rPr>
        <w:t xml:space="preserve"> (CEPEJ), mesatarja evropiane është 21 gjyqtarë/11 prokurorë për 100.000 banorë. Kosova ka një përqindje të ulët të gjyqtarëve dhe prokurorëve femra në krahasim me shumicën e vendeve të tjera evropiane.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 xml:space="preserve">Buxheti i përgjithshëm </w:t>
      </w:r>
      <w:r w:rsidR="00246966" w:rsidRPr="00A6284F">
        <w:rPr>
          <w:rFonts w:eastAsia="Times New Roman"/>
          <w:b/>
          <w:color w:val="000000"/>
          <w:sz w:val="24"/>
          <w:lang w:val="sq-AL"/>
        </w:rPr>
        <w:t>i</w:t>
      </w:r>
      <w:r w:rsidRPr="00A6284F">
        <w:rPr>
          <w:rFonts w:eastAsia="Times New Roman"/>
          <w:b/>
          <w:color w:val="000000"/>
          <w:sz w:val="24"/>
          <w:lang w:val="sq-AL"/>
        </w:rPr>
        <w:t xml:space="preserve"> gjyqësori</w:t>
      </w:r>
      <w:r w:rsidR="00246966" w:rsidRPr="00A6284F">
        <w:rPr>
          <w:rFonts w:eastAsia="Times New Roman"/>
          <w:b/>
          <w:color w:val="000000"/>
          <w:sz w:val="24"/>
          <w:lang w:val="sq-AL"/>
        </w:rPr>
        <w:t>t</w:t>
      </w:r>
      <w:r w:rsidRPr="00A6284F">
        <w:rPr>
          <w:rFonts w:eastAsia="Times New Roman"/>
          <w:color w:val="000000"/>
          <w:sz w:val="24"/>
          <w:lang w:val="sq-AL"/>
        </w:rPr>
        <w:t xml:space="preserve"> për vitin 2018 i miratuar fillimisht, (përfshirë prokurorinë, gjykatat, Akademinë e Drejtësisë dhe Shërbimi Korrektues dhe </w:t>
      </w:r>
      <w:proofErr w:type="spellStart"/>
      <w:r w:rsidRPr="00A6284F">
        <w:rPr>
          <w:rFonts w:eastAsia="Times New Roman"/>
          <w:color w:val="000000"/>
          <w:sz w:val="24"/>
          <w:lang w:val="sq-AL"/>
        </w:rPr>
        <w:t>Sprovues</w:t>
      </w:r>
      <w:proofErr w:type="spellEnd"/>
      <w:r w:rsidRPr="00A6284F">
        <w:rPr>
          <w:rFonts w:eastAsia="Times New Roman"/>
          <w:color w:val="000000"/>
          <w:sz w:val="24"/>
          <w:lang w:val="sq-AL"/>
        </w:rPr>
        <w:t xml:space="preserve">) ka qenë 48.9 milion </w:t>
      </w:r>
      <w:r w:rsidR="00246966" w:rsidRPr="00A6284F">
        <w:rPr>
          <w:rFonts w:eastAsia="Times New Roman"/>
          <w:color w:val="000000"/>
          <w:sz w:val="24"/>
          <w:lang w:val="sq-AL"/>
        </w:rPr>
        <w:t xml:space="preserve">Euro </w:t>
      </w:r>
      <w:r w:rsidRPr="00A6284F">
        <w:rPr>
          <w:rFonts w:eastAsia="Times New Roman"/>
          <w:color w:val="000000"/>
          <w:sz w:val="24"/>
          <w:lang w:val="sq-AL"/>
        </w:rPr>
        <w:t xml:space="preserve">në vitin 2018 (nga 46.4 milion </w:t>
      </w:r>
      <w:r w:rsidR="00246966" w:rsidRPr="00A6284F">
        <w:rPr>
          <w:rFonts w:eastAsia="Times New Roman"/>
          <w:color w:val="000000"/>
          <w:sz w:val="24"/>
          <w:lang w:val="sq-AL"/>
        </w:rPr>
        <w:t xml:space="preserve">euro </w:t>
      </w:r>
      <w:r w:rsidRPr="00A6284F">
        <w:rPr>
          <w:rFonts w:eastAsia="Times New Roman"/>
          <w:color w:val="000000"/>
          <w:sz w:val="24"/>
          <w:lang w:val="sq-AL"/>
        </w:rPr>
        <w:t xml:space="preserve">sa ka qenë në vitin 2017), ose 2.35% të buxhetit të përgjithshëm (2.32% në vitin 2017). Gjatë vitit 2018 </w:t>
      </w:r>
      <w:r w:rsidR="00246966" w:rsidRPr="00A6284F">
        <w:rPr>
          <w:rFonts w:eastAsia="Times New Roman"/>
          <w:color w:val="000000"/>
          <w:sz w:val="24"/>
          <w:lang w:val="sq-AL"/>
        </w:rPr>
        <w:t xml:space="preserve">buxheti është </w:t>
      </w:r>
      <w:r w:rsidRPr="00A6284F">
        <w:rPr>
          <w:rFonts w:eastAsia="Times New Roman"/>
          <w:color w:val="000000"/>
          <w:sz w:val="24"/>
          <w:lang w:val="sq-AL"/>
        </w:rPr>
        <w:t>rritur në 54.7 milion</w:t>
      </w:r>
      <w:r w:rsidR="00246966" w:rsidRPr="00A6284F">
        <w:rPr>
          <w:rFonts w:eastAsia="Times New Roman"/>
          <w:color w:val="000000"/>
          <w:sz w:val="24"/>
          <w:lang w:val="sq-AL"/>
        </w:rPr>
        <w:t xml:space="preserve"> euro</w:t>
      </w:r>
      <w:r w:rsidRPr="00A6284F">
        <w:rPr>
          <w:rFonts w:eastAsia="Times New Roman"/>
          <w:color w:val="000000"/>
          <w:sz w:val="24"/>
          <w:lang w:val="sq-AL"/>
        </w:rPr>
        <w:t>.</w:t>
      </w:r>
    </w:p>
    <w:p w:rsidR="00CE1051" w:rsidRPr="00A6284F" w:rsidRDefault="00CE1051" w:rsidP="00CE1051">
      <w:pPr>
        <w:spacing w:before="118"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Veglat e E-drejtësisë </w:t>
      </w:r>
      <w:r w:rsidRPr="00A6284F">
        <w:rPr>
          <w:rFonts w:eastAsia="Times New Roman"/>
          <w:color w:val="000000"/>
          <w:sz w:val="24"/>
          <w:lang w:val="sq-AL"/>
        </w:rPr>
        <w:t xml:space="preserve">mbeten pak të zhvilluara si dhe sistemet e reja të TI-së në institucionet e ndryshme të sektorit të drejtësisë janë zhvilluar në mënyrë të fragmentuar, pa ndonjë strategji të përgjithshme apo monitorim të bashkërenduar. Ekziston një mekanizëm përcjellës për rastet e nivelit të lartë të korrupsionit dhe krimit të organizuar, i cili aktualisht përfshin 47 raste. Në pesë nga shtatë gjykatat e Kosovës ka filluar aplikimi i një sistem informativ për menaxhimin e rasteve të veprave penale dhe si dhe në një gjykatë është kryer faza e pilotimit për aplikimin e këtij sistemi për menaxhimin e rasteve civile. Për të siguruar përdorimin sistematik të sistemit dhe zbatimin e tij me kohë nevojitet një angazhim i vazhdueshëm, duke përfshirë gjykatën dhe prokurorinë më të madhe në Kosovë, atë në Prishtinë si dhe në Mitrovicë, veçanërisht për të fituar në mënyrë automatike të dhëna statistikore të besueshme lidhur me punën e gjyqësorit. Puna në regjistrin qendror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për vepra penale është duke vazhduar sipas planifikimit, por nevojitet më shumë përkushtim nga gjykatat për të siguruar qëndrueshmëri.</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Sistemi i ndërmjetësimit</w:t>
      </w:r>
      <w:r w:rsidRPr="00A6284F">
        <w:rPr>
          <w:rFonts w:eastAsia="Times New Roman"/>
          <w:color w:val="000000"/>
          <w:sz w:val="24"/>
          <w:lang w:val="sq-AL"/>
        </w:rPr>
        <w:t xml:space="preserve"> është funksional që nga viti 2008. Ligji i ri për ndërmjetësim, i cili ka hyrë në fuqi në shtator të vitit 2018, ka mundësuar themelimin e Odës së Ndërmjetësuesve dhe procedura më të qarta dhe më të fuqishme të ndërmjetësimit. Nga  shtatë qendra rajonale të ndërmjetësimit, sa kanë qenë fillimisht, vetëm një është aktualisht funksionale. Sidoqoftë, në gjykatat t</w:t>
      </w:r>
      <w:r w:rsidR="00912661" w:rsidRPr="00A6284F">
        <w:rPr>
          <w:rFonts w:eastAsia="Times New Roman"/>
          <w:color w:val="000000"/>
          <w:sz w:val="24"/>
          <w:lang w:val="sq-AL"/>
        </w:rPr>
        <w:t>hemelore janë themeluar shtatë “</w:t>
      </w:r>
      <w:r w:rsidRPr="00A6284F">
        <w:rPr>
          <w:rFonts w:eastAsia="Times New Roman"/>
          <w:color w:val="000000"/>
          <w:sz w:val="24"/>
          <w:lang w:val="sq-AL"/>
        </w:rPr>
        <w:t>pika</w:t>
      </w:r>
      <w:r w:rsidR="00912661" w:rsidRPr="00A6284F">
        <w:rPr>
          <w:rFonts w:eastAsia="Times New Roman"/>
          <w:color w:val="000000"/>
          <w:sz w:val="24"/>
          <w:lang w:val="sq-AL"/>
        </w:rPr>
        <w:t>”</w:t>
      </w:r>
      <w:r w:rsidRPr="00A6284F">
        <w:rPr>
          <w:rFonts w:eastAsia="Times New Roman"/>
          <w:color w:val="000000"/>
          <w:sz w:val="24"/>
          <w:lang w:val="sq-AL"/>
        </w:rPr>
        <w:t xml:space="preserve"> të ndërmjetësimit dhe pesë sosh në zyrat e prokurorisë themelore. Në vitin 2018, janë zgjidhur 2,596 raste nga ana e 189 ndërmjetësuesve të licencuar (67 femra, 122 meshkuj), prej të cilëve 14 janë nga komunat me shumicë serbe. Ndërgjegjësimi i publikut ose njohja </w:t>
      </w:r>
      <w:r w:rsidRPr="00A6284F">
        <w:rPr>
          <w:rFonts w:eastAsia="Times New Roman"/>
          <w:b/>
          <w:color w:val="000000"/>
          <w:sz w:val="24"/>
          <w:lang w:val="sq-AL"/>
        </w:rPr>
        <w:t>me mjetet alternative të zgjidhjes së mosmarrëveshjeve</w:t>
      </w:r>
      <w:r w:rsidRPr="00A6284F">
        <w:rPr>
          <w:rFonts w:eastAsia="Times New Roman"/>
          <w:color w:val="000000"/>
          <w:sz w:val="24"/>
          <w:lang w:val="sq-AL"/>
        </w:rPr>
        <w:t xml:space="preserve"> mbetet e ulët. Sidoqoftë, në vitin 2018 janë zhvilluar disa fushata ndërgjegjësimi dhe aktivitete trajnuese. Sistemi i ndërmjetësimit ka nevojë për forcim të mëtejshëm përmes zbatimit të plotë të Ligjit të miratuar së fundmi dhe ndarjes së një buxheti të mjaftueshëm.</w:t>
      </w:r>
    </w:p>
    <w:p w:rsidR="00CE1051" w:rsidRPr="00A6284F" w:rsidRDefault="00CE1051" w:rsidP="00CE1051">
      <w:pPr>
        <w:spacing w:before="123" w:line="276"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Efikasiteti</w:t>
      </w:r>
    </w:p>
    <w:p w:rsidR="00CE1051" w:rsidRPr="00A6284F" w:rsidRDefault="00CE1051" w:rsidP="00CE1051">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ende ka nevojë të jetë më efikase në përballje me </w:t>
      </w:r>
      <w:r w:rsidRPr="00A6284F">
        <w:rPr>
          <w:rFonts w:eastAsia="Times New Roman"/>
          <w:b/>
          <w:color w:val="000000"/>
          <w:sz w:val="24"/>
          <w:lang w:val="sq-AL"/>
        </w:rPr>
        <w:t>rastet e prapambetura</w:t>
      </w:r>
      <w:r w:rsidRPr="00A6284F">
        <w:rPr>
          <w:rFonts w:eastAsia="Times New Roman"/>
          <w:color w:val="000000"/>
          <w:sz w:val="24"/>
          <w:lang w:val="sq-AL"/>
        </w:rPr>
        <w:t xml:space="preserve">. Gjykatat përballen me një numër të lartë të rasteve penale në ardhje, shumica e të cilave janë raste të kundërvajtjeve. Sistemi gjyqësor duhet të sigurojë vazhdimësinë e duhur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gjitha rasteve të profilit të lartë, duke përfshirë rastet e dorëzuara nga Misioni i Bashkimit Evropian për Sundim të Ligjit në Kosovë (EULEX).</w:t>
      </w:r>
    </w:p>
    <w:p w:rsidR="00CE1051" w:rsidRPr="00A6284F" w:rsidRDefault="00CE1051" w:rsidP="00CE1051">
      <w:pPr>
        <w:spacing w:before="119" w:after="37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Efikasiteti i gjyqësorit pengohet në masë të madhe nga mangësitë në legjislacionin penal. Për të adresuar këto raste, në vitin 2018 janë rishikuar </w:t>
      </w:r>
      <w:proofErr w:type="spellStart"/>
      <w:r w:rsidRPr="00A6284F">
        <w:rPr>
          <w:rFonts w:eastAsia="Times New Roman"/>
          <w:color w:val="000000"/>
          <w:sz w:val="24"/>
          <w:lang w:val="sq-AL"/>
        </w:rPr>
        <w:t>substancialisht</w:t>
      </w:r>
      <w:proofErr w:type="spellEnd"/>
      <w:r w:rsidRPr="00A6284F">
        <w:rPr>
          <w:rFonts w:eastAsia="Times New Roman"/>
          <w:color w:val="000000"/>
          <w:sz w:val="24"/>
          <w:lang w:val="sq-AL"/>
        </w:rPr>
        <w:t xml:space="preserve"> si Kodi Penal ashtu edhe Kodi i Procedurës Penale. Kuvendi i Kosovës në nëntor të vitit 2018 ka miratuar Kodin Penal të rishikuar, mirëpo ende nuk e ka miratuar Kodin e ri të Procedurës Penale. Kapaciteti i ulët dhe angazhimi i disa gjyqtarëve për të menaxhuar procedurat gjyqësore, sanksionimi i palëve që shkaktojnë vonesa dhe sigurimi i pranisë së të gjitha palëve në seancat e tyre, çojnë në shtyrje të shumta të seancave gjyqësore dhe zgjatje të paarsyeshme të procedurave penale. Këto aspekte, si dhe prirja e Gjykatës së Apelit që të kthejë rastet në rigjykim tek gjykatat themelore kontribuojnë drejt një </w:t>
      </w:r>
      <w:r w:rsidRPr="00A6284F">
        <w:rPr>
          <w:rFonts w:eastAsia="Times New Roman"/>
          <w:b/>
          <w:color w:val="000000"/>
          <w:sz w:val="24"/>
          <w:lang w:val="sq-AL"/>
        </w:rPr>
        <w:t>afati të zgjidhjes</w:t>
      </w:r>
      <w:r w:rsidRPr="00A6284F">
        <w:rPr>
          <w:rFonts w:eastAsia="Times New Roman"/>
          <w:color w:val="000000"/>
          <w:sz w:val="24"/>
          <w:lang w:val="sq-AL"/>
        </w:rPr>
        <w:t xml:space="preserve"> mesatarisht të gjatë (pra koha mesatare prej ngritjes së aktakuzës e deri tek aktgjykimi). Këto vonesa në procedura, kombinuar me preferencën për paraburgim kundrejt masave të tjera të sigurimit, kanë çuar drejt rasteve me periudha tejet të gjata të paraburgimit. Deri më tani numri më i madh i ankesave të pranuara nga Institucioni i Avokatit të Popullit në periudhën raportuese kanë të bëjnë me vonesat në procedurat gjyqësore. Kosova duhet të konsiderojë aplikimin e një mjeti efektiv gjyqësor juridik për të adresuar vonesat në procedurat gjyqësore, duke përfshirë edhe kompensimin.</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Organizimi i gjykatave dhe alokimi i resurseve mbetet tek kryetarët e gjykatave dhe kryeprokurorët e prokurorive. Sipas nevojës, gjyqtarët dhe prokurorët mund të transferohen përkohësisht. Ekziston nevoja për të përmirësuar planifikimin strategjik, që gjithashtu kërkon më shumë përpjekje për të aplikuar sisteme statistikore të besueshme për gjyqësorin, duke u bazuar në treguesit standardë të CEPEJ. Numri i punëtorëve ligjorë që ndihmojnë gjyqtarët dhe prokurorët konsiderohet i pamjaftueshëm. Buxheti i ndarë për vitin 2019 është i pamjaftueshëm për të përmbushur kërkesat e Ligjit për Prokurorinë e Shtetit të prillit 2018, dhe Ligjin për Gjykatat të nëntorit 2018, për të mbështetur secilin prokuror/gjyqtar me nga një bashkëpunëtor profesional. Këshilli Prokurorial dhe Këshilli Gjyqësor planifikojnë të arrijnë këtë objektiv brenda tri viteve. Këto dispozita, posa të zbatohen, kanë potencial për të përmirësuar ndjeshëm efikasitetin e sistemit.</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Reforma e sistemit të përmbarimit përmes </w:t>
      </w:r>
      <w:r w:rsidR="004D3A4C" w:rsidRPr="00A6284F">
        <w:rPr>
          <w:rFonts w:eastAsia="Times New Roman"/>
          <w:color w:val="000000"/>
          <w:sz w:val="24"/>
          <w:lang w:val="sq-AL"/>
        </w:rPr>
        <w:t>t</w:t>
      </w:r>
      <w:r w:rsidRPr="00A6284F">
        <w:rPr>
          <w:rFonts w:eastAsia="Times New Roman"/>
          <w:color w:val="000000"/>
          <w:sz w:val="24"/>
          <w:lang w:val="sq-AL"/>
        </w:rPr>
        <w:t xml:space="preserve">ë cilës Kosova </w:t>
      </w:r>
      <w:r w:rsidR="004D3A4C" w:rsidRPr="00A6284F">
        <w:rPr>
          <w:rFonts w:eastAsia="Times New Roman"/>
          <w:color w:val="000000"/>
          <w:sz w:val="24"/>
          <w:lang w:val="sq-AL"/>
        </w:rPr>
        <w:t xml:space="preserve">në vitin 2014 </w:t>
      </w:r>
      <w:r w:rsidRPr="00A6284F">
        <w:rPr>
          <w:rFonts w:eastAsia="Times New Roman"/>
          <w:color w:val="000000"/>
          <w:sz w:val="24"/>
          <w:lang w:val="sq-AL"/>
        </w:rPr>
        <w:t>kaloi nga një sistem i përmbarimit në gjykatë në një sistem të kombinuar të përmbaruesve privat dhe gjykatave ka qenë përgjithësisht e suksesshme. Përfshirja e përmbaruesve privat ka shkurtuar procedurat dhe ka ngritur nivelin e përgjithshëm të mbledhjes së borxheve. Sistemi i përmbarimit i udhëhequr nga gjykata ende përballet me raste të shumta të prapambetura. Duhet të sigurohet që përmbaruesit privat të kenë qasje të lehtë në regjistrat publik që kanë të bëjnë me punën e tyre.</w:t>
      </w:r>
    </w:p>
    <w:p w:rsidR="00CE1051" w:rsidRPr="00A6284F" w:rsidRDefault="00CE1051" w:rsidP="00CE1051">
      <w:pPr>
        <w:spacing w:before="125"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Trajtimi vendor i rasteve të krimeve të luftës </w:t>
      </w:r>
    </w:p>
    <w:p w:rsidR="00CE1051"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Departamenti për </w:t>
      </w:r>
      <w:r w:rsidRPr="00A6284F">
        <w:rPr>
          <w:rFonts w:eastAsia="Times New Roman"/>
          <w:b/>
          <w:color w:val="000000"/>
          <w:sz w:val="24"/>
          <w:lang w:val="sq-AL"/>
        </w:rPr>
        <w:t>krime lufte</w:t>
      </w:r>
      <w:r w:rsidRPr="00A6284F">
        <w:rPr>
          <w:rFonts w:eastAsia="Times New Roman"/>
          <w:color w:val="000000"/>
          <w:sz w:val="24"/>
          <w:lang w:val="sq-AL"/>
        </w:rPr>
        <w:t xml:space="preserve"> në Prokurorinë Speciale të Kosovës po vazhdon punën e tij, edhe pse sfidat mbeten. Ngarkesa e punës ka vazhduar të rritet ndjeshëm për shkak të përfundimit të mandatit ekzekutiv të EULEX-it si dhe dorëzimit te rasteve penale nga EULEX-i tek prokuror</w:t>
      </w:r>
      <w:r w:rsidR="00184E49" w:rsidRPr="00A6284F">
        <w:rPr>
          <w:rFonts w:eastAsia="Times New Roman"/>
          <w:color w:val="000000"/>
          <w:sz w:val="24"/>
          <w:lang w:val="sq-AL"/>
        </w:rPr>
        <w:t>ë</w:t>
      </w:r>
      <w:r w:rsidRPr="00A6284F">
        <w:rPr>
          <w:rFonts w:eastAsia="Times New Roman"/>
          <w:color w:val="000000"/>
          <w:sz w:val="24"/>
          <w:lang w:val="sq-AL"/>
        </w:rPr>
        <w:t xml:space="preserve">t vendorë. Ka nevojë akute për më shumë trajnime, më shumë personel, si dhe më shumë kapacitete </w:t>
      </w:r>
      <w:r w:rsidR="00184E49" w:rsidRPr="00A6284F">
        <w:rPr>
          <w:rFonts w:eastAsia="Times New Roman"/>
          <w:color w:val="000000"/>
          <w:sz w:val="24"/>
          <w:lang w:val="sq-AL"/>
        </w:rPr>
        <w:t xml:space="preserve">të </w:t>
      </w:r>
      <w:r w:rsidRPr="00A6284F">
        <w:rPr>
          <w:rFonts w:eastAsia="Times New Roman"/>
          <w:color w:val="000000"/>
          <w:sz w:val="24"/>
          <w:lang w:val="sq-AL"/>
        </w:rPr>
        <w:t>përkthimi</w:t>
      </w:r>
      <w:r w:rsidR="00184E49" w:rsidRPr="00A6284F">
        <w:rPr>
          <w:rFonts w:eastAsia="Times New Roman"/>
          <w:color w:val="000000"/>
          <w:sz w:val="24"/>
          <w:lang w:val="sq-AL"/>
        </w:rPr>
        <w:t>t</w:t>
      </w:r>
      <w:r w:rsidRPr="00A6284F">
        <w:rPr>
          <w:rFonts w:eastAsia="Times New Roman"/>
          <w:color w:val="000000"/>
          <w:sz w:val="24"/>
          <w:lang w:val="sq-AL"/>
        </w:rPr>
        <w:t>. Ndonëse numri i prokurorëve në departament është rritur nga dy në tre, ky numër mbetet shumë i ultë për të qenë në gjendje që të zgjidhet problemi me ngarkesën e punës. Bashkëpunimi i ndërsjellë ligjor m</w:t>
      </w:r>
      <w:r w:rsidR="00184E49" w:rsidRPr="00A6284F">
        <w:rPr>
          <w:rFonts w:eastAsia="Times New Roman"/>
          <w:color w:val="000000"/>
          <w:sz w:val="24"/>
          <w:lang w:val="sq-AL"/>
        </w:rPr>
        <w:t>e</w:t>
      </w:r>
      <w:r w:rsidRPr="00A6284F">
        <w:rPr>
          <w:rFonts w:eastAsia="Times New Roman"/>
          <w:color w:val="000000"/>
          <w:sz w:val="24"/>
          <w:lang w:val="sq-AL"/>
        </w:rPr>
        <w:t xml:space="preserve">s Kosovës dhe Serbisë është jashtëzakonisht i kufizuar </w:t>
      </w:r>
      <w:r w:rsidR="00184E49" w:rsidRPr="00A6284F">
        <w:rPr>
          <w:rFonts w:eastAsia="Times New Roman"/>
          <w:color w:val="000000"/>
          <w:sz w:val="24"/>
          <w:lang w:val="sq-AL"/>
        </w:rPr>
        <w:t xml:space="preserve">në </w:t>
      </w:r>
      <w:r w:rsidRPr="00A6284F">
        <w:rPr>
          <w:rFonts w:eastAsia="Times New Roman"/>
          <w:color w:val="000000"/>
          <w:sz w:val="24"/>
          <w:lang w:val="sq-AL"/>
        </w:rPr>
        <w:t>rastet e krimeve të luftës.</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Brenga të konsiderueshme mbeten lidhur me vullnetin për të hetuar, </w:t>
      </w:r>
      <w:r w:rsidR="00184E49" w:rsidRPr="00A6284F">
        <w:rPr>
          <w:rFonts w:eastAsia="Times New Roman"/>
          <w:color w:val="000000"/>
          <w:sz w:val="24"/>
          <w:lang w:val="sq-AL"/>
        </w:rPr>
        <w:t>ndjekur penalisht</w:t>
      </w:r>
      <w:r w:rsidRPr="00A6284F">
        <w:rPr>
          <w:rFonts w:eastAsia="Times New Roman"/>
          <w:color w:val="000000"/>
          <w:sz w:val="24"/>
          <w:lang w:val="sq-AL"/>
        </w:rPr>
        <w:t xml:space="preserve">, gjykuar dhe </w:t>
      </w:r>
      <w:r w:rsidR="00184E49" w:rsidRPr="00A6284F">
        <w:rPr>
          <w:rFonts w:eastAsia="Times New Roman"/>
          <w:color w:val="000000"/>
          <w:sz w:val="24"/>
          <w:lang w:val="sq-AL"/>
        </w:rPr>
        <w:t xml:space="preserve">zbatuar </w:t>
      </w:r>
      <w:r w:rsidRPr="00A6284F">
        <w:rPr>
          <w:rFonts w:eastAsia="Times New Roman"/>
          <w:color w:val="000000"/>
          <w:sz w:val="24"/>
          <w:lang w:val="sq-AL"/>
        </w:rPr>
        <w:t xml:space="preserve">në mënyre efektive dënimet për krime të luftës që përfshijnë ish pjesëtarë të Ushtrisë Çlirimtare të Kosovës (UÇK). Këto brenga më vonë u provuan edhe me mënyrën se si gjyqtarët kosovarë trajtuan krimet e luftës në rastin Drenica 1 dhe Drenica 2 pas dorëzimit të shumicës së kompetencave lidhur me këto raste nga EULEX-i tek gjyqtarët vendor. Të dy rastet u karakterizuan nga përdorimi i procedurave shumë të </w:t>
      </w:r>
      <w:proofErr w:type="spellStart"/>
      <w:r w:rsidRPr="00A6284F">
        <w:rPr>
          <w:rFonts w:eastAsia="Times New Roman"/>
          <w:color w:val="000000"/>
          <w:sz w:val="24"/>
          <w:lang w:val="sq-AL"/>
        </w:rPr>
        <w:t>kontestuara</w:t>
      </w:r>
      <w:proofErr w:type="spellEnd"/>
      <w:r w:rsidRPr="00A6284F">
        <w:rPr>
          <w:rFonts w:eastAsia="Times New Roman"/>
          <w:color w:val="000000"/>
          <w:sz w:val="24"/>
          <w:lang w:val="sq-AL"/>
        </w:rPr>
        <w:t xml:space="preserve">, ku njëri rast u dërgua për rigjykim dhe shumica e të pandehurve u liruan. Kryeministri emëroi si këshilltar të tij politik një kriminel të dënuar, i cili sapo ishte liruar nga burgu pasi shërbeu dy </w:t>
      </w:r>
      <w:r w:rsidRPr="00A6284F">
        <w:rPr>
          <w:rFonts w:eastAsia="Times New Roman"/>
          <w:color w:val="000000"/>
          <w:sz w:val="24"/>
          <w:lang w:val="sq-AL"/>
        </w:rPr>
        <w:lastRenderedPageBreak/>
        <w:t>të tretat e dënimit të tij në rastin Drenica 1, dhe derisa ishte në pritje të rigjykimit të rastit Drenica 2. Në aspektin pozitiv, Këshilli Prokurorial i Kosovës përfundimisht miratoi Strategjinë për Krimet e Luftës në shkurt të vitit 2019.</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Dhomat e Specializuara të Kosovës dhe Prokuroria e Specializuar, të cilat u themeluan për të hetuar dhe ndjekur penalisht pretendimet e dala nga Raporti i Këshillit të Evropës i vitit 2011, që pretendonte shkelje serioze të </w:t>
      </w:r>
      <w:r w:rsidR="00184E49" w:rsidRPr="00A6284F">
        <w:rPr>
          <w:rFonts w:eastAsia="Times New Roman"/>
          <w:color w:val="000000"/>
          <w:sz w:val="24"/>
          <w:lang w:val="sq-AL"/>
        </w:rPr>
        <w:t>së drejtës</w:t>
      </w:r>
      <w:r w:rsidRPr="00A6284F">
        <w:rPr>
          <w:rFonts w:eastAsia="Times New Roman"/>
          <w:color w:val="000000"/>
          <w:sz w:val="24"/>
          <w:lang w:val="sq-AL"/>
        </w:rPr>
        <w:t xml:space="preserve"> ndërkombëtare kanë vazhduar me punën e tyre.</w:t>
      </w:r>
    </w:p>
    <w:p w:rsidR="00CE1051" w:rsidRPr="00A6284F" w:rsidRDefault="00CE1051" w:rsidP="00CE1051">
      <w:pPr>
        <w:spacing w:before="118" w:after="37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Që nga shkurti i vitit 2018, viktimat mund të aplikojnë pranë Komisionit Qeveritar për Njohjen dhe Verifikimin e Statusit të Viktimave të Dhunës Seksuale gjatë </w:t>
      </w:r>
      <w:r w:rsidR="00184E49" w:rsidRPr="00A6284F">
        <w:rPr>
          <w:rFonts w:eastAsia="Times New Roman"/>
          <w:color w:val="000000"/>
          <w:sz w:val="24"/>
          <w:lang w:val="sq-AL"/>
        </w:rPr>
        <w:t>K</w:t>
      </w:r>
      <w:r w:rsidRPr="00A6284F">
        <w:rPr>
          <w:rFonts w:eastAsia="Times New Roman"/>
          <w:color w:val="000000"/>
          <w:sz w:val="24"/>
          <w:lang w:val="sq-AL"/>
        </w:rPr>
        <w:t>onfliktit për njohje dhe verifikim për marr</w:t>
      </w:r>
      <w:r w:rsidR="00184E49" w:rsidRPr="00A6284F">
        <w:rPr>
          <w:rFonts w:eastAsia="Times New Roman"/>
          <w:color w:val="000000"/>
          <w:sz w:val="24"/>
          <w:lang w:val="sq-AL"/>
        </w:rPr>
        <w:t>jen</w:t>
      </w:r>
      <w:r w:rsidRPr="00A6284F">
        <w:rPr>
          <w:rFonts w:eastAsia="Times New Roman"/>
          <w:color w:val="000000"/>
          <w:sz w:val="24"/>
          <w:lang w:val="sq-AL"/>
        </w:rPr>
        <w:t xml:space="preserve"> </w:t>
      </w:r>
      <w:r w:rsidR="00184E49" w:rsidRPr="00A6284F">
        <w:rPr>
          <w:rFonts w:eastAsia="Times New Roman"/>
          <w:color w:val="000000"/>
          <w:sz w:val="24"/>
          <w:lang w:val="sq-AL"/>
        </w:rPr>
        <w:t xml:space="preserve">e </w:t>
      </w:r>
      <w:r w:rsidRPr="00A6284F">
        <w:rPr>
          <w:rFonts w:eastAsia="Times New Roman"/>
          <w:color w:val="000000"/>
          <w:sz w:val="24"/>
          <w:lang w:val="sq-AL"/>
        </w:rPr>
        <w:t>përfitime</w:t>
      </w:r>
      <w:r w:rsidR="00184E49" w:rsidRPr="00A6284F">
        <w:rPr>
          <w:rFonts w:eastAsia="Times New Roman"/>
          <w:color w:val="000000"/>
          <w:sz w:val="24"/>
          <w:lang w:val="sq-AL"/>
        </w:rPr>
        <w:t>ve</w:t>
      </w:r>
      <w:r w:rsidRPr="00A6284F">
        <w:rPr>
          <w:rFonts w:eastAsia="Times New Roman"/>
          <w:color w:val="000000"/>
          <w:sz w:val="24"/>
          <w:lang w:val="sq-AL"/>
        </w:rPr>
        <w:t xml:space="preserve"> individuale. Deri në mars të vitit 2019, afër 1,000 </w:t>
      </w:r>
      <w:r w:rsidR="007D0634" w:rsidRPr="00A6284F">
        <w:rPr>
          <w:rFonts w:eastAsia="Times New Roman"/>
          <w:color w:val="000000"/>
          <w:sz w:val="24"/>
          <w:lang w:val="sq-AL"/>
        </w:rPr>
        <w:t>individë</w:t>
      </w:r>
      <w:r w:rsidRPr="00A6284F">
        <w:rPr>
          <w:rFonts w:eastAsia="Times New Roman"/>
          <w:color w:val="000000"/>
          <w:sz w:val="24"/>
          <w:lang w:val="sq-AL"/>
        </w:rPr>
        <w:t xml:space="preserve"> kanë dorëzuar aplikacionet e tyre, prej të cilëve 301 janë pranuar dhe 147 janë refuzuar. Afati kohor i ligjit përkatës përjashton ata që kanë përjetuar dhunë seksuale të lidhur me konfliktin pas datës 20 qershor </w:t>
      </w:r>
      <w:r w:rsidR="007D0634" w:rsidRPr="00A6284F">
        <w:rPr>
          <w:rFonts w:eastAsia="Times New Roman"/>
          <w:color w:val="000000"/>
          <w:sz w:val="24"/>
          <w:lang w:val="sq-AL"/>
        </w:rPr>
        <w:t xml:space="preserve">të vitit </w:t>
      </w:r>
      <w:r w:rsidRPr="00A6284F">
        <w:rPr>
          <w:rFonts w:eastAsia="Times New Roman"/>
          <w:color w:val="000000"/>
          <w:sz w:val="24"/>
          <w:lang w:val="sq-AL"/>
        </w:rPr>
        <w:t>1999. Shpesh, përveç problemeve lidhur me qasjen në drejtësi, të mbijetuarit e dhunës seksuale po përballen edhe me stigmatizimin shoqëror.</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prill të vitit 2018, Presidenti inicio krijimin e një Komisioni për të Vërtetën dhe Pajtimin dhe emëroi një ekip përgatitor. Autoritetet duhet të zhvillojnë një qasje gjithëpërfshirëse për t'u marrë me të kaluarën, duke lidhur punën me Komisionin për të Vërtetën dhe Pajtimin me angazhimin e qeverisë për zhvillimin e një strategjie për marrjen me të kaluarën, si dhe iniciativa të tjera të drejtësisë </w:t>
      </w:r>
      <w:proofErr w:type="spellStart"/>
      <w:r w:rsidRPr="00A6284F">
        <w:rPr>
          <w:rFonts w:eastAsia="Times New Roman"/>
          <w:color w:val="000000"/>
          <w:sz w:val="24"/>
          <w:lang w:val="sq-AL"/>
        </w:rPr>
        <w:t>tranzicionale</w:t>
      </w:r>
      <w:proofErr w:type="spellEnd"/>
      <w:r w:rsidRPr="00A6284F">
        <w:rPr>
          <w:rFonts w:eastAsia="Times New Roman"/>
          <w:color w:val="000000"/>
          <w:sz w:val="24"/>
          <w:lang w:val="sq-AL"/>
        </w:rPr>
        <w:t xml:space="preserve">. Këto procese duhet të jenë në pronësi vendore dhe kombëtare, si dhe gjithëpërfshirëse dhe me ndjeshmëri në baza gjinore dhe ndaj viktimave. Kosova ka mbajtur angazhimin e saj në Koalicionin për Komisionin e ngarkuar me përcaktimin e fakteve për të gjitha viktimat e krimeve të luftës dhe shkeljeve tjera të rënda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drejtave të njeriut të kryera në territoret e ish-Jugosllavisë (KOMRA).</w:t>
      </w:r>
    </w:p>
    <w:p w:rsidR="00CE1051" w:rsidRPr="00A6284F" w:rsidRDefault="00CE1051" w:rsidP="00CE1051">
      <w:pPr>
        <w:spacing w:before="131" w:after="106" w:line="273" w:lineRule="exact"/>
        <w:ind w:left="144"/>
        <w:textAlignment w:val="baseline"/>
        <w:rPr>
          <w:rFonts w:eastAsia="Times New Roman"/>
          <w:b/>
          <w:color w:val="000000"/>
          <w:sz w:val="24"/>
          <w:lang w:val="sq-AL"/>
        </w:rPr>
      </w:pPr>
      <w:r w:rsidRPr="00A6284F">
        <w:rPr>
          <w:rFonts w:eastAsia="Times New Roman"/>
          <w:b/>
          <w:color w:val="000000"/>
          <w:sz w:val="24"/>
          <w:lang w:val="sq-AL"/>
        </w:rPr>
        <w:t>Lufta ndaj korrupsionit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8431"/>
        </w:trPr>
        <w:tc>
          <w:tcPr>
            <w:tcW w:w="9360" w:type="dxa"/>
            <w:tcBorders>
              <w:top w:val="single" w:sz="5" w:space="0" w:color="000000"/>
              <w:left w:val="single" w:sz="5" w:space="0" w:color="000000"/>
              <w:bottom w:val="single" w:sz="5" w:space="0" w:color="000000"/>
              <w:right w:val="single" w:sz="5" w:space="0" w:color="000000"/>
            </w:tcBorders>
            <w:shd w:val="clear" w:color="F1F1F1" w:fill="F1F1F1"/>
          </w:tcPr>
          <w:p w:rsidR="00CE1051" w:rsidRPr="00A6284F" w:rsidRDefault="00CE1051" w:rsidP="000A4761">
            <w:pPr>
              <w:spacing w:before="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w:t>
            </w:r>
            <w:r w:rsidRPr="00A6284F">
              <w:rPr>
                <w:rFonts w:eastAsia="Times New Roman"/>
                <w:b/>
                <w:color w:val="000000"/>
                <w:sz w:val="24"/>
                <w:lang w:val="sq-AL"/>
              </w:rPr>
              <w:t>në një fazë të hershme/ka një nivel përgatitjeje</w:t>
            </w:r>
            <w:r w:rsidRPr="00A6284F">
              <w:rPr>
                <w:rFonts w:eastAsia="Times New Roman"/>
                <w:color w:val="000000"/>
                <w:sz w:val="24"/>
                <w:lang w:val="sq-AL"/>
              </w:rPr>
              <w:t xml:space="preserve"> në luftën kundër korrupsionit. Në periudhën e raportimit, është arritur </w:t>
            </w:r>
            <w:r w:rsidRPr="00A6284F">
              <w:rPr>
                <w:rFonts w:eastAsia="Times New Roman"/>
                <w:b/>
                <w:color w:val="000000"/>
                <w:sz w:val="24"/>
                <w:lang w:val="sq-AL"/>
              </w:rPr>
              <w:t>pak progres</w:t>
            </w:r>
            <w:r w:rsidRPr="00A6284F">
              <w:rPr>
                <w:rFonts w:eastAsia="Times New Roman"/>
                <w:color w:val="000000"/>
                <w:sz w:val="24"/>
                <w:lang w:val="sq-AL"/>
              </w:rPr>
              <w:t xml:space="preserve"> përmes reformave të konsiderueshme legjislative në fushën e zbatimit të ligjit, duke përfshirë edhe Kodin Penal, në hetimin dhe ndjekjen penale të rasteve të nivelit të lartë, si dhe në ngrirjen paraprake të pasurive. Konfiskimi përfundimtarë i pasurive ende mbetet i ulët.</w:t>
            </w:r>
          </w:p>
          <w:p w:rsidR="00CE1051" w:rsidRPr="00A6284F" w:rsidRDefault="00CE105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 ka përfillur pjesërisht rekomandimet e dala nga raporti i vitit 2018, përkatësisht</w:t>
            </w:r>
            <w:r w:rsidR="006E0281" w:rsidRPr="00A6284F">
              <w:rPr>
                <w:rFonts w:eastAsia="Times New Roman"/>
                <w:color w:val="000000"/>
                <w:sz w:val="24"/>
                <w:lang w:val="sq-AL"/>
              </w:rPr>
              <w:t xml:space="preserve"> sa </w:t>
            </w:r>
            <w:r w:rsidR="00393980" w:rsidRPr="00A6284F">
              <w:rPr>
                <w:rFonts w:eastAsia="Times New Roman"/>
                <w:color w:val="000000"/>
                <w:sz w:val="24"/>
                <w:lang w:val="sq-AL"/>
              </w:rPr>
              <w:t>i</w:t>
            </w:r>
            <w:r w:rsidR="006E0281" w:rsidRPr="00A6284F">
              <w:rPr>
                <w:rFonts w:eastAsia="Times New Roman"/>
                <w:color w:val="000000"/>
                <w:sz w:val="24"/>
                <w:lang w:val="sq-AL"/>
              </w:rPr>
              <w:t xml:space="preserve"> përket </w:t>
            </w:r>
            <w:r w:rsidRPr="00A6284F">
              <w:rPr>
                <w:rFonts w:eastAsia="Times New Roman"/>
                <w:color w:val="000000"/>
                <w:sz w:val="24"/>
                <w:lang w:val="sq-AL"/>
              </w:rPr>
              <w:t>regjistri</w:t>
            </w:r>
            <w:r w:rsidR="006E0281" w:rsidRPr="00A6284F">
              <w:rPr>
                <w:rFonts w:eastAsia="Times New Roman"/>
                <w:color w:val="000000"/>
                <w:sz w:val="24"/>
                <w:lang w:val="sq-AL"/>
              </w:rPr>
              <w:t>t</w:t>
            </w:r>
            <w:r w:rsidRPr="00A6284F">
              <w:rPr>
                <w:rFonts w:eastAsia="Times New Roman"/>
                <w:color w:val="000000"/>
                <w:sz w:val="24"/>
                <w:lang w:val="sq-AL"/>
              </w:rPr>
              <w:t xml:space="preserve"> </w:t>
            </w:r>
            <w:r w:rsidR="006E0281" w:rsidRPr="00A6284F">
              <w:rPr>
                <w:rFonts w:eastAsia="Times New Roman"/>
                <w:color w:val="000000"/>
                <w:sz w:val="24"/>
                <w:lang w:val="sq-AL"/>
              </w:rPr>
              <w:t xml:space="preserve">të </w:t>
            </w:r>
            <w:r w:rsidRPr="00A6284F">
              <w:rPr>
                <w:rFonts w:eastAsia="Times New Roman"/>
                <w:color w:val="000000"/>
                <w:sz w:val="24"/>
                <w:lang w:val="sq-AL"/>
              </w:rPr>
              <w:t xml:space="preserve">rasteve, trajnimin dhe punësimin e prokurorëve dhe miratimin e reformave legjislative. Megjithatë, disa rekomandime mbeten të vlefshme, ndërsa të tjerat kërkojnë një vazhdimësi të fuqishme në aspektin e zbatimit të tyre. Në përgjithësi, korrupsioni është i përhapur dhe mbetet problem shqetësues. </w:t>
            </w:r>
            <w:r w:rsidR="00393980" w:rsidRPr="00A6284F">
              <w:rPr>
                <w:rFonts w:eastAsia="Times New Roman"/>
                <w:color w:val="000000"/>
                <w:sz w:val="24"/>
                <w:lang w:val="sq-AL"/>
              </w:rPr>
              <w:t xml:space="preserve">Nevojitet </w:t>
            </w:r>
            <w:r w:rsidRPr="00A6284F">
              <w:rPr>
                <w:rFonts w:eastAsia="Times New Roman"/>
                <w:color w:val="000000"/>
                <w:sz w:val="24"/>
                <w:lang w:val="sq-AL"/>
              </w:rPr>
              <w:t xml:space="preserve">një vullnet </w:t>
            </w:r>
            <w:r w:rsidR="00393980" w:rsidRPr="00A6284F">
              <w:rPr>
                <w:rFonts w:eastAsia="Times New Roman"/>
                <w:color w:val="000000"/>
                <w:sz w:val="24"/>
                <w:lang w:val="sq-AL"/>
              </w:rPr>
              <w:t>i</w:t>
            </w:r>
            <w:r w:rsidRPr="00A6284F">
              <w:rPr>
                <w:rFonts w:eastAsia="Times New Roman"/>
                <w:color w:val="000000"/>
                <w:sz w:val="24"/>
                <w:lang w:val="sq-AL"/>
              </w:rPr>
              <w:t xml:space="preserve"> fortë politik për të adresuar në mënyrë efektive problemet me korrupsionin si dhe një reagim i fuqishëm i drejtësisë penale ndaj korrupsionit të nivelit të lartë.</w:t>
            </w:r>
          </w:p>
          <w:p w:rsidR="00CE1051" w:rsidRPr="00A6284F" w:rsidRDefault="00CE1051" w:rsidP="000A4761">
            <w:pPr>
              <w:spacing w:before="117" w:line="276" w:lineRule="exact"/>
              <w:ind w:left="144"/>
              <w:textAlignment w:val="baseline"/>
              <w:rPr>
                <w:rFonts w:eastAsia="Times New Roman"/>
                <w:color w:val="000000"/>
                <w:sz w:val="24"/>
                <w:lang w:val="sq-AL"/>
              </w:rPr>
            </w:pPr>
            <w:r w:rsidRPr="00A6284F">
              <w:rPr>
                <w:rFonts w:eastAsia="Times New Roman"/>
                <w:color w:val="000000"/>
                <w:sz w:val="24"/>
                <w:lang w:val="sq-AL"/>
              </w:rPr>
              <w:t xml:space="preserve">Në vitin vijues, Kosova duhet </w:t>
            </w:r>
            <w:r w:rsidR="00D327DA" w:rsidRPr="00A6284F">
              <w:rPr>
                <w:rFonts w:eastAsia="Times New Roman"/>
                <w:color w:val="000000"/>
                <w:sz w:val="24"/>
                <w:lang w:val="sq-AL"/>
              </w:rPr>
              <w:t>posaçërisht:</w:t>
            </w:r>
          </w:p>
          <w:p w:rsidR="00CE1051" w:rsidRPr="00A6284F" w:rsidRDefault="00CE1051" w:rsidP="000A4761">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rrisë </w:t>
            </w:r>
            <w:r w:rsidR="00393980" w:rsidRPr="00A6284F">
              <w:rPr>
                <w:rFonts w:eastAsia="Times New Roman"/>
                <w:color w:val="000000"/>
                <w:sz w:val="24"/>
                <w:lang w:val="sq-AL"/>
              </w:rPr>
              <w:t xml:space="preserve">më tej </w:t>
            </w:r>
            <w:r w:rsidRPr="00A6284F">
              <w:rPr>
                <w:rFonts w:eastAsia="Times New Roman"/>
                <w:color w:val="000000"/>
                <w:sz w:val="24"/>
                <w:lang w:val="sq-AL"/>
              </w:rPr>
              <w:t>numrin e prokurorëve në Prokurorinë Speciale duke hetuar dhe ndjekur penalisht rastet e korrupsionit të nivelit të lartë dhe të ofrojë trajnime për të ngritur kapacitetet e tyre për të kryer hetime financiare, për të konfiskuar pasuritë dhe për të mbrojtur në mënyrë efektive dëshmitarët;</w:t>
            </w:r>
          </w:p>
          <w:p w:rsidR="00CE1051" w:rsidRPr="00A6284F" w:rsidRDefault="00CE1051" w:rsidP="000A4761">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ti jep prioritet zbatimit të plotë të </w:t>
            </w:r>
            <w:r w:rsidR="007A7C41" w:rsidRPr="00A6284F">
              <w:rPr>
                <w:rFonts w:eastAsia="Times New Roman"/>
                <w:color w:val="000000"/>
                <w:sz w:val="24"/>
                <w:lang w:val="sq-AL"/>
              </w:rPr>
              <w:t xml:space="preserve">kornizës </w:t>
            </w:r>
            <w:r w:rsidRPr="00A6284F">
              <w:rPr>
                <w:rFonts w:eastAsia="Times New Roman"/>
                <w:color w:val="000000"/>
                <w:sz w:val="24"/>
                <w:lang w:val="sq-AL"/>
              </w:rPr>
              <w:t>legjislativ</w:t>
            </w:r>
            <w:r w:rsidR="007A7C41" w:rsidRPr="00A6284F">
              <w:rPr>
                <w:rFonts w:eastAsia="Times New Roman"/>
                <w:color w:val="000000"/>
                <w:sz w:val="24"/>
                <w:lang w:val="sq-AL"/>
              </w:rPr>
              <w:t>e</w:t>
            </w:r>
            <w:r w:rsidRPr="00A6284F">
              <w:rPr>
                <w:rFonts w:eastAsia="Times New Roman"/>
                <w:color w:val="000000"/>
                <w:sz w:val="24"/>
                <w:lang w:val="sq-AL"/>
              </w:rPr>
              <w:t xml:space="preserve"> të rishikuar në fushën e sundimit të ligjit, duke përfshirë trajnimin dhe ngritjen e ndërgjegjësimit, për ta bërë atë një mjet efektiv për luft</w:t>
            </w:r>
            <w:r w:rsidR="007A7C41" w:rsidRPr="00A6284F">
              <w:rPr>
                <w:rFonts w:eastAsia="Times New Roman"/>
                <w:color w:val="000000"/>
                <w:sz w:val="24"/>
                <w:lang w:val="sq-AL"/>
              </w:rPr>
              <w:t xml:space="preserve">im të </w:t>
            </w:r>
            <w:r w:rsidRPr="00A6284F">
              <w:rPr>
                <w:rFonts w:eastAsia="Times New Roman"/>
                <w:color w:val="000000"/>
                <w:sz w:val="24"/>
                <w:lang w:val="sq-AL"/>
              </w:rPr>
              <w:t>korrupsioni</w:t>
            </w:r>
            <w:r w:rsidR="007A7C41" w:rsidRPr="00A6284F">
              <w:rPr>
                <w:rFonts w:eastAsia="Times New Roman"/>
                <w:color w:val="000000"/>
                <w:sz w:val="24"/>
                <w:lang w:val="sq-AL"/>
              </w:rPr>
              <w:t>t</w:t>
            </w:r>
            <w:r w:rsidRPr="00A6284F">
              <w:rPr>
                <w:rFonts w:eastAsia="Times New Roman"/>
                <w:color w:val="000000"/>
                <w:sz w:val="24"/>
                <w:lang w:val="sq-AL"/>
              </w:rPr>
              <w:t>;</w:t>
            </w:r>
          </w:p>
          <w:p w:rsidR="00CE1051" w:rsidRPr="00A6284F" w:rsidRDefault="00CE1051" w:rsidP="000A4761">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sigurojë që raportet financiare dhe raportet e publikimit të fushatave të partive politike të publikohen dhe </w:t>
            </w:r>
            <w:proofErr w:type="spellStart"/>
            <w:r w:rsidRPr="00A6284F">
              <w:rPr>
                <w:rFonts w:eastAsia="Times New Roman"/>
                <w:color w:val="000000"/>
                <w:sz w:val="24"/>
                <w:lang w:val="sq-AL"/>
              </w:rPr>
              <w:t>auditohen</w:t>
            </w:r>
            <w:proofErr w:type="spellEnd"/>
            <w:r w:rsidRPr="00A6284F">
              <w:rPr>
                <w:rFonts w:eastAsia="Times New Roman"/>
                <w:color w:val="000000"/>
                <w:sz w:val="24"/>
                <w:lang w:val="sq-AL"/>
              </w:rPr>
              <w:t xml:space="preserve"> në mënyrë të vazhdueshme dhe të aplikohen sanksione për shkelje të ligjeve përkatëse. Të ndryshojë kornizën ligjore që rregullon partitë politike dhe financimin e fushatave në përputhje me mendimin e Komisionit të Venecias, për të siguruar zbatimin efektiv, llogaridhënien dhe transparencën;</w:t>
            </w:r>
          </w:p>
          <w:p w:rsidR="00CE1051" w:rsidRPr="00A6284F" w:rsidRDefault="00CE1051" w:rsidP="000A4761">
            <w:pPr>
              <w:spacing w:before="141" w:after="100" w:line="276" w:lineRule="exact"/>
              <w:ind w:left="504" w:right="144" w:hanging="360"/>
              <w:jc w:val="both"/>
              <w:textAlignment w:val="baseline"/>
              <w:rPr>
                <w:rFonts w:ascii="Arial Narrow" w:eastAsia="Arial Narrow" w:hAnsi="Arial Narrow"/>
                <w:color w:val="000000"/>
                <w:spacing w:val="24"/>
                <w:lang w:val="sq-AL"/>
              </w:rPr>
            </w:pPr>
            <w:r w:rsidRPr="00A6284F">
              <w:rPr>
                <w:rFonts w:ascii="Arial Narrow" w:eastAsia="Arial Narrow" w:hAnsi="Arial Narrow"/>
                <w:color w:val="000000"/>
                <w:spacing w:val="24"/>
                <w:lang w:val="sq-AL"/>
              </w:rPr>
              <w:t xml:space="preserve">-* </w:t>
            </w:r>
            <w:r w:rsidRPr="00A6284F">
              <w:rPr>
                <w:rFonts w:eastAsia="Times New Roman"/>
                <w:color w:val="000000"/>
                <w:sz w:val="24"/>
                <w:lang w:val="sq-AL"/>
              </w:rPr>
              <w:t>të sigurojë miratimin e Kodit të rishikuar të Procedurës Penale, duke përfshirë dispozitat që kanë të bëjnë me pezullimin e zyrtarëve publikë të akuzuar për korrupsion.</w:t>
            </w:r>
          </w:p>
        </w:tc>
      </w:tr>
    </w:tbl>
    <w:p w:rsidR="00B66D54" w:rsidRPr="00A6284F" w:rsidRDefault="00B66D54" w:rsidP="00CE1051">
      <w:pPr>
        <w:spacing w:before="3" w:line="274" w:lineRule="exact"/>
        <w:ind w:left="144"/>
        <w:textAlignment w:val="baseline"/>
        <w:rPr>
          <w:rFonts w:eastAsia="Times New Roman"/>
          <w:color w:val="000000"/>
          <w:sz w:val="24"/>
          <w:u w:val="single"/>
          <w:lang w:val="sq-AL"/>
        </w:rPr>
      </w:pPr>
    </w:p>
    <w:p w:rsidR="00CE1051" w:rsidRPr="00A6284F" w:rsidRDefault="00CE1051" w:rsidP="00CE1051">
      <w:pPr>
        <w:spacing w:before="3"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Regjistri i rasteve</w:t>
      </w:r>
    </w:p>
    <w:p w:rsidR="00CE1051" w:rsidRPr="00A6284F" w:rsidRDefault="00CE1051" w:rsidP="00CE105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z w:val="24"/>
          <w:lang w:val="sq-AL"/>
        </w:rPr>
        <w:t xml:space="preserve">Sa i përket punës se ekipit </w:t>
      </w:r>
      <w:r w:rsidR="00B66D54" w:rsidRPr="00A6284F">
        <w:rPr>
          <w:rFonts w:eastAsia="Times New Roman"/>
          <w:color w:val="000000"/>
          <w:sz w:val="24"/>
          <w:lang w:val="sq-AL"/>
        </w:rPr>
        <w:t>shumë-</w:t>
      </w:r>
      <w:r w:rsidRPr="00A6284F">
        <w:rPr>
          <w:rFonts w:eastAsia="Times New Roman"/>
          <w:color w:val="000000"/>
          <w:sz w:val="24"/>
          <w:lang w:val="sq-AL"/>
        </w:rPr>
        <w:t>disiplinor të themeluar në vitin 2015 për të koordinuar përpjekjet për t</w:t>
      </w:r>
      <w:r w:rsidR="00732ADA" w:rsidRPr="00A6284F">
        <w:rPr>
          <w:rFonts w:eastAsia="Times New Roman"/>
          <w:color w:val="000000"/>
          <w:sz w:val="24"/>
          <w:lang w:val="sq-AL"/>
        </w:rPr>
        <w:t xml:space="preserve">rajtim të </w:t>
      </w:r>
      <w:r w:rsidRPr="00A6284F">
        <w:rPr>
          <w:rFonts w:eastAsia="Times New Roman"/>
          <w:b/>
          <w:color w:val="000000"/>
          <w:sz w:val="24"/>
          <w:lang w:val="sq-AL"/>
        </w:rPr>
        <w:t>raste</w:t>
      </w:r>
      <w:r w:rsidR="00732ADA" w:rsidRPr="00A6284F">
        <w:rPr>
          <w:rFonts w:eastAsia="Times New Roman"/>
          <w:b/>
          <w:color w:val="000000"/>
          <w:sz w:val="24"/>
          <w:lang w:val="sq-AL"/>
        </w:rPr>
        <w:t>ve</w:t>
      </w:r>
      <w:r w:rsidRPr="00A6284F">
        <w:rPr>
          <w:rFonts w:eastAsia="Times New Roman"/>
          <w:b/>
          <w:color w:val="000000"/>
          <w:sz w:val="24"/>
          <w:lang w:val="sq-AL"/>
        </w:rPr>
        <w:t xml:space="preserve"> </w:t>
      </w:r>
      <w:r w:rsidR="00732ADA" w:rsidRPr="00A6284F">
        <w:rPr>
          <w:rFonts w:eastAsia="Times New Roman"/>
          <w:b/>
          <w:color w:val="000000"/>
          <w:sz w:val="24"/>
          <w:lang w:val="sq-AL"/>
        </w:rPr>
        <w:t xml:space="preserve">të </w:t>
      </w:r>
      <w:r w:rsidRPr="00A6284F">
        <w:rPr>
          <w:rFonts w:eastAsia="Times New Roman"/>
          <w:b/>
          <w:color w:val="000000"/>
          <w:sz w:val="24"/>
          <w:lang w:val="sq-AL"/>
        </w:rPr>
        <w:t xml:space="preserve">korrupsionit </w:t>
      </w:r>
      <w:r w:rsidR="00732ADA" w:rsidRPr="00A6284F">
        <w:rPr>
          <w:rFonts w:eastAsia="Times New Roman"/>
          <w:b/>
          <w:color w:val="000000"/>
          <w:sz w:val="24"/>
          <w:lang w:val="sq-AL"/>
        </w:rPr>
        <w:t xml:space="preserve">të nivelit të lart </w:t>
      </w:r>
      <w:r w:rsidRPr="00A6284F">
        <w:rPr>
          <w:rFonts w:eastAsia="Times New Roman"/>
          <w:b/>
          <w:color w:val="000000"/>
          <w:sz w:val="24"/>
          <w:lang w:val="sq-AL"/>
        </w:rPr>
        <w:t>dhe raste</w:t>
      </w:r>
      <w:r w:rsidR="00732ADA" w:rsidRPr="00A6284F">
        <w:rPr>
          <w:rFonts w:eastAsia="Times New Roman"/>
          <w:b/>
          <w:color w:val="000000"/>
          <w:sz w:val="24"/>
          <w:lang w:val="sq-AL"/>
        </w:rPr>
        <w:t>ve</w:t>
      </w:r>
      <w:r w:rsidRPr="00A6284F">
        <w:rPr>
          <w:rFonts w:eastAsia="Times New Roman"/>
          <w:b/>
          <w:color w:val="000000"/>
          <w:sz w:val="24"/>
          <w:lang w:val="sq-AL"/>
        </w:rPr>
        <w:t xml:space="preserve"> </w:t>
      </w:r>
      <w:r w:rsidR="00732ADA" w:rsidRPr="00A6284F">
        <w:rPr>
          <w:rFonts w:eastAsia="Times New Roman"/>
          <w:b/>
          <w:color w:val="000000"/>
          <w:sz w:val="24"/>
          <w:lang w:val="sq-AL"/>
        </w:rPr>
        <w:t>të krimeve</w:t>
      </w:r>
      <w:r w:rsidRPr="00A6284F">
        <w:rPr>
          <w:rFonts w:eastAsia="Times New Roman"/>
          <w:b/>
          <w:color w:val="000000"/>
          <w:sz w:val="24"/>
          <w:lang w:val="sq-AL"/>
        </w:rPr>
        <w:t xml:space="preserve"> të rënd</w:t>
      </w:r>
      <w:r w:rsidR="00732ADA" w:rsidRPr="00A6284F">
        <w:rPr>
          <w:rFonts w:eastAsia="Times New Roman"/>
          <w:b/>
          <w:color w:val="000000"/>
          <w:sz w:val="24"/>
          <w:lang w:val="sq-AL"/>
        </w:rPr>
        <w:t>a</w:t>
      </w:r>
      <w:r w:rsidRPr="00A6284F">
        <w:rPr>
          <w:rFonts w:eastAsia="Times New Roman"/>
          <w:b/>
          <w:color w:val="000000"/>
          <w:sz w:val="24"/>
          <w:lang w:val="sq-AL"/>
        </w:rPr>
        <w:t xml:space="preserve"> dhe </w:t>
      </w:r>
      <w:r w:rsidR="00732ADA" w:rsidRPr="00A6284F">
        <w:rPr>
          <w:rFonts w:eastAsia="Times New Roman"/>
          <w:b/>
          <w:color w:val="000000"/>
          <w:sz w:val="24"/>
          <w:lang w:val="sq-AL"/>
        </w:rPr>
        <w:t xml:space="preserve">krimit </w:t>
      </w:r>
      <w:r w:rsidRPr="00A6284F">
        <w:rPr>
          <w:rFonts w:eastAsia="Times New Roman"/>
          <w:b/>
          <w:color w:val="000000"/>
          <w:sz w:val="24"/>
          <w:lang w:val="sq-AL"/>
        </w:rPr>
        <w:t xml:space="preserve">të organizuar të </w:t>
      </w:r>
      <w:r w:rsidR="00732ADA" w:rsidRPr="00A6284F">
        <w:rPr>
          <w:rFonts w:eastAsia="Times New Roman"/>
          <w:b/>
          <w:color w:val="000000"/>
          <w:sz w:val="24"/>
          <w:lang w:val="sq-AL"/>
        </w:rPr>
        <w:t xml:space="preserve">profilit të </w:t>
      </w:r>
      <w:r w:rsidRPr="00A6284F">
        <w:rPr>
          <w:rFonts w:eastAsia="Times New Roman"/>
          <w:b/>
          <w:color w:val="000000"/>
          <w:sz w:val="24"/>
          <w:lang w:val="sq-AL"/>
        </w:rPr>
        <w:t>lartë</w:t>
      </w:r>
      <w:r w:rsidRPr="00A6284F">
        <w:rPr>
          <w:rFonts w:eastAsia="Times New Roman"/>
          <w:color w:val="000000"/>
          <w:sz w:val="24"/>
          <w:lang w:val="sq-AL"/>
        </w:rPr>
        <w:t>, regjistri i rasteve tani përmban një numër të përgjithshëm prej 51 rasteve. Deri tani janë regjistruar 38 aktakuza, 27 të lidhura me korrupsionin dhe 11 të lidhura me krimin e organizuar. Në 9 raste ka pa</w:t>
      </w:r>
      <w:r w:rsidR="00B656E9" w:rsidRPr="00A6284F">
        <w:rPr>
          <w:rFonts w:eastAsia="Times New Roman"/>
          <w:color w:val="000000"/>
          <w:sz w:val="24"/>
          <w:lang w:val="sq-AL"/>
        </w:rPr>
        <w:t>s</w:t>
      </w:r>
      <w:r w:rsidRPr="00A6284F">
        <w:rPr>
          <w:rFonts w:eastAsia="Times New Roman"/>
          <w:color w:val="000000"/>
          <w:sz w:val="24"/>
          <w:lang w:val="sq-AL"/>
        </w:rPr>
        <w:t xml:space="preserve">ur vendime përfundimtare, ndërsa 5 raste kanë përfunduar me vendim (pjesërisht) fajtor, duke çuar kështu numrin e individëve të dënuar për shkelje të lidhura me korrupsionin ne nëntë (9) (p.sh. për konflikt </w:t>
      </w:r>
      <w:r w:rsidR="00732ADA" w:rsidRPr="00A6284F">
        <w:rPr>
          <w:rFonts w:eastAsia="Times New Roman"/>
          <w:color w:val="000000"/>
          <w:sz w:val="24"/>
          <w:lang w:val="sq-AL"/>
        </w:rPr>
        <w:t xml:space="preserve">të </w:t>
      </w:r>
      <w:r w:rsidRPr="00A6284F">
        <w:rPr>
          <w:rFonts w:eastAsia="Times New Roman"/>
          <w:color w:val="000000"/>
          <w:sz w:val="24"/>
          <w:lang w:val="sq-AL"/>
        </w:rPr>
        <w:t>interesi</w:t>
      </w:r>
      <w:r w:rsidR="00732ADA" w:rsidRPr="00A6284F">
        <w:rPr>
          <w:rFonts w:eastAsia="Times New Roman"/>
          <w:color w:val="000000"/>
          <w:sz w:val="24"/>
          <w:lang w:val="sq-AL"/>
        </w:rPr>
        <w:t>t</w:t>
      </w:r>
      <w:r w:rsidRPr="00A6284F">
        <w:rPr>
          <w:rFonts w:eastAsia="Times New Roman"/>
          <w:color w:val="000000"/>
          <w:sz w:val="24"/>
          <w:lang w:val="sq-AL"/>
        </w:rPr>
        <w:t xml:space="preserve">, </w:t>
      </w:r>
      <w:r w:rsidR="00732ADA" w:rsidRPr="00A6284F">
        <w:rPr>
          <w:rFonts w:eastAsia="Times New Roman"/>
          <w:color w:val="000000"/>
          <w:sz w:val="24"/>
          <w:lang w:val="sq-AL"/>
        </w:rPr>
        <w:t xml:space="preserve">ushtrimit të </w:t>
      </w:r>
      <w:r w:rsidRPr="00A6284F">
        <w:rPr>
          <w:rFonts w:eastAsia="Times New Roman"/>
          <w:color w:val="000000"/>
          <w:sz w:val="24"/>
          <w:lang w:val="sq-AL"/>
        </w:rPr>
        <w:t>ndikimit, keqpërdorim të pozitës ose autoritetit zyrtar</w:t>
      </w:r>
      <w:r w:rsidRPr="00A6284F">
        <w:rPr>
          <w:rFonts w:eastAsia="Times New Roman"/>
          <w:color w:val="000000"/>
          <w:spacing w:val="1"/>
          <w:sz w:val="24"/>
          <w:lang w:val="sq-AL"/>
        </w:rPr>
        <w:t>). Në këto raste, janë ngrirë pasuri me vlerë rreth 13.2 milion</w:t>
      </w:r>
      <w:r w:rsidR="00732ADA" w:rsidRPr="00A6284F">
        <w:rPr>
          <w:rFonts w:eastAsia="Times New Roman"/>
          <w:color w:val="000000"/>
          <w:spacing w:val="1"/>
          <w:sz w:val="24"/>
          <w:lang w:val="sq-AL"/>
        </w:rPr>
        <w:t xml:space="preserve"> euro</w:t>
      </w:r>
      <w:r w:rsidRPr="00A6284F">
        <w:rPr>
          <w:rFonts w:eastAsia="Times New Roman"/>
          <w:color w:val="000000"/>
          <w:spacing w:val="1"/>
          <w:sz w:val="24"/>
          <w:lang w:val="sq-AL"/>
        </w:rPr>
        <w:t xml:space="preserve">, </w:t>
      </w:r>
      <w:r w:rsidR="00732ADA" w:rsidRPr="00A6284F">
        <w:rPr>
          <w:rFonts w:eastAsia="Times New Roman"/>
          <w:color w:val="000000"/>
          <w:spacing w:val="1"/>
          <w:sz w:val="24"/>
          <w:lang w:val="sq-AL"/>
        </w:rPr>
        <w:t xml:space="preserve">por </w:t>
      </w:r>
      <w:r w:rsidRPr="00A6284F">
        <w:rPr>
          <w:rFonts w:eastAsia="Times New Roman"/>
          <w:color w:val="000000"/>
          <w:spacing w:val="1"/>
          <w:sz w:val="24"/>
          <w:lang w:val="sq-AL"/>
        </w:rPr>
        <w:t>pa konfisk</w:t>
      </w:r>
      <w:r w:rsidR="00732ADA" w:rsidRPr="00A6284F">
        <w:rPr>
          <w:rFonts w:eastAsia="Times New Roman"/>
          <w:color w:val="000000"/>
          <w:spacing w:val="1"/>
          <w:sz w:val="24"/>
          <w:lang w:val="sq-AL"/>
        </w:rPr>
        <w:t>im përfundimtar</w:t>
      </w:r>
      <w:r w:rsidRPr="00A6284F">
        <w:rPr>
          <w:rFonts w:eastAsia="Times New Roman"/>
          <w:color w:val="000000"/>
          <w:spacing w:val="1"/>
          <w:sz w:val="24"/>
          <w:lang w:val="sq-AL"/>
        </w:rPr>
        <w:t>. Në korrik të vitit 2018, Komisioni Evropian konfirmoi se Kosova kishte përmbushur standardin në udhërrëfyesin e saj për liberalizimin e vizave për të forcuar regjistrin e rasteve në luftën kundër krimit të organizuar dhe korrupsionit. Këto përpjekje duhet të vazhdojnë, dhe Komisioni do të vazhdojë në mënyrë aktive të monitor</w:t>
      </w:r>
      <w:r w:rsidR="0089216F" w:rsidRPr="00A6284F">
        <w:rPr>
          <w:rFonts w:eastAsia="Times New Roman"/>
          <w:color w:val="000000"/>
          <w:spacing w:val="1"/>
          <w:sz w:val="24"/>
          <w:lang w:val="sq-AL"/>
        </w:rPr>
        <w:t xml:space="preserve">oj </w:t>
      </w:r>
      <w:r w:rsidRPr="00A6284F">
        <w:rPr>
          <w:rFonts w:eastAsia="Times New Roman"/>
          <w:color w:val="000000"/>
          <w:spacing w:val="1"/>
          <w:sz w:val="24"/>
          <w:lang w:val="sq-AL"/>
        </w:rPr>
        <w:t>zhvillimin e mëtejshëm të regjistrit të rasteve.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Procedura standarde e operimit në lidhje me rastet e regjistruara në regjistrin e rasteve duhet të rishikohet për të siguruar që të gjitha rastet e korrupsionit dhe krimit të organizuar të nivelit të lartë të jenë të mbuluara nga Ekipi i Përbashkët për Zgjedhjen dhe </w:t>
      </w:r>
      <w:proofErr w:type="spellStart"/>
      <w:r w:rsidRPr="00A6284F">
        <w:rPr>
          <w:rFonts w:eastAsia="Times New Roman"/>
          <w:color w:val="000000"/>
          <w:sz w:val="24"/>
          <w:lang w:val="sq-AL"/>
        </w:rPr>
        <w:t>Targetimin</w:t>
      </w:r>
      <w:proofErr w:type="spellEnd"/>
      <w:r w:rsidRPr="00A6284F">
        <w:rPr>
          <w:rFonts w:eastAsia="Times New Roman"/>
          <w:color w:val="000000"/>
          <w:sz w:val="24"/>
          <w:lang w:val="sq-AL"/>
        </w:rPr>
        <w:t xml:space="preserve"> e Krimeve të Rënda (përtej rasteve të </w:t>
      </w:r>
      <w:proofErr w:type="spellStart"/>
      <w:r w:rsidRPr="00A6284F">
        <w:rPr>
          <w:rFonts w:eastAsia="Times New Roman"/>
          <w:color w:val="000000"/>
          <w:sz w:val="24"/>
          <w:lang w:val="sq-AL"/>
        </w:rPr>
        <w:t>prioritizuara</w:t>
      </w:r>
      <w:proofErr w:type="spellEnd"/>
      <w:r w:rsidRPr="00A6284F">
        <w:rPr>
          <w:rFonts w:eastAsia="Times New Roman"/>
          <w:color w:val="000000"/>
          <w:sz w:val="24"/>
          <w:lang w:val="sq-AL"/>
        </w:rPr>
        <w:t xml:space="preserve"> për standardin e liberalizimit të vizave) në një regjistër gjithëpërfshirës dhe të përgjithshëm të rasteve.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Situata në veri të Kosovës </w:t>
      </w:r>
      <w:r w:rsidR="00011E14" w:rsidRPr="00A6284F">
        <w:rPr>
          <w:rFonts w:eastAsia="Times New Roman"/>
          <w:color w:val="000000"/>
          <w:sz w:val="24"/>
          <w:lang w:val="sq-AL"/>
        </w:rPr>
        <w:t xml:space="preserve">sa i përket </w:t>
      </w:r>
      <w:r w:rsidRPr="00A6284F">
        <w:rPr>
          <w:rFonts w:eastAsia="Times New Roman"/>
          <w:color w:val="000000"/>
          <w:sz w:val="24"/>
          <w:lang w:val="sq-AL"/>
        </w:rPr>
        <w:t>korrupsioni</w:t>
      </w:r>
      <w:r w:rsidR="00011E14" w:rsidRPr="00A6284F">
        <w:rPr>
          <w:rFonts w:eastAsia="Times New Roman"/>
          <w:color w:val="000000"/>
          <w:sz w:val="24"/>
          <w:lang w:val="sq-AL"/>
        </w:rPr>
        <w:t>t</w:t>
      </w:r>
      <w:r w:rsidRPr="00A6284F">
        <w:rPr>
          <w:rFonts w:eastAsia="Times New Roman"/>
          <w:color w:val="000000"/>
          <w:sz w:val="24"/>
          <w:lang w:val="sq-AL"/>
        </w:rPr>
        <w:t xml:space="preserve"> vazhdon të paraqesë sfida të veçanta për agjencitë e zbatimit të ligjit.</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 xml:space="preserve">Konfiskimi </w:t>
      </w:r>
      <w:r w:rsidR="00011E14" w:rsidRPr="00A6284F">
        <w:rPr>
          <w:rFonts w:eastAsia="Times New Roman"/>
          <w:b/>
          <w:color w:val="000000"/>
          <w:sz w:val="24"/>
          <w:lang w:val="sq-AL"/>
        </w:rPr>
        <w:t>preliminar</w:t>
      </w:r>
      <w:r w:rsidRPr="00A6284F">
        <w:rPr>
          <w:rFonts w:eastAsia="Times New Roman"/>
          <w:b/>
          <w:color w:val="000000"/>
          <w:sz w:val="24"/>
          <w:lang w:val="sq-AL"/>
        </w:rPr>
        <w:t xml:space="preserve"> i pasurive</w:t>
      </w:r>
      <w:r w:rsidRPr="00A6284F">
        <w:rPr>
          <w:rFonts w:eastAsia="Times New Roman"/>
          <w:color w:val="000000"/>
          <w:sz w:val="24"/>
          <w:lang w:val="sq-AL"/>
        </w:rPr>
        <w:t xml:space="preserve"> është rritur, mirëpo konfiskimet përfundimtare kanë rënë ndjeshëm. Në vitin 2018, vlera e përgjithshme e pasurive të konfiskuara paraprakisht ishte pak më shumë se 28 milion</w:t>
      </w:r>
      <w:r w:rsidR="00011E14" w:rsidRPr="00A6284F">
        <w:rPr>
          <w:rFonts w:eastAsia="Times New Roman"/>
          <w:color w:val="000000"/>
          <w:sz w:val="24"/>
          <w:lang w:val="sq-AL"/>
        </w:rPr>
        <w:t xml:space="preserve"> euro</w:t>
      </w:r>
      <w:r w:rsidRPr="00A6284F">
        <w:rPr>
          <w:rFonts w:eastAsia="Times New Roman"/>
          <w:color w:val="000000"/>
          <w:sz w:val="24"/>
          <w:lang w:val="sq-AL"/>
        </w:rPr>
        <w:t xml:space="preserve"> (krahasuar me 10.9 milion </w:t>
      </w:r>
      <w:r w:rsidR="00011E14" w:rsidRPr="00A6284F">
        <w:rPr>
          <w:rFonts w:eastAsia="Times New Roman"/>
          <w:color w:val="000000"/>
          <w:sz w:val="24"/>
          <w:lang w:val="sq-AL"/>
        </w:rPr>
        <w:t xml:space="preserve">euro </w:t>
      </w:r>
      <w:r w:rsidRPr="00A6284F">
        <w:rPr>
          <w:rFonts w:eastAsia="Times New Roman"/>
          <w:color w:val="000000"/>
          <w:sz w:val="24"/>
          <w:lang w:val="sq-AL"/>
        </w:rPr>
        <w:t xml:space="preserve">në 2017), ndërsa vlera e pasurive të konfiskuara përfundimisht arrinte vlerën </w:t>
      </w:r>
      <w:r w:rsidR="00011E14" w:rsidRPr="00A6284F">
        <w:rPr>
          <w:rFonts w:eastAsia="Times New Roman"/>
          <w:color w:val="000000"/>
          <w:sz w:val="24"/>
          <w:lang w:val="sq-AL"/>
        </w:rPr>
        <w:t>e</w:t>
      </w:r>
      <w:r w:rsidRPr="00A6284F">
        <w:rPr>
          <w:rFonts w:eastAsia="Times New Roman"/>
          <w:color w:val="000000"/>
          <w:sz w:val="24"/>
          <w:lang w:val="sq-AL"/>
        </w:rPr>
        <w:t xml:space="preserve"> vetëm 49,394</w:t>
      </w:r>
      <w:r w:rsidR="00011E14" w:rsidRPr="00A6284F">
        <w:rPr>
          <w:rFonts w:eastAsia="Times New Roman"/>
          <w:color w:val="000000"/>
          <w:sz w:val="24"/>
          <w:lang w:val="sq-AL"/>
        </w:rPr>
        <w:t xml:space="preserve"> euro</w:t>
      </w:r>
      <w:r w:rsidRPr="00A6284F">
        <w:rPr>
          <w:rFonts w:eastAsia="Times New Roman"/>
          <w:color w:val="000000"/>
          <w:sz w:val="24"/>
          <w:lang w:val="sq-AL"/>
        </w:rPr>
        <w:t xml:space="preserve"> krahasuar me 700,000</w:t>
      </w:r>
      <w:r w:rsidR="009B5C2F" w:rsidRPr="00A6284F">
        <w:rPr>
          <w:rFonts w:eastAsia="Times New Roman"/>
          <w:color w:val="000000"/>
          <w:sz w:val="24"/>
          <w:lang w:val="sq-AL"/>
        </w:rPr>
        <w:t xml:space="preserve"> euro</w:t>
      </w:r>
      <w:r w:rsidRPr="00A6284F">
        <w:rPr>
          <w:rFonts w:eastAsia="Times New Roman"/>
          <w:color w:val="000000"/>
          <w:sz w:val="24"/>
          <w:lang w:val="sq-AL"/>
        </w:rPr>
        <w:t xml:space="preserve"> në vitin 2017. Zbatimi i mirëfilltë i legjislacionit të ri lidhur me konfiskimin e pasurive duhet të çojë në një rritje të konsiderueshme të këtyre shifrave.</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Që nga koha e themelimit të saj, </w:t>
      </w:r>
      <w:r w:rsidRPr="00A6284F">
        <w:rPr>
          <w:rFonts w:eastAsia="Times New Roman"/>
          <w:b/>
          <w:color w:val="000000"/>
          <w:sz w:val="24"/>
          <w:lang w:val="sq-AL"/>
        </w:rPr>
        <w:t xml:space="preserve">Agjencia kundër Korrupsionit </w:t>
      </w:r>
      <w:r w:rsidRPr="00A6284F">
        <w:rPr>
          <w:rFonts w:eastAsia="Times New Roman"/>
          <w:color w:val="000000"/>
          <w:sz w:val="24"/>
          <w:lang w:val="sq-AL"/>
        </w:rPr>
        <w:t>ka dërguar më shumë se 700 raste në prokurori, duke përfshirë më shumë se 90 referime në vitin 2018. Nga 80 referimet e bëra në vitin 2017, prokuroria ka ngritur aktakuza për 8 raste, nga të cilat 4 tani janë në gjykim. Raportet që Agjencia ia paraqet prokurorisë duhet të jenë me cilësi më të mirë dhe prokuroria duhet të përmirësojë kapacitetet e saj dhe të tregojë më shumë gatishmëri për të ndjekur rastet që kanë të bëjnë me korrupsionin.</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vitin 2018, janë raportuar 385 raste të reja të veprave penale për keqpërdorim të </w:t>
      </w:r>
      <w:r w:rsidRPr="00A6284F">
        <w:rPr>
          <w:rFonts w:eastAsia="Times New Roman"/>
          <w:b/>
          <w:color w:val="000000"/>
          <w:sz w:val="24"/>
          <w:lang w:val="sq-AL"/>
        </w:rPr>
        <w:t>detyrës zyrtare</w:t>
      </w:r>
      <w:r w:rsidRPr="00A6284F">
        <w:rPr>
          <w:rFonts w:eastAsia="Times New Roman"/>
          <w:color w:val="000000"/>
          <w:sz w:val="24"/>
          <w:lang w:val="sq-AL"/>
        </w:rPr>
        <w:t xml:space="preserve">, që përfshijnë 753 individë. Ka pas 6 raste të reja të lidhura me korrupsionin në </w:t>
      </w:r>
      <w:r w:rsidRPr="00A6284F">
        <w:rPr>
          <w:rFonts w:eastAsia="Times New Roman"/>
          <w:b/>
          <w:color w:val="000000"/>
          <w:sz w:val="24"/>
          <w:lang w:val="sq-AL"/>
        </w:rPr>
        <w:t>prokurimin publik</w:t>
      </w:r>
      <w:r w:rsidRPr="00A6284F">
        <w:rPr>
          <w:rFonts w:eastAsia="Times New Roman"/>
          <w:color w:val="000000"/>
          <w:sz w:val="24"/>
          <w:lang w:val="sq-AL"/>
        </w:rPr>
        <w:t xml:space="preserve"> dhe 421 raste të reja që lidhen me </w:t>
      </w:r>
      <w:r w:rsidRPr="00A6284F">
        <w:rPr>
          <w:rFonts w:eastAsia="Times New Roman"/>
          <w:b/>
          <w:color w:val="000000"/>
          <w:sz w:val="24"/>
          <w:lang w:val="sq-AL"/>
        </w:rPr>
        <w:t>krimet ekonomike</w:t>
      </w:r>
      <w:r w:rsidRPr="00A6284F">
        <w:rPr>
          <w:rFonts w:eastAsia="Times New Roman"/>
          <w:color w:val="000000"/>
          <w:sz w:val="24"/>
          <w:lang w:val="sq-AL"/>
        </w:rPr>
        <w:t xml:space="preserve">. Në përgjithësi, në vitin 2018 janë pranuar 325 akuza </w:t>
      </w:r>
      <w:r w:rsidRPr="00A6284F">
        <w:rPr>
          <w:rFonts w:eastAsia="Times New Roman"/>
          <w:b/>
          <w:color w:val="000000"/>
          <w:sz w:val="24"/>
          <w:lang w:val="sq-AL"/>
        </w:rPr>
        <w:t>për korrupsion</w:t>
      </w:r>
      <w:r w:rsidRPr="00A6284F">
        <w:rPr>
          <w:rFonts w:eastAsia="Times New Roman"/>
          <w:color w:val="000000"/>
          <w:sz w:val="24"/>
          <w:lang w:val="sq-AL"/>
        </w:rPr>
        <w:t xml:space="preserve"> dhe janë ngritur aktakuza kundër 335 individëve. Gjykatat shpallën fajtorë 79 individë.</w:t>
      </w:r>
    </w:p>
    <w:p w:rsidR="00CE1051" w:rsidRPr="00A6284F" w:rsidRDefault="00E70FFE"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Gjatë </w:t>
      </w:r>
      <w:r w:rsidR="00CE1051" w:rsidRPr="00A6284F">
        <w:rPr>
          <w:rFonts w:eastAsia="Times New Roman"/>
          <w:color w:val="000000"/>
          <w:sz w:val="24"/>
          <w:lang w:val="sq-AL"/>
        </w:rPr>
        <w:t xml:space="preserve">2018, 98% e </w:t>
      </w:r>
      <w:r w:rsidRPr="00A6284F">
        <w:rPr>
          <w:rFonts w:eastAsia="Times New Roman"/>
          <w:color w:val="000000"/>
          <w:sz w:val="24"/>
          <w:lang w:val="sq-AL"/>
        </w:rPr>
        <w:t xml:space="preserve">4,737 </w:t>
      </w:r>
      <w:r w:rsidR="00CE1051" w:rsidRPr="00A6284F">
        <w:rPr>
          <w:rFonts w:eastAsia="Times New Roman"/>
          <w:color w:val="000000"/>
          <w:sz w:val="24"/>
          <w:lang w:val="sq-AL"/>
        </w:rPr>
        <w:t xml:space="preserve">zyrtarëve </w:t>
      </w:r>
      <w:r w:rsidRPr="00A6284F">
        <w:rPr>
          <w:rFonts w:eastAsia="Times New Roman"/>
          <w:color w:val="000000"/>
          <w:sz w:val="24"/>
          <w:lang w:val="sq-AL"/>
        </w:rPr>
        <w:t>q</w:t>
      </w:r>
      <w:r w:rsidR="00CE1051" w:rsidRPr="00A6284F">
        <w:rPr>
          <w:rFonts w:eastAsia="Times New Roman"/>
          <w:color w:val="000000"/>
          <w:sz w:val="24"/>
          <w:lang w:val="sq-AL"/>
        </w:rPr>
        <w:t xml:space="preserve">ë </w:t>
      </w:r>
      <w:r w:rsidRPr="00A6284F">
        <w:rPr>
          <w:rFonts w:eastAsia="Times New Roman"/>
          <w:color w:val="000000"/>
          <w:sz w:val="24"/>
          <w:lang w:val="sq-AL"/>
        </w:rPr>
        <w:t xml:space="preserve">janë të </w:t>
      </w:r>
      <w:r w:rsidR="00CE1051" w:rsidRPr="00A6284F">
        <w:rPr>
          <w:rFonts w:eastAsia="Times New Roman"/>
          <w:color w:val="000000"/>
          <w:sz w:val="24"/>
          <w:lang w:val="sq-AL"/>
        </w:rPr>
        <w:t xml:space="preserve">detyruar të paraqesin </w:t>
      </w:r>
      <w:r w:rsidR="00CE1051" w:rsidRPr="00A6284F">
        <w:rPr>
          <w:rFonts w:eastAsia="Times New Roman"/>
          <w:b/>
          <w:color w:val="000000"/>
          <w:sz w:val="24"/>
          <w:lang w:val="sq-AL"/>
        </w:rPr>
        <w:t>deklaratat vjetore të pasurive</w:t>
      </w:r>
      <w:r w:rsidR="00CE1051" w:rsidRPr="00A6284F">
        <w:rPr>
          <w:rFonts w:eastAsia="Times New Roman"/>
          <w:color w:val="000000"/>
          <w:sz w:val="24"/>
          <w:lang w:val="sq-AL"/>
        </w:rPr>
        <w:t xml:space="preserve"> e kanë bërë këtë me kohë (vetëm 86 sosh, apo më pak se 2%, nuk e kanë bërë këtë); nga 4,819 zyrtarë </w:t>
      </w:r>
      <w:r w:rsidRPr="00A6284F">
        <w:rPr>
          <w:rFonts w:eastAsia="Times New Roman"/>
          <w:color w:val="000000"/>
          <w:sz w:val="24"/>
          <w:lang w:val="sq-AL"/>
        </w:rPr>
        <w:t>që janë</w:t>
      </w:r>
      <w:r w:rsidR="00CE1051" w:rsidRPr="00A6284F">
        <w:rPr>
          <w:rFonts w:eastAsia="Times New Roman"/>
          <w:color w:val="000000"/>
          <w:sz w:val="24"/>
          <w:lang w:val="sq-AL"/>
        </w:rPr>
        <w:t xml:space="preserve"> </w:t>
      </w:r>
      <w:r w:rsidRPr="00A6284F">
        <w:rPr>
          <w:rFonts w:eastAsia="Times New Roman"/>
          <w:color w:val="000000"/>
          <w:sz w:val="24"/>
          <w:lang w:val="sq-AL"/>
        </w:rPr>
        <w:t xml:space="preserve">të </w:t>
      </w:r>
      <w:r w:rsidR="00CE1051" w:rsidRPr="00A6284F">
        <w:rPr>
          <w:rFonts w:eastAsia="Times New Roman"/>
          <w:color w:val="000000"/>
          <w:sz w:val="24"/>
          <w:lang w:val="sq-AL"/>
        </w:rPr>
        <w:t>detyruar të dorëzojnë ato në vitin 2019, 98.5% e tyre e kanë bërë një gjë të tillë (vetëm 64, ose më pak se 1.5%, nuk e kanë bërë këtë). Agjencia ka nën hetime më shumë se 100 raste për deklarim të rrejsh</w:t>
      </w:r>
      <w:r w:rsidRPr="00A6284F">
        <w:rPr>
          <w:rFonts w:eastAsia="Times New Roman"/>
          <w:color w:val="000000"/>
          <w:sz w:val="24"/>
          <w:lang w:val="sq-AL"/>
        </w:rPr>
        <w:t>ë</w:t>
      </w:r>
      <w:r w:rsidR="00CE1051" w:rsidRPr="00A6284F">
        <w:rPr>
          <w:rFonts w:eastAsia="Times New Roman"/>
          <w:color w:val="000000"/>
          <w:sz w:val="24"/>
          <w:lang w:val="sq-AL"/>
        </w:rPr>
        <w:t>m të pasuri</w:t>
      </w:r>
      <w:r w:rsidRPr="00A6284F">
        <w:rPr>
          <w:rFonts w:eastAsia="Times New Roman"/>
          <w:color w:val="000000"/>
          <w:sz w:val="24"/>
          <w:lang w:val="sq-AL"/>
        </w:rPr>
        <w:t>së</w:t>
      </w:r>
      <w:r w:rsidR="00CE1051" w:rsidRPr="00A6284F">
        <w:rPr>
          <w:rFonts w:eastAsia="Times New Roman"/>
          <w:color w:val="000000"/>
          <w:sz w:val="24"/>
          <w:lang w:val="sq-AL"/>
        </w:rPr>
        <w:t xml:space="preserve">. Asaj ende i mungojnë mjetet dhe burimet për të verifikuar deklarimet e pasurive. Këto kontrolle kërkojnë bashkëpunim më të ngushtë dhe shkëmbim të </w:t>
      </w:r>
      <w:proofErr w:type="spellStart"/>
      <w:r w:rsidR="00CE1051" w:rsidRPr="00A6284F">
        <w:rPr>
          <w:rFonts w:eastAsia="Times New Roman"/>
          <w:color w:val="000000"/>
          <w:sz w:val="24"/>
          <w:lang w:val="sq-AL"/>
        </w:rPr>
        <w:t>të</w:t>
      </w:r>
      <w:proofErr w:type="spellEnd"/>
      <w:r w:rsidR="00CE1051" w:rsidRPr="00A6284F">
        <w:rPr>
          <w:rFonts w:eastAsia="Times New Roman"/>
          <w:color w:val="000000"/>
          <w:sz w:val="24"/>
          <w:lang w:val="sq-AL"/>
        </w:rPr>
        <w:t xml:space="preserve"> dhënave me policinë, administratën tatimore, Njësinë e Inteligjencës Financiare, regjistrin e tokave dhe autoritetet komunale. Krijimi i një sistemi të deklarimit elektronik (e-deklarimi) do të thjeshtonte </w:t>
      </w:r>
      <w:r w:rsidRPr="00A6284F">
        <w:rPr>
          <w:rFonts w:eastAsia="Times New Roman"/>
          <w:color w:val="000000"/>
          <w:sz w:val="24"/>
          <w:lang w:val="sq-AL"/>
        </w:rPr>
        <w:t xml:space="preserve">deklarimin </w:t>
      </w:r>
      <w:r w:rsidR="00CE1051" w:rsidRPr="00A6284F">
        <w:rPr>
          <w:rFonts w:eastAsia="Times New Roman"/>
          <w:color w:val="000000"/>
          <w:sz w:val="24"/>
          <w:lang w:val="sq-AL"/>
        </w:rPr>
        <w:t xml:space="preserve">dhe monitorimin, </w:t>
      </w:r>
      <w:r w:rsidRPr="00A6284F">
        <w:rPr>
          <w:rFonts w:eastAsia="Times New Roman"/>
          <w:color w:val="000000"/>
          <w:sz w:val="24"/>
          <w:lang w:val="sq-AL"/>
        </w:rPr>
        <w:t xml:space="preserve">do të </w:t>
      </w:r>
      <w:r w:rsidR="00CE1051" w:rsidRPr="00A6284F">
        <w:rPr>
          <w:rFonts w:eastAsia="Times New Roman"/>
          <w:color w:val="000000"/>
          <w:sz w:val="24"/>
          <w:lang w:val="sq-AL"/>
        </w:rPr>
        <w:t>rri</w:t>
      </w:r>
      <w:r w:rsidRPr="00A6284F">
        <w:rPr>
          <w:rFonts w:eastAsia="Times New Roman"/>
          <w:color w:val="000000"/>
          <w:sz w:val="24"/>
          <w:lang w:val="sq-AL"/>
        </w:rPr>
        <w:t>s</w:t>
      </w:r>
      <w:r w:rsidR="00CE1051" w:rsidRPr="00A6284F">
        <w:rPr>
          <w:rFonts w:eastAsia="Times New Roman"/>
          <w:color w:val="000000"/>
          <w:sz w:val="24"/>
          <w:lang w:val="sq-AL"/>
        </w:rPr>
        <w:t>te transparencë</w:t>
      </w:r>
      <w:r w:rsidRPr="00A6284F">
        <w:rPr>
          <w:rFonts w:eastAsia="Times New Roman"/>
          <w:color w:val="000000"/>
          <w:sz w:val="24"/>
          <w:lang w:val="sq-AL"/>
        </w:rPr>
        <w:t>n si</w:t>
      </w:r>
      <w:r w:rsidR="00CE1051" w:rsidRPr="00A6284F">
        <w:rPr>
          <w:rFonts w:eastAsia="Times New Roman"/>
          <w:color w:val="000000"/>
          <w:sz w:val="24"/>
          <w:lang w:val="sq-AL"/>
        </w:rPr>
        <w:t xml:space="preserve"> dhe </w:t>
      </w:r>
      <w:r w:rsidRPr="00A6284F">
        <w:rPr>
          <w:rFonts w:eastAsia="Times New Roman"/>
          <w:color w:val="000000"/>
          <w:sz w:val="24"/>
          <w:lang w:val="sq-AL"/>
        </w:rPr>
        <w:t xml:space="preserve">do të zvogëlonte </w:t>
      </w:r>
      <w:r w:rsidR="00CE1051" w:rsidRPr="00A6284F">
        <w:rPr>
          <w:rFonts w:eastAsia="Times New Roman"/>
          <w:color w:val="000000"/>
          <w:sz w:val="24"/>
          <w:lang w:val="sq-AL"/>
        </w:rPr>
        <w:t>gabime</w:t>
      </w:r>
      <w:r w:rsidRPr="00A6284F">
        <w:rPr>
          <w:rFonts w:eastAsia="Times New Roman"/>
          <w:color w:val="000000"/>
          <w:sz w:val="24"/>
          <w:lang w:val="sq-AL"/>
        </w:rPr>
        <w:t>t</w:t>
      </w:r>
      <w:r w:rsidR="00CE1051" w:rsidRPr="00A6284F">
        <w:rPr>
          <w:rFonts w:eastAsia="Times New Roman"/>
          <w:color w:val="000000"/>
          <w:sz w:val="24"/>
          <w:lang w:val="sq-AL"/>
        </w:rPr>
        <w:t xml:space="preserve"> njerëzore. Agjencia Kundër Korrupsionit ka qenë </w:t>
      </w:r>
      <w:proofErr w:type="spellStart"/>
      <w:r w:rsidR="00CE1051" w:rsidRPr="00A6284F">
        <w:rPr>
          <w:rFonts w:eastAsia="Times New Roman"/>
          <w:color w:val="000000"/>
          <w:sz w:val="24"/>
          <w:lang w:val="sq-AL"/>
        </w:rPr>
        <w:t>proaktive</w:t>
      </w:r>
      <w:proofErr w:type="spellEnd"/>
      <w:r w:rsidR="00CE1051" w:rsidRPr="00A6284F">
        <w:rPr>
          <w:rFonts w:eastAsia="Times New Roman"/>
          <w:color w:val="000000"/>
          <w:sz w:val="24"/>
          <w:lang w:val="sq-AL"/>
        </w:rPr>
        <w:t xml:space="preserve"> në sigurimin që zyrtarët publikë nga veriu i Kosovës të përmbushin obligimet e tyre lidhur me deklarim</w:t>
      </w:r>
      <w:r w:rsidRPr="00A6284F">
        <w:rPr>
          <w:rFonts w:eastAsia="Times New Roman"/>
          <w:color w:val="000000"/>
          <w:sz w:val="24"/>
          <w:lang w:val="sq-AL"/>
        </w:rPr>
        <w:t xml:space="preserve">in e </w:t>
      </w:r>
      <w:r w:rsidR="00CE1051" w:rsidRPr="00A6284F">
        <w:rPr>
          <w:rFonts w:eastAsia="Times New Roman"/>
          <w:color w:val="000000"/>
          <w:sz w:val="24"/>
          <w:lang w:val="sq-AL"/>
        </w:rPr>
        <w:t>pasurisë.</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vitin 2018, Agjencia ka trajtuar më shumë se 100 raste të </w:t>
      </w:r>
      <w:r w:rsidRPr="00A6284F">
        <w:rPr>
          <w:rFonts w:eastAsia="Times New Roman"/>
          <w:b/>
          <w:color w:val="000000"/>
          <w:sz w:val="24"/>
          <w:lang w:val="sq-AL"/>
        </w:rPr>
        <w:t>konfliktit të interesit</w:t>
      </w:r>
      <w:r w:rsidRPr="00A6284F">
        <w:rPr>
          <w:rFonts w:eastAsia="Times New Roman"/>
          <w:color w:val="000000"/>
          <w:sz w:val="24"/>
          <w:lang w:val="sq-AL"/>
        </w:rPr>
        <w:t>, prej të cilëve më pak se 5 janë parashtruar për procedurë kundërvajtje dhe 10 janë dërguar në shërbimin e prokurorisë për hetime penale, e cila ka zgjidhur 5 raste gjatë periudhës raportuese. Në më shumë se 30 raste, është shmangur konflikti i interesit.</w:t>
      </w:r>
    </w:p>
    <w:p w:rsidR="00E0616C" w:rsidRPr="00A6284F" w:rsidRDefault="00CE1051" w:rsidP="00E70FFE">
      <w:pPr>
        <w:spacing w:before="122" w:after="1311" w:line="276" w:lineRule="exact"/>
        <w:jc w:val="both"/>
        <w:rPr>
          <w:rFonts w:eastAsia="Times New Roman"/>
          <w:color w:val="000000"/>
          <w:sz w:val="24"/>
          <w:lang w:val="sq-AL"/>
        </w:rPr>
      </w:pPr>
      <w:r w:rsidRPr="00A6284F">
        <w:rPr>
          <w:rFonts w:eastAsia="Times New Roman"/>
          <w:color w:val="000000"/>
          <w:spacing w:val="-1"/>
          <w:sz w:val="24"/>
          <w:lang w:val="sq-AL"/>
        </w:rPr>
        <w:t xml:space="preserve">Transparenca dhe llogaridhënia e </w:t>
      </w:r>
      <w:r w:rsidRPr="00A6284F">
        <w:rPr>
          <w:rFonts w:eastAsia="Times New Roman"/>
          <w:b/>
          <w:color w:val="000000"/>
          <w:spacing w:val="-1"/>
          <w:sz w:val="24"/>
          <w:lang w:val="sq-AL"/>
        </w:rPr>
        <w:t>financimit për parti politike dhe financim të fushatave</w:t>
      </w:r>
      <w:r w:rsidRPr="00A6284F">
        <w:rPr>
          <w:rFonts w:eastAsia="Times New Roman"/>
          <w:color w:val="000000"/>
          <w:spacing w:val="-1"/>
          <w:sz w:val="24"/>
          <w:lang w:val="sq-AL"/>
        </w:rPr>
        <w:t xml:space="preserve"> duhen </w:t>
      </w:r>
      <w:r w:rsidRPr="00A6284F">
        <w:rPr>
          <w:rFonts w:eastAsia="Times New Roman"/>
          <w:color w:val="000000"/>
          <w:sz w:val="24"/>
          <w:lang w:val="sq-AL"/>
        </w:rPr>
        <w:t xml:space="preserve">përforcuar. Raportet e financave të partive politike ende nuk publikohen me konsistencë dhe plotësisht, ndërsa fushatat zgjedhore parlamentare dhe lokale për vitin 2017 ende nuk iu kanë nënshtruar një fushate të auditimit të jashtëm lidhur me financimin dhe shpenzimet e fushatave zgjedhore. Gjersa auditimet e pavarura </w:t>
      </w:r>
      <w:r w:rsidR="006310BD" w:rsidRPr="00A6284F">
        <w:rPr>
          <w:rFonts w:eastAsia="Times New Roman"/>
          <w:color w:val="000000"/>
          <w:sz w:val="24"/>
          <w:lang w:val="sq-AL"/>
        </w:rPr>
        <w:t xml:space="preserve">të </w:t>
      </w:r>
      <w:r w:rsidRPr="00A6284F">
        <w:rPr>
          <w:rFonts w:eastAsia="Times New Roman"/>
          <w:color w:val="000000"/>
          <w:sz w:val="24"/>
          <w:lang w:val="sq-AL"/>
        </w:rPr>
        <w:t xml:space="preserve">financave </w:t>
      </w:r>
      <w:r w:rsidR="006310BD" w:rsidRPr="00A6284F">
        <w:rPr>
          <w:rFonts w:eastAsia="Times New Roman"/>
          <w:color w:val="000000"/>
          <w:sz w:val="24"/>
          <w:lang w:val="sq-AL"/>
        </w:rPr>
        <w:t xml:space="preserve">të </w:t>
      </w:r>
      <w:r w:rsidRPr="00A6284F">
        <w:rPr>
          <w:rFonts w:eastAsia="Times New Roman"/>
          <w:color w:val="000000"/>
          <w:sz w:val="24"/>
          <w:lang w:val="sq-AL"/>
        </w:rPr>
        <w:t>partive politike nga viti 2013 deri në vitin 2016 janë kryer më herët, por me vonesa të konsiderueshme, auditimet për vitin 2017 ende nuk kanë ndodhur, ndërsa përzgjedhja e auditorëve është finalizuar tek tani në fillim të vitit 2019. Komisioni Qendror i Zgjedhjeve (KQZ) dhe autoritetet tjera kompetente, duke përfshirë prokurorinë, duhet të sqaroj</w:t>
      </w:r>
      <w:r w:rsidR="006310BD" w:rsidRPr="00A6284F">
        <w:rPr>
          <w:rFonts w:eastAsia="Times New Roman"/>
          <w:color w:val="000000"/>
          <w:sz w:val="24"/>
          <w:lang w:val="sq-AL"/>
        </w:rPr>
        <w:t>n</w:t>
      </w:r>
      <w:r w:rsidRPr="00A6284F">
        <w:rPr>
          <w:rFonts w:eastAsia="Times New Roman"/>
          <w:color w:val="000000"/>
          <w:sz w:val="24"/>
          <w:lang w:val="sq-AL"/>
        </w:rPr>
        <w:t xml:space="preserve">ë kompetencat e tyre përkatëse, të hetojnë rastet e mundshme dhe të sigurojnë që raportet e auditimit përfillen në harmoni me dispozitat dhe sanksionimet ligjore. Partitë politike duhet të dorëzojnë raportet e tyre financiare deri në afatin e caktuar ligjor, të cilat pastaj duhet të </w:t>
      </w:r>
      <w:proofErr w:type="spellStart"/>
      <w:r w:rsidRPr="00A6284F">
        <w:rPr>
          <w:rFonts w:eastAsia="Times New Roman"/>
          <w:color w:val="000000"/>
          <w:sz w:val="24"/>
          <w:lang w:val="sq-AL"/>
        </w:rPr>
        <w:t>auditohen</w:t>
      </w:r>
      <w:proofErr w:type="spellEnd"/>
      <w:r w:rsidRPr="00A6284F">
        <w:rPr>
          <w:rFonts w:eastAsia="Times New Roman"/>
          <w:color w:val="000000"/>
          <w:sz w:val="24"/>
          <w:lang w:val="sq-AL"/>
        </w:rPr>
        <w:t xml:space="preserve"> në mënyrë të duhur dhe në kohën e duhur. Deri në fund të periudhës raportuese, KQZ-ja ka sanksionuar vetëm një parti politike për vonesë në dorëzimin e raportit financiar vjetor</w:t>
      </w:r>
      <w:r w:rsidR="009E4C9A" w:rsidRPr="00A6284F">
        <w:rPr>
          <w:rFonts w:eastAsia="Times New Roman"/>
          <w:color w:val="000000"/>
          <w:sz w:val="24"/>
          <w:lang w:val="sq-AL"/>
        </w:rPr>
        <w:t>.</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Planet e veprimit janë zhvilluar pas vlerësimeve të kryera më parë për të përcaktuar rrezikun e korrupsionit për shkak të dobësive në strukturën ligjore/institucionale në sektorin e shëndetësisë, arsimit, energjisë dhe minierave, si dhe në sistemet e prokurimit publik, gjyqësorit dhe të prokurorisë. Duhen ndërmarrë hapa për të zbatuar këto plane veprimi dhe për të adresuar në mënyrë efektive korrupsionin në këto sektorë. Ende nuk ka asnjë politikë për parandalimin e korrupsionit në sektorin privat.</w:t>
      </w:r>
    </w:p>
    <w:p w:rsidR="00F57B39" w:rsidRPr="00A6284F" w:rsidRDefault="00F57B39" w:rsidP="00F57B39">
      <w:pPr>
        <w:spacing w:before="121"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Korniza institucionale</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Institucionet kundër korrupsionit në Kosovë nuk janë mirë të integruara, përgjegjësitë e tyre mbivendosen dhe ndarja e detyrave duhet sqaruar. Kosova duhet të përforcojë mekanizmat dhe organet e bashkërendimit ndërinstitucional, si dhe të sigurojë që institucionet kanë qasje në bazat përkatëse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w:t>
      </w:r>
    </w:p>
    <w:p w:rsidR="00F57B39" w:rsidRPr="00A6284F" w:rsidRDefault="00F57B39" w:rsidP="00F57B39">
      <w:pPr>
        <w:spacing w:before="125" w:line="274" w:lineRule="exact"/>
        <w:ind w:left="144"/>
        <w:textAlignment w:val="baseline"/>
        <w:rPr>
          <w:rFonts w:eastAsia="Times New Roman"/>
          <w:i/>
          <w:color w:val="000000"/>
          <w:sz w:val="24"/>
          <w:lang w:val="sq-AL"/>
        </w:rPr>
      </w:pPr>
      <w:r w:rsidRPr="00A6284F">
        <w:rPr>
          <w:rFonts w:eastAsia="Times New Roman"/>
          <w:i/>
          <w:color w:val="000000"/>
          <w:sz w:val="24"/>
          <w:lang w:val="sq-AL"/>
        </w:rPr>
        <w:t>Masat e parandalimit</w:t>
      </w:r>
    </w:p>
    <w:p w:rsidR="00F57B39" w:rsidRPr="00A6284F" w:rsidRDefault="00F57B39" w:rsidP="00F57B39">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Organi kryesor parandalues mbetet </w:t>
      </w:r>
      <w:r w:rsidRPr="00A6284F">
        <w:rPr>
          <w:rFonts w:eastAsia="Times New Roman"/>
          <w:b/>
          <w:bCs/>
          <w:color w:val="000000"/>
          <w:sz w:val="24"/>
          <w:lang w:val="sq-AL"/>
        </w:rPr>
        <w:t xml:space="preserve">Agjencia kundër </w:t>
      </w:r>
      <w:proofErr w:type="spellStart"/>
      <w:r w:rsidRPr="00A6284F">
        <w:rPr>
          <w:rFonts w:eastAsia="Times New Roman"/>
          <w:b/>
          <w:bCs/>
          <w:color w:val="000000"/>
          <w:sz w:val="24"/>
          <w:lang w:val="sq-AL"/>
        </w:rPr>
        <w:t>Korrupsionit,</w:t>
      </w:r>
      <w:r w:rsidRPr="00A6284F">
        <w:rPr>
          <w:rFonts w:eastAsia="Times New Roman"/>
          <w:color w:val="000000"/>
          <w:sz w:val="24"/>
          <w:lang w:val="sq-AL"/>
        </w:rPr>
        <w:t>e</w:t>
      </w:r>
      <w:proofErr w:type="spellEnd"/>
      <w:r w:rsidRPr="00A6284F">
        <w:rPr>
          <w:rFonts w:eastAsia="Times New Roman"/>
          <w:color w:val="000000"/>
          <w:sz w:val="24"/>
          <w:lang w:val="sq-AL"/>
        </w:rPr>
        <w:t xml:space="preserve"> pavarur dhe e specializuar. Agjencia ka për detyrë të ndërmarrë hetime administrative, të kontrollojë deklaratat e pasurisë, të monitorojë konfliktin e interesit dhe aktivitetet e prokurimit publik, si dhe të rris vetëdijen. Organet tjera me kompetenca inspektuese dhe audituese janë Auditori i Përgjithshëm, autoritetet tatimore, autoritetet doganore dhe Njësia e Inteligjencës Financiare.</w:t>
      </w:r>
    </w:p>
    <w:p w:rsidR="00F57B39" w:rsidRPr="00A6284F" w:rsidRDefault="00F57B39" w:rsidP="00F57B39">
      <w:pPr>
        <w:spacing w:before="120" w:line="276" w:lineRule="exact"/>
        <w:ind w:left="144" w:right="144"/>
        <w:jc w:val="both"/>
        <w:textAlignment w:val="baseline"/>
        <w:rPr>
          <w:rFonts w:eastAsia="Times New Roman"/>
          <w:b/>
          <w:color w:val="000000"/>
          <w:sz w:val="24"/>
          <w:lang w:val="sq-AL"/>
        </w:rPr>
      </w:pPr>
      <w:r w:rsidRPr="00A6284F">
        <w:rPr>
          <w:rFonts w:eastAsia="Times New Roman"/>
          <w:b/>
          <w:bCs/>
          <w:color w:val="000000"/>
          <w:sz w:val="24"/>
          <w:lang w:val="sq-AL"/>
        </w:rPr>
        <w:t>Trajnime</w:t>
      </w:r>
      <w:r w:rsidR="00BD4D0B" w:rsidRPr="00A6284F">
        <w:rPr>
          <w:rFonts w:eastAsia="Times New Roman"/>
          <w:b/>
          <w:bCs/>
          <w:color w:val="000000"/>
          <w:sz w:val="24"/>
          <w:lang w:val="sq-AL"/>
        </w:rPr>
        <w:t>t</w:t>
      </w:r>
      <w:r w:rsidRPr="00A6284F">
        <w:rPr>
          <w:rFonts w:eastAsia="Times New Roman"/>
          <w:color w:val="000000"/>
          <w:sz w:val="24"/>
          <w:lang w:val="sq-AL"/>
        </w:rPr>
        <w:t xml:space="preserve"> duhen të ofrohen për personelin e organeve kryesore kundër korrupsionit, veçanërisht mbi vlerësimet e rreziqeve. Akademia e Drejtësisë integroi një program kundër korrupsionit si pjesë të plan-programit </w:t>
      </w:r>
      <w:r w:rsidR="00BD4D0B" w:rsidRPr="00A6284F">
        <w:rPr>
          <w:rFonts w:eastAsia="Times New Roman"/>
          <w:color w:val="000000"/>
          <w:sz w:val="24"/>
          <w:lang w:val="sq-AL"/>
        </w:rPr>
        <w:t>t</w:t>
      </w:r>
      <w:r w:rsidRPr="00A6284F">
        <w:rPr>
          <w:rFonts w:eastAsia="Times New Roman"/>
          <w:color w:val="000000"/>
          <w:sz w:val="24"/>
          <w:lang w:val="sq-AL"/>
        </w:rPr>
        <w:t xml:space="preserve">ë saj të trajnimit, duke përfshirë trajnimin mbi masat parandaluese. Ekziston nevoja për të promovuar </w:t>
      </w:r>
      <w:r w:rsidRPr="00A6284F">
        <w:rPr>
          <w:rFonts w:eastAsia="Times New Roman"/>
          <w:b/>
          <w:bCs/>
          <w:color w:val="000000"/>
          <w:sz w:val="24"/>
          <w:lang w:val="sq-AL"/>
        </w:rPr>
        <w:t>integritetin në shërbimin publik</w:t>
      </w:r>
      <w:r w:rsidRPr="00A6284F">
        <w:rPr>
          <w:rFonts w:eastAsia="Times New Roman"/>
          <w:color w:val="000000"/>
          <w:sz w:val="24"/>
          <w:lang w:val="sq-AL"/>
        </w:rPr>
        <w:t xml:space="preserve"> si një mjet për të parandaluar korrupsionin dhe për të siguruar disiplinë. Agjencia Kundër Korrupsionit ka punuar në baza vullnetare lidhur me hartimin e planeve të integritetit për pesë komuna, së bashku me partnerë ndërkombëtarë.</w:t>
      </w:r>
    </w:p>
    <w:p w:rsidR="00F57B39" w:rsidRPr="00A6284F" w:rsidRDefault="00F57B39" w:rsidP="00F57B39">
      <w:pPr>
        <w:spacing w:before="125" w:line="274" w:lineRule="exact"/>
        <w:ind w:left="144"/>
        <w:textAlignment w:val="baseline"/>
        <w:rPr>
          <w:rFonts w:eastAsia="Times New Roman"/>
          <w:i/>
          <w:color w:val="000000"/>
          <w:sz w:val="24"/>
          <w:lang w:val="sq-AL"/>
        </w:rPr>
      </w:pPr>
      <w:r w:rsidRPr="00A6284F">
        <w:rPr>
          <w:rFonts w:eastAsia="Times New Roman"/>
          <w:i/>
          <w:color w:val="000000"/>
          <w:sz w:val="24"/>
          <w:lang w:val="sq-AL"/>
        </w:rPr>
        <w:t>Zbatimi i ligjit</w:t>
      </w:r>
    </w:p>
    <w:p w:rsidR="00F57B39" w:rsidRPr="00A6284F" w:rsidRDefault="00F57B39" w:rsidP="00F57B39">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bCs/>
          <w:color w:val="000000"/>
          <w:sz w:val="24"/>
          <w:lang w:val="sq-AL"/>
        </w:rPr>
        <w:t>institucione të specializuara</w:t>
      </w:r>
      <w:r w:rsidRPr="00A6284F">
        <w:rPr>
          <w:rFonts w:eastAsia="Times New Roman"/>
          <w:color w:val="000000"/>
          <w:sz w:val="24"/>
          <w:lang w:val="sq-AL"/>
        </w:rPr>
        <w:t xml:space="preserve"> për luftimin e korrupsionit: Koordinatori Kombëtar kundër Krimeve Ekonomike, Koordinatori kundër Korrupsionit i emëruar nga Kryeprokurori i Shtetit dhe Drejtoria e Policisë për Hetimin e Krimeve Ekonomike dhe Korrupsionit, që ka edhe njësitë </w:t>
      </w:r>
      <w:proofErr w:type="spellStart"/>
      <w:r w:rsidRPr="00A6284F">
        <w:rPr>
          <w:rFonts w:eastAsia="Times New Roman"/>
          <w:color w:val="000000"/>
          <w:sz w:val="24"/>
          <w:lang w:val="sq-AL"/>
        </w:rPr>
        <w:t>antikorrupsion</w:t>
      </w:r>
      <w:proofErr w:type="spellEnd"/>
      <w:r w:rsidRPr="00A6284F">
        <w:rPr>
          <w:rFonts w:eastAsia="Times New Roman"/>
          <w:color w:val="000000"/>
          <w:sz w:val="24"/>
          <w:lang w:val="sq-AL"/>
        </w:rPr>
        <w:t xml:space="preserve"> në stacione policore dhe në zyrën qendrore. Secila prokurori themelore ka një prokuror kundër korrupsionit, si dhe dy prokurorë emërohen nga kryetari i Prokurorisë Speciale për të trajtuar rastet e korrupsionit të nivelit të lartë. Departamentet për krime të rënda të Gjykatave Themelore të Kosovës deri më tani kanë trajtuar të gjitha rastet e korrupsionit. Pas miratimit të Ligjit të ri për Gjykata në dhjetor 2018, departamentet e veçanta në Gjykatën Themelore të Prishtinës dhe Gjykatën e Apelit do t'i trajtojnë të gjitha rastet e Prokurorisë Speciale, duke përfshirë edhe rastet e korrupsionit.</w:t>
      </w:r>
    </w:p>
    <w:p w:rsidR="00F57B39" w:rsidRPr="00A6284F" w:rsidRDefault="00F57B39" w:rsidP="00F57B39">
      <w:pPr>
        <w:spacing w:before="120" w:after="41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Hetimet dhe aktakuzat duhet të kenë cilësi më të lartë, si dhe rastet duhen prezantuar më mirë para gjykatave. </w:t>
      </w:r>
      <w:r w:rsidRPr="00A6284F">
        <w:rPr>
          <w:rFonts w:eastAsia="Times New Roman"/>
          <w:b/>
          <w:bCs/>
          <w:color w:val="000000"/>
          <w:sz w:val="24"/>
          <w:lang w:val="sq-AL"/>
        </w:rPr>
        <w:t>Prokuroria Speciale</w:t>
      </w:r>
      <w:r w:rsidRPr="00A6284F">
        <w:rPr>
          <w:rFonts w:eastAsia="Times New Roman"/>
          <w:color w:val="000000"/>
          <w:sz w:val="24"/>
          <w:lang w:val="sq-AL"/>
        </w:rPr>
        <w:t xml:space="preserve"> nuk ka staf të mjaftueshëm të specializuar me nivelin e duhur të trajnimit dhe kompetencës për t’u marrë me rastet financiare, duke përfshirë rastet e prokurimit. Trajnimet e përbashkëta, </w:t>
      </w:r>
      <w:proofErr w:type="spellStart"/>
      <w:r w:rsidRPr="00A6284F">
        <w:rPr>
          <w:rFonts w:eastAsia="Times New Roman"/>
          <w:color w:val="000000"/>
          <w:sz w:val="24"/>
          <w:lang w:val="sq-AL"/>
        </w:rPr>
        <w:t>multidisiplinare</w:t>
      </w:r>
      <w:proofErr w:type="spellEnd"/>
      <w:r w:rsidRPr="00A6284F">
        <w:rPr>
          <w:rFonts w:eastAsia="Times New Roman"/>
          <w:color w:val="000000"/>
          <w:sz w:val="24"/>
          <w:lang w:val="sq-AL"/>
        </w:rPr>
        <w:t xml:space="preserve"> në shërbim mbi krimet ekonomike dhe korrupsion për policinë, prokurorët dhe gjykatësit mbeten të domosdoshme. Numri i prokurorëve të specializuar duhet rritur, veçanërisht në vazhdën e dorëzimit të rasteve të EULEX-it tek prokurorët vendorë. Për të lehtësuar këtë proces, Ligji i ndryshuar për Prokurorin e Shtetit u miratua dhe hyri në fuqi në prill 2018. Që atëherë, 5 prokurorë janë rekrutuar në Prokurorinë Speciale, duke e çuar numrin e përgjithshëm të prokurorëve në 15 nga 18 siç ishte planifikuar.</w:t>
      </w:r>
    </w:p>
    <w:p w:rsidR="00F57B39" w:rsidRPr="00A6284F" w:rsidRDefault="00F57B39" w:rsidP="00F57B39">
      <w:pPr>
        <w:spacing w:before="118" w:line="276" w:lineRule="exact"/>
        <w:ind w:left="144" w:right="144"/>
        <w:jc w:val="both"/>
        <w:textAlignment w:val="baseline"/>
        <w:rPr>
          <w:rFonts w:eastAsia="Times New Roman"/>
          <w:b/>
          <w:color w:val="000000"/>
          <w:sz w:val="24"/>
          <w:lang w:val="sq-AL"/>
        </w:rPr>
      </w:pPr>
      <w:r w:rsidRPr="00A6284F">
        <w:rPr>
          <w:rFonts w:eastAsia="Times New Roman"/>
          <w:b/>
          <w:bCs/>
          <w:color w:val="000000"/>
          <w:sz w:val="24"/>
          <w:lang w:val="sq-AL"/>
        </w:rPr>
        <w:t>Hetimet financiare</w:t>
      </w:r>
      <w:r w:rsidRPr="00A6284F">
        <w:rPr>
          <w:rFonts w:eastAsia="Times New Roman"/>
          <w:color w:val="000000"/>
          <w:sz w:val="24"/>
          <w:lang w:val="sq-AL"/>
        </w:rPr>
        <w:t xml:space="preserve"> ende nuk iniciohen sistematikisht në rastet e korrupsionit dhe krimit të organizuar. Kosova duhet të aplikojë konceptin e hetimeve financiare në pajtim me standardet e </w:t>
      </w:r>
      <w:proofErr w:type="spellStart"/>
      <w:r w:rsidRPr="00A6284F">
        <w:rPr>
          <w:rFonts w:eastAsia="Times New Roman"/>
          <w:color w:val="000000"/>
          <w:sz w:val="24"/>
          <w:lang w:val="sq-AL"/>
        </w:rPr>
        <w:t>Task</w:t>
      </w:r>
      <w:proofErr w:type="spellEnd"/>
      <w:r w:rsidRPr="00A6284F">
        <w:rPr>
          <w:rFonts w:eastAsia="Times New Roman"/>
          <w:color w:val="000000"/>
          <w:sz w:val="24"/>
          <w:lang w:val="sq-AL"/>
        </w:rPr>
        <w:t xml:space="preserve"> Forcës Vepruese Financiare (FATF)</w:t>
      </w:r>
      <w:r w:rsidRPr="00A6284F">
        <w:rPr>
          <w:rFonts w:eastAsia="Times New Roman"/>
          <w:i/>
          <w:iCs/>
          <w:color w:val="000000"/>
          <w:sz w:val="24"/>
          <w:lang w:val="sq-AL"/>
        </w:rPr>
        <w:t>(shih pjesën për krimin e organizuar)</w:t>
      </w:r>
      <w:r w:rsidRPr="00A6284F">
        <w:rPr>
          <w:rFonts w:eastAsia="Times New Roman"/>
          <w:color w:val="000000"/>
          <w:sz w:val="24"/>
          <w:lang w:val="sq-AL"/>
        </w:rPr>
        <w:t xml:space="preserve">. Policia, </w:t>
      </w:r>
      <w:r w:rsidRPr="00A6284F">
        <w:rPr>
          <w:rFonts w:eastAsia="Times New Roman"/>
          <w:color w:val="000000"/>
          <w:sz w:val="24"/>
          <w:lang w:val="sq-AL"/>
        </w:rPr>
        <w:lastRenderedPageBreak/>
        <w:t xml:space="preserve">prokurorët dhe gjyqtarët kanë nevojë për trajnime të vazhdueshme të specializuara për konfiskimin e pasurisë dhe pastrimin e parave. Akademia e Drejtësisë realizoi shtatë kurse trajnimi të specializuara për gjyqtarë dhe prokurorë, duke u fokusuar në prokurimin publik dhe luftën kundër korrupsionit, pastrimin e parave dhe krimin </w:t>
      </w:r>
      <w:proofErr w:type="spellStart"/>
      <w:r w:rsidRPr="00A6284F">
        <w:rPr>
          <w:rFonts w:eastAsia="Times New Roman"/>
          <w:color w:val="000000"/>
          <w:sz w:val="24"/>
          <w:lang w:val="sq-AL"/>
        </w:rPr>
        <w:t>kibernetik</w:t>
      </w:r>
      <w:proofErr w:type="spellEnd"/>
      <w:r w:rsidRPr="00A6284F">
        <w:rPr>
          <w:rFonts w:eastAsia="Times New Roman"/>
          <w:color w:val="000000"/>
          <w:sz w:val="24"/>
          <w:lang w:val="sq-AL"/>
        </w:rPr>
        <w:t>. Megjithatë, këto kurse nuk u ndoqën me përkushtim.</w:t>
      </w:r>
    </w:p>
    <w:p w:rsidR="00F57B39" w:rsidRPr="00A6284F" w:rsidRDefault="00F57B39" w:rsidP="00F57B39">
      <w:pPr>
        <w:spacing w:before="125"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Korniza ligjore </w:t>
      </w:r>
    </w:p>
    <w:p w:rsidR="00F57B39" w:rsidRPr="00A6284F" w:rsidRDefault="00F57B39" w:rsidP="00F57B39">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Dispozitat e të drejtës penale mbi korrupsionin janë përgjithësisht në pajtim me standardet relevante evropiane. Kosova nuk është anëtare në shumicën e konventave ndërkombëtare kundër korrupsionit, duke përfshirë Konventën e Kombeve të Bashkuara kundër Korrupsionit, për shkak të çështjeve </w:t>
      </w:r>
      <w:r w:rsidR="00BD4D0B" w:rsidRPr="00A6284F">
        <w:rPr>
          <w:rFonts w:eastAsia="Times New Roman"/>
          <w:color w:val="000000"/>
          <w:sz w:val="24"/>
          <w:lang w:val="sq-AL"/>
        </w:rPr>
        <w:t xml:space="preserve">që </w:t>
      </w:r>
      <w:r w:rsidRPr="00A6284F">
        <w:rPr>
          <w:rFonts w:eastAsia="Times New Roman"/>
          <w:color w:val="000000"/>
          <w:sz w:val="24"/>
          <w:lang w:val="sq-AL"/>
        </w:rPr>
        <w:t>lidh</w:t>
      </w:r>
      <w:r w:rsidR="00BD4D0B" w:rsidRPr="00A6284F">
        <w:rPr>
          <w:rFonts w:eastAsia="Times New Roman"/>
          <w:color w:val="000000"/>
          <w:sz w:val="24"/>
          <w:lang w:val="sq-AL"/>
        </w:rPr>
        <w:t xml:space="preserve">en </w:t>
      </w:r>
      <w:r w:rsidRPr="00A6284F">
        <w:rPr>
          <w:rFonts w:eastAsia="Times New Roman"/>
          <w:color w:val="000000"/>
          <w:sz w:val="24"/>
          <w:lang w:val="sq-AL"/>
        </w:rPr>
        <w:t>me statusin e saj. Megjithatë, Kosova ka bërë përpjekje të konsiderueshme për të harmonizuar legjislacionin e saj me këto instrumente.</w:t>
      </w:r>
    </w:p>
    <w:p w:rsidR="00F57B39" w:rsidRPr="00A6284F" w:rsidRDefault="00F57B39" w:rsidP="00F57B39">
      <w:pPr>
        <w:spacing w:before="118" w:line="276" w:lineRule="exact"/>
        <w:ind w:left="144" w:right="144"/>
        <w:jc w:val="both"/>
        <w:textAlignment w:val="baseline"/>
        <w:rPr>
          <w:rFonts w:eastAsia="Times New Roman"/>
          <w:color w:val="000000"/>
          <w:sz w:val="24"/>
          <w:lang w:val="sq-AL"/>
        </w:rPr>
      </w:pPr>
      <w:r w:rsidRPr="00A6284F">
        <w:rPr>
          <w:rFonts w:eastAsia="Times New Roman"/>
          <w:b/>
          <w:bCs/>
          <w:color w:val="000000"/>
          <w:sz w:val="24"/>
          <w:lang w:val="sq-AL"/>
        </w:rPr>
        <w:t>Kodi Penal</w:t>
      </w:r>
      <w:r w:rsidRPr="00A6284F">
        <w:rPr>
          <w:rFonts w:eastAsia="Times New Roman"/>
          <w:color w:val="000000"/>
          <w:sz w:val="24"/>
          <w:lang w:val="sq-AL"/>
        </w:rPr>
        <w:t xml:space="preserve"> i miratuar </w:t>
      </w:r>
      <w:r w:rsidR="00BD4D0B" w:rsidRPr="00A6284F">
        <w:rPr>
          <w:rFonts w:eastAsia="Times New Roman"/>
          <w:color w:val="000000"/>
          <w:sz w:val="24"/>
          <w:lang w:val="sq-AL"/>
        </w:rPr>
        <w:t>së fundmi</w:t>
      </w:r>
      <w:r w:rsidRPr="00A6284F">
        <w:rPr>
          <w:rFonts w:eastAsia="Times New Roman"/>
          <w:color w:val="000000"/>
          <w:sz w:val="24"/>
          <w:lang w:val="sq-AL"/>
        </w:rPr>
        <w:t xml:space="preserve"> </w:t>
      </w:r>
      <w:r w:rsidR="00BD4D0B" w:rsidRPr="00A6284F">
        <w:rPr>
          <w:rFonts w:eastAsia="Times New Roman"/>
          <w:color w:val="000000"/>
          <w:sz w:val="24"/>
          <w:lang w:val="sq-AL"/>
        </w:rPr>
        <w:t xml:space="preserve">ka </w:t>
      </w:r>
      <w:r w:rsidRPr="00A6284F">
        <w:rPr>
          <w:rFonts w:eastAsia="Times New Roman"/>
          <w:color w:val="000000"/>
          <w:sz w:val="24"/>
          <w:lang w:val="sq-AL"/>
        </w:rPr>
        <w:t>ndrysh</w:t>
      </w:r>
      <w:r w:rsidR="00BD4D0B" w:rsidRPr="00A6284F">
        <w:rPr>
          <w:rFonts w:eastAsia="Times New Roman"/>
          <w:color w:val="000000"/>
          <w:sz w:val="24"/>
          <w:lang w:val="sq-AL"/>
        </w:rPr>
        <w:t xml:space="preserve">uar </w:t>
      </w:r>
      <w:r w:rsidRPr="00A6284F">
        <w:rPr>
          <w:rFonts w:eastAsia="Times New Roman"/>
          <w:color w:val="000000"/>
          <w:sz w:val="24"/>
          <w:lang w:val="sq-AL"/>
        </w:rPr>
        <w:t xml:space="preserve">disa dispozita lidhur me korrupsionin, përfshirë korrupsionin në sektorin privat. Gjithashtu, Kodi i Procedurës Penale është rishikuar në thelb dhe është nën shqyrtim në Kuvend. Kodet përfshijnë dispozita që kërkojnë pezullimin dhe heqjen e zyrtarëve publikë të paditur dhe të dënuar për korrupsion. </w:t>
      </w:r>
      <w:r w:rsidRPr="00A6284F">
        <w:rPr>
          <w:rFonts w:eastAsia="Times New Roman"/>
          <w:b/>
          <w:bCs/>
          <w:color w:val="000000"/>
          <w:sz w:val="24"/>
          <w:lang w:val="sq-AL"/>
        </w:rPr>
        <w:t>Ligji i ri për kompetencat e zgjeruara të konfiskimit</w:t>
      </w:r>
      <w:r w:rsidRPr="00A6284F">
        <w:rPr>
          <w:rFonts w:eastAsia="Times New Roman"/>
          <w:color w:val="000000"/>
          <w:sz w:val="24"/>
          <w:lang w:val="sq-AL"/>
        </w:rPr>
        <w:t xml:space="preserve"> përbën një përmirësim thelbësor në luftën kundër korrupsionit. Ai parasheh mjete të thjeshta dhe të fuqishme për konfiskimin e pasurisë, duke përfshirë ato për të cilat nuk mund të shpjegohet origjina </w:t>
      </w:r>
      <w:r w:rsidRPr="00A6284F">
        <w:rPr>
          <w:rFonts w:eastAsia="Times New Roman"/>
          <w:i/>
          <w:iCs/>
          <w:color w:val="000000"/>
          <w:sz w:val="24"/>
          <w:lang w:val="sq-AL"/>
        </w:rPr>
        <w:t>(shih pjesën për luftën kundër krimit të organizuar</w:t>
      </w:r>
      <w:r w:rsidRPr="00A6284F">
        <w:rPr>
          <w:rFonts w:eastAsia="Times New Roman"/>
          <w:i/>
          <w:color w:val="000000"/>
          <w:sz w:val="24"/>
          <w:lang w:val="sq-AL"/>
        </w:rPr>
        <w:t xml:space="preserve">). </w:t>
      </w:r>
      <w:r w:rsidRPr="00A6284F">
        <w:rPr>
          <w:rFonts w:eastAsia="Times New Roman"/>
          <w:color w:val="000000"/>
          <w:sz w:val="24"/>
          <w:lang w:val="sq-AL"/>
        </w:rPr>
        <w:t>Ky ligj tani duhet të zbatohet për të sjellë rezultate. Përveç kësaj, ligji për parandalimin e pastrimit të parave përcakton qartë se vepra penale nuk duhet të dëshmohet për të imponuar një dënim për pastrimin e parave para se pasuria të mund të konfiskohet. Prokurorët dhe gjyqtarët duhet ta zbatojnë këtë në mënyrë të plotë.</w:t>
      </w:r>
    </w:p>
    <w:p w:rsidR="00F57B39" w:rsidRPr="00A6284F" w:rsidRDefault="00F57B39" w:rsidP="00F57B39">
      <w:pPr>
        <w:spacing w:before="122" w:line="276" w:lineRule="exact"/>
        <w:ind w:left="144" w:right="144"/>
        <w:jc w:val="both"/>
        <w:textAlignment w:val="baseline"/>
        <w:rPr>
          <w:rFonts w:eastAsia="Times New Roman"/>
          <w:color w:val="000000"/>
          <w:sz w:val="24"/>
          <w:lang w:val="sq-AL"/>
        </w:rPr>
      </w:pPr>
      <w:r w:rsidRPr="00A6284F">
        <w:rPr>
          <w:rFonts w:eastAsia="Times New Roman"/>
          <w:b/>
          <w:bCs/>
          <w:color w:val="000000"/>
          <w:sz w:val="24"/>
          <w:lang w:val="sq-AL"/>
        </w:rPr>
        <w:t xml:space="preserve">Ligji për parandalimin e konfliktit të interesit </w:t>
      </w:r>
      <w:r w:rsidRPr="00A6284F">
        <w:rPr>
          <w:rFonts w:eastAsia="Times New Roman"/>
          <w:color w:val="000000"/>
          <w:sz w:val="24"/>
          <w:lang w:val="sq-AL"/>
        </w:rPr>
        <w:t xml:space="preserve">u rishikua dhe u miratua nga Kuvendi në prill 2018 dhe duhet të zbatohet plotësisht. Disa zyrtarë publik të nivelit të lartë ende kanë dy ose më shumë poste, gjë që bie në kundërshtim me dispozitat e ligjit. </w:t>
      </w:r>
      <w:r w:rsidRPr="00A6284F">
        <w:rPr>
          <w:rFonts w:eastAsia="Times New Roman"/>
          <w:b/>
          <w:bCs/>
          <w:color w:val="000000"/>
          <w:sz w:val="24"/>
          <w:lang w:val="sq-AL"/>
        </w:rPr>
        <w:t>Ligji për Prokurorin e Shtetit</w:t>
      </w:r>
      <w:r w:rsidRPr="00A6284F">
        <w:rPr>
          <w:rFonts w:eastAsia="Times New Roman"/>
          <w:color w:val="000000"/>
          <w:sz w:val="24"/>
          <w:lang w:val="sq-AL"/>
        </w:rPr>
        <w:t>, i cili lehtësoi rritjen e numrit të prokurorëve në Prokurorinë Speciale, po ashtu u rishikua dhe u harmonizua edhe më tej me standardet evropiane.</w:t>
      </w:r>
    </w:p>
    <w:p w:rsidR="00F57B39" w:rsidRPr="00A6284F" w:rsidRDefault="00F57B39" w:rsidP="00F57B39">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Me kërkesën e Kosovës, Komisioni i Venecias, në qershor të vitit 2018, lëshoi një Opinion mbi projektligjin për ndryshimin dhe plotësimin e </w:t>
      </w:r>
      <w:r w:rsidRPr="00A6284F">
        <w:rPr>
          <w:rFonts w:eastAsia="Times New Roman"/>
          <w:b/>
          <w:bCs/>
          <w:color w:val="000000"/>
          <w:sz w:val="24"/>
          <w:lang w:val="sq-AL"/>
        </w:rPr>
        <w:t>Ligjit për financimin e subjekteve politike</w:t>
      </w:r>
      <w:r w:rsidRPr="00A6284F">
        <w:rPr>
          <w:rFonts w:eastAsia="Times New Roman"/>
          <w:color w:val="000000"/>
          <w:sz w:val="24"/>
          <w:lang w:val="sq-AL"/>
        </w:rPr>
        <w:t>. Rishikimi i legjislacionit aktual duhet të marrë parasysh rekomandimet e Komisionit të Venecias dhe të synojë të sigurojë transparencë, llogaridhënie dhe zbatim efektiv, duke përfshirë sanksionet e përcaktuara qartë.</w:t>
      </w:r>
    </w:p>
    <w:p w:rsidR="00F57B39" w:rsidRPr="00A6284F" w:rsidRDefault="00F57B39" w:rsidP="007409FF">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Kosova duhet të ndërmarrë masa që mundësojnë hetimin efektiv të </w:t>
      </w:r>
      <w:r w:rsidRPr="00A6284F">
        <w:rPr>
          <w:rFonts w:eastAsia="Times New Roman"/>
          <w:b/>
          <w:bCs/>
          <w:color w:val="000000"/>
          <w:spacing w:val="-1"/>
          <w:sz w:val="24"/>
          <w:lang w:val="sq-AL"/>
        </w:rPr>
        <w:t>pasurisë së pashpjegueshme</w:t>
      </w:r>
      <w:r w:rsidRPr="00A6284F">
        <w:rPr>
          <w:rFonts w:eastAsia="Times New Roman"/>
          <w:color w:val="000000"/>
          <w:spacing w:val="-1"/>
          <w:sz w:val="24"/>
          <w:lang w:val="sq-AL"/>
        </w:rPr>
        <w:t xml:space="preserve">. Ende nuk ekziston një sistem efikas për </w:t>
      </w:r>
      <w:r w:rsidRPr="00A6284F">
        <w:rPr>
          <w:rFonts w:eastAsia="Times New Roman"/>
          <w:b/>
          <w:bCs/>
          <w:color w:val="000000"/>
          <w:spacing w:val="-1"/>
          <w:sz w:val="24"/>
          <w:lang w:val="sq-AL"/>
        </w:rPr>
        <w:t>deklarimin, prejardhjen dhe kontrollimin e pasurisë së zyrtarëve të lartë publikë</w:t>
      </w:r>
      <w:r w:rsidRPr="00A6284F">
        <w:rPr>
          <w:rFonts w:eastAsia="Times New Roman"/>
          <w:color w:val="000000"/>
          <w:spacing w:val="-1"/>
          <w:sz w:val="24"/>
          <w:lang w:val="sq-AL"/>
        </w:rPr>
        <w:t xml:space="preserve"> si dhe </w:t>
      </w:r>
      <w:r w:rsidRPr="00A6284F">
        <w:rPr>
          <w:rFonts w:eastAsia="Times New Roman"/>
          <w:b/>
          <w:bCs/>
          <w:color w:val="000000"/>
          <w:spacing w:val="-1"/>
          <w:sz w:val="24"/>
          <w:lang w:val="sq-AL"/>
        </w:rPr>
        <w:t>deklarimin, prejardhjen dhe kontrollimin e dhuratave për të gjithë personat zyrtarë</w:t>
      </w:r>
      <w:r w:rsidRPr="00A6284F">
        <w:rPr>
          <w:rFonts w:eastAsia="Times New Roman"/>
          <w:color w:val="000000"/>
          <w:spacing w:val="-1"/>
          <w:sz w:val="24"/>
          <w:lang w:val="sq-AL"/>
        </w:rPr>
        <w:t xml:space="preserve">. Duhet të hartohen dhe të finalizohen ndryshime ndaj legjislacionit përkatës, së bashku me ndryshimin e Ligjit për Agjencinë Kundër Korrupsionit, me qëllim që Agjencisë t'i ofrohen më shumë kompetenca të fuqishme për të verifikuar deklarimet e pasurive dhe për ta bërë sistemin e deklarimit më efektiv në trajtimin e ryshfeteve. Kosova nuk ka legjislacion të veçantë për </w:t>
      </w:r>
      <w:proofErr w:type="spellStart"/>
      <w:r w:rsidRPr="00A6284F">
        <w:rPr>
          <w:rFonts w:eastAsia="Times New Roman"/>
          <w:b/>
          <w:bCs/>
          <w:color w:val="000000"/>
          <w:spacing w:val="-1"/>
          <w:sz w:val="24"/>
          <w:lang w:val="sq-AL"/>
        </w:rPr>
        <w:t>lobim</w:t>
      </w:r>
      <w:proofErr w:type="spellEnd"/>
      <w:r w:rsidRPr="00A6284F">
        <w:rPr>
          <w:rFonts w:eastAsia="Times New Roman"/>
          <w:color w:val="000000"/>
          <w:spacing w:val="-1"/>
          <w:sz w:val="24"/>
          <w:lang w:val="sq-AL"/>
        </w:rPr>
        <w:t xml:space="preserve">. Një ligj i ri për mbrojtjen e </w:t>
      </w:r>
      <w:r w:rsidRPr="00A6284F">
        <w:rPr>
          <w:rFonts w:eastAsia="Times New Roman"/>
          <w:b/>
          <w:bCs/>
          <w:color w:val="000000"/>
          <w:spacing w:val="-1"/>
          <w:sz w:val="24"/>
          <w:lang w:val="sq-AL"/>
        </w:rPr>
        <w:t>informatorëve</w:t>
      </w:r>
      <w:r w:rsidRPr="00A6284F">
        <w:rPr>
          <w:rFonts w:eastAsia="Times New Roman"/>
          <w:color w:val="000000"/>
          <w:spacing w:val="-1"/>
          <w:sz w:val="24"/>
          <w:lang w:val="sq-AL"/>
        </w:rPr>
        <w:t xml:space="preserve">, i miratuar në nëntor </w:t>
      </w:r>
      <w:r w:rsidR="007409FF" w:rsidRPr="00A6284F">
        <w:rPr>
          <w:rFonts w:eastAsia="Times New Roman"/>
          <w:color w:val="000000"/>
          <w:spacing w:val="-1"/>
          <w:sz w:val="24"/>
          <w:lang w:val="sq-AL"/>
        </w:rPr>
        <w:t xml:space="preserve">të vitit </w:t>
      </w:r>
      <w:r w:rsidRPr="00A6284F">
        <w:rPr>
          <w:rFonts w:eastAsia="Times New Roman"/>
          <w:color w:val="000000"/>
          <w:spacing w:val="-1"/>
          <w:sz w:val="24"/>
          <w:lang w:val="sq-AL"/>
        </w:rPr>
        <w:t xml:space="preserve">2018, harmonizon më tej kornizën ligjore me standardet ndërkombëtare. Ai do të duhet të përafrohet me </w:t>
      </w:r>
      <w:r w:rsidRPr="00A6284F">
        <w:rPr>
          <w:rFonts w:eastAsia="Times New Roman"/>
          <w:i/>
          <w:iCs/>
          <w:color w:val="000000"/>
          <w:spacing w:val="-1"/>
          <w:sz w:val="24"/>
          <w:lang w:val="sq-AL"/>
        </w:rPr>
        <w:t>acquis</w:t>
      </w:r>
      <w:r w:rsidRPr="00A6284F">
        <w:rPr>
          <w:rFonts w:eastAsia="Times New Roman"/>
          <w:color w:val="000000"/>
          <w:spacing w:val="-1"/>
          <w:sz w:val="24"/>
          <w:lang w:val="sq-AL"/>
        </w:rPr>
        <w:t>-in e ri të BE-së në këtë çështje. Fuqizimi i mekanizmave informativ dhe kërkesat për mbrojtje tani duhet të zbatohen në praktikë</w:t>
      </w:r>
      <w:r w:rsidRPr="00A6284F">
        <w:rPr>
          <w:rFonts w:eastAsia="Times New Roman"/>
          <w:color w:val="000000"/>
          <w:sz w:val="24"/>
          <w:lang w:val="sq-AL"/>
        </w:rPr>
        <w:t>.</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do të duhet të sigurojë </w:t>
      </w:r>
      <w:proofErr w:type="spellStart"/>
      <w:r w:rsidRPr="00A6284F">
        <w:rPr>
          <w:rFonts w:eastAsia="Times New Roman"/>
          <w:color w:val="000000"/>
          <w:sz w:val="24"/>
          <w:lang w:val="sq-AL"/>
        </w:rPr>
        <w:t>buxhetim</w:t>
      </w:r>
      <w:proofErr w:type="spellEnd"/>
      <w:r w:rsidRPr="00A6284F">
        <w:rPr>
          <w:rFonts w:eastAsia="Times New Roman"/>
          <w:color w:val="000000"/>
          <w:sz w:val="24"/>
          <w:lang w:val="sq-AL"/>
        </w:rPr>
        <w:t xml:space="preserve"> të duhur, trajnim dhe ndërgjegjësim për të zbatuar në mënyrë efektive këtë kornizë ligjore të rishikuar.</w:t>
      </w:r>
    </w:p>
    <w:p w:rsidR="00F57B39" w:rsidRPr="00A6284F" w:rsidRDefault="00F57B39" w:rsidP="00F57B39">
      <w:pPr>
        <w:spacing w:before="126"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Korniza strategjike</w:t>
      </w:r>
    </w:p>
    <w:p w:rsidR="00F57B39" w:rsidRPr="00A6284F" w:rsidRDefault="00F57B39" w:rsidP="00F57B39">
      <w:pPr>
        <w:spacing w:before="118" w:line="276" w:lineRule="exact"/>
        <w:ind w:left="144" w:right="144"/>
        <w:jc w:val="both"/>
        <w:textAlignment w:val="baseline"/>
        <w:rPr>
          <w:rFonts w:eastAsia="Times New Roman"/>
          <w:color w:val="000000"/>
          <w:sz w:val="24"/>
          <w:lang w:val="sq-AL"/>
        </w:rPr>
      </w:pPr>
      <w:r w:rsidRPr="00A6284F">
        <w:rPr>
          <w:rFonts w:eastAsia="Times New Roman"/>
          <w:b/>
          <w:bCs/>
          <w:color w:val="000000"/>
          <w:sz w:val="24"/>
          <w:lang w:val="sq-AL"/>
        </w:rPr>
        <w:t>Strategjia dhe Plani i Veprimit Kundër Korrupsionit 2018-22</w:t>
      </w:r>
      <w:r w:rsidRPr="00A6284F">
        <w:rPr>
          <w:rFonts w:eastAsia="Times New Roman"/>
          <w:color w:val="000000"/>
          <w:sz w:val="24"/>
          <w:lang w:val="sq-AL"/>
        </w:rPr>
        <w:t xml:space="preserve"> u hartuan pas një procesi konsultimi dhe u miratuan nga qeveria në mars</w:t>
      </w:r>
      <w:r w:rsidR="007409FF" w:rsidRPr="00A6284F">
        <w:rPr>
          <w:rFonts w:eastAsia="Times New Roman"/>
          <w:color w:val="000000"/>
          <w:sz w:val="24"/>
          <w:lang w:val="sq-AL"/>
        </w:rPr>
        <w:t xml:space="preserve"> të vitit</w:t>
      </w:r>
      <w:r w:rsidRPr="00A6284F">
        <w:rPr>
          <w:rFonts w:eastAsia="Times New Roman"/>
          <w:color w:val="000000"/>
          <w:sz w:val="24"/>
          <w:lang w:val="sq-AL"/>
        </w:rPr>
        <w:t xml:space="preserve"> 2018, por nuk u dërguan në Kuvend </w:t>
      </w:r>
      <w:r w:rsidRPr="00A6284F">
        <w:rPr>
          <w:rFonts w:eastAsia="Times New Roman"/>
          <w:color w:val="000000"/>
          <w:sz w:val="24"/>
          <w:lang w:val="sq-AL"/>
        </w:rPr>
        <w:lastRenderedPageBreak/>
        <w:t xml:space="preserve">deri në tetor </w:t>
      </w:r>
      <w:r w:rsidR="007409FF" w:rsidRPr="00A6284F">
        <w:rPr>
          <w:rFonts w:eastAsia="Times New Roman"/>
          <w:color w:val="000000"/>
          <w:sz w:val="24"/>
          <w:lang w:val="sq-AL"/>
        </w:rPr>
        <w:t xml:space="preserve">të vitit </w:t>
      </w:r>
      <w:r w:rsidRPr="00A6284F">
        <w:rPr>
          <w:rFonts w:eastAsia="Times New Roman"/>
          <w:color w:val="000000"/>
          <w:sz w:val="24"/>
          <w:lang w:val="sq-AL"/>
        </w:rPr>
        <w:t xml:space="preserve">2018 dhe ende nuk janë aprovuar. Zbatimi i saj ishte penguar nga financimi i pamjaftueshëm dhe nga mungesa e treguesve e matshëm të ndikimit. Qeveria ende ka nevojë të demonstrojë </w:t>
      </w:r>
      <w:proofErr w:type="spellStart"/>
      <w:r w:rsidRPr="00A6284F">
        <w:rPr>
          <w:rFonts w:eastAsia="Times New Roman"/>
          <w:color w:val="000000"/>
          <w:sz w:val="24"/>
          <w:lang w:val="sq-AL"/>
        </w:rPr>
        <w:t>lidership</w:t>
      </w:r>
      <w:proofErr w:type="spellEnd"/>
      <w:r w:rsidRPr="00A6284F">
        <w:rPr>
          <w:rFonts w:eastAsia="Times New Roman"/>
          <w:color w:val="000000"/>
          <w:sz w:val="24"/>
          <w:lang w:val="sq-AL"/>
        </w:rPr>
        <w:t xml:space="preserve"> të vërtetë, aftësi për të praktikuar planifikim paraprak, si dhe vullnet për të ndarë resurse adekuate për luftën ndaj korrupsionit.</w:t>
      </w:r>
      <w:r w:rsidR="007409FF" w:rsidRPr="00A6284F">
        <w:rPr>
          <w:rFonts w:eastAsia="Times New Roman"/>
          <w:color w:val="000000"/>
          <w:sz w:val="24"/>
          <w:lang w:val="sq-AL"/>
        </w:rPr>
        <w:t xml:space="preserve"> </w:t>
      </w:r>
      <w:r w:rsidRPr="00A6284F">
        <w:rPr>
          <w:rFonts w:eastAsia="Times New Roman"/>
          <w:color w:val="000000"/>
          <w:sz w:val="24"/>
          <w:lang w:val="sq-AL"/>
        </w:rPr>
        <w:t>Duhet të krijohet një mekanizëm monitorimi për të vlerësuar rregullisht ndikimin e Strategjisë së re dhe Planit të Veprimit.</w:t>
      </w:r>
    </w:p>
    <w:p w:rsidR="00F57B39" w:rsidRPr="00A6284F" w:rsidRDefault="00F57B39" w:rsidP="00F57B39">
      <w:pPr>
        <w:spacing w:before="127" w:after="104" w:line="274" w:lineRule="exact"/>
        <w:ind w:left="144"/>
        <w:textAlignment w:val="baseline"/>
        <w:rPr>
          <w:rFonts w:eastAsia="Times New Roman"/>
          <w:b/>
          <w:color w:val="000000"/>
          <w:sz w:val="24"/>
          <w:lang w:val="sq-AL"/>
        </w:rPr>
      </w:pPr>
      <w:r w:rsidRPr="00A6284F">
        <w:rPr>
          <w:rFonts w:eastAsia="Times New Roman"/>
          <w:b/>
          <w:color w:val="000000"/>
          <w:sz w:val="24"/>
          <w:lang w:val="sq-AL"/>
        </w:rPr>
        <w:t>Të drejtat themelore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F57B39" w:rsidRPr="00A6284F" w:rsidTr="007E58F5">
        <w:trPr>
          <w:trHeight w:hRule="exact" w:val="9754"/>
        </w:trPr>
        <w:tc>
          <w:tcPr>
            <w:tcW w:w="9360" w:type="dxa"/>
            <w:tcBorders>
              <w:top w:val="single" w:sz="5" w:space="0" w:color="000000"/>
              <w:left w:val="single" w:sz="5" w:space="0" w:color="000000"/>
              <w:bottom w:val="single" w:sz="5" w:space="0" w:color="000000"/>
              <w:right w:val="single" w:sz="5" w:space="0" w:color="000000"/>
            </w:tcBorders>
            <w:shd w:val="clear" w:color="F1F1F1" w:fill="F1F1F1"/>
          </w:tcPr>
          <w:p w:rsidR="00F57B39" w:rsidRPr="00A6284F" w:rsidRDefault="00F57B39" w:rsidP="007E58F5">
            <w:pPr>
              <w:spacing w:before="2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Korniza ligjore gjerësisht garanton mbrojtjen e të drejtave të njeriut dhe të drejtave themelore në përputhje me standardet Evropiane. Megjithatë, nevojiten përpjekje shtesë për ta zbatuar atë. Zbatimi i legjislacionit dhe strategjive për të drejta të njeriut shpesh dobësohet nga burimet joadekuate financiare dhe burimet tjera (veçanërisht në nivelin lokal), </w:t>
            </w:r>
            <w:proofErr w:type="spellStart"/>
            <w:r w:rsidRPr="00A6284F">
              <w:rPr>
                <w:rFonts w:eastAsia="Times New Roman"/>
                <w:color w:val="000000"/>
                <w:sz w:val="24"/>
                <w:lang w:val="sq-AL"/>
              </w:rPr>
              <w:t>prioritizimi</w:t>
            </w:r>
            <w:proofErr w:type="spellEnd"/>
            <w:r w:rsidRPr="00A6284F">
              <w:rPr>
                <w:rFonts w:eastAsia="Times New Roman"/>
                <w:color w:val="000000"/>
                <w:sz w:val="24"/>
                <w:lang w:val="sq-AL"/>
              </w:rPr>
              <w:t xml:space="preserve"> i kufizuar politik dhe mungesa e koordinimit. Mekanizmat ekzistues për koordinimin dhe zbatimin e të drejtave të njeriut janë joefektive. Ata ende varen konsiderueshëm </w:t>
            </w:r>
            <w:r w:rsidR="007409FF" w:rsidRPr="00A6284F">
              <w:rPr>
                <w:rFonts w:eastAsia="Times New Roman"/>
                <w:color w:val="000000"/>
                <w:sz w:val="24"/>
                <w:lang w:val="sq-AL"/>
              </w:rPr>
              <w:t>nga</w:t>
            </w:r>
            <w:r w:rsidRPr="00A6284F">
              <w:rPr>
                <w:rFonts w:eastAsia="Times New Roman"/>
                <w:color w:val="000000"/>
                <w:sz w:val="24"/>
                <w:lang w:val="sq-AL"/>
              </w:rPr>
              <w:t xml:space="preserve"> donatorët e huaj.</w:t>
            </w:r>
          </w:p>
          <w:p w:rsidR="00F57B39" w:rsidRPr="00A6284F" w:rsidRDefault="00F57B39" w:rsidP="007E58F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rekomandimeve të vitit të kaluar, Grupi Koordinues Ndërministror për të Drejtat e Njeriut u takua dy herë në vitin 2018, por efektiviteti i tyre mbetet i diskutueshëm. Strategjia për të Drejtat e Fëmijëve 2019-23 u miratua në janar </w:t>
            </w:r>
            <w:r w:rsidR="007409FF" w:rsidRPr="00A6284F">
              <w:rPr>
                <w:rFonts w:eastAsia="Times New Roman"/>
                <w:color w:val="000000"/>
                <w:sz w:val="24"/>
                <w:lang w:val="sq-AL"/>
              </w:rPr>
              <w:t xml:space="preserve">të vitit </w:t>
            </w:r>
            <w:r w:rsidRPr="00A6284F">
              <w:rPr>
                <w:rFonts w:eastAsia="Times New Roman"/>
                <w:color w:val="000000"/>
                <w:sz w:val="24"/>
                <w:lang w:val="sq-AL"/>
              </w:rPr>
              <w:t>2019. Pas gati dy vjet pasivitet</w:t>
            </w:r>
            <w:r w:rsidR="007409FF" w:rsidRPr="00A6284F">
              <w:rPr>
                <w:rFonts w:eastAsia="Times New Roman"/>
                <w:color w:val="000000"/>
                <w:sz w:val="24"/>
                <w:lang w:val="sq-AL"/>
              </w:rPr>
              <w:t>i</w:t>
            </w:r>
            <w:r w:rsidRPr="00A6284F">
              <w:rPr>
                <w:rFonts w:eastAsia="Times New Roman"/>
                <w:color w:val="000000"/>
                <w:sz w:val="24"/>
                <w:lang w:val="sq-AL"/>
              </w:rPr>
              <w:t xml:space="preserve"> sa i përket të drejtave kulturore, Këshilli për Zbatim dhe Monitorim u takua rregullisht në vitin 2018.</w:t>
            </w:r>
          </w:p>
          <w:p w:rsidR="00F57B39" w:rsidRPr="00A6284F" w:rsidRDefault="00F57B39" w:rsidP="007E58F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Shumë më tepër duhet bërë për t'i adresuar rekomandimet e raportit 2018, të cilat mbeten të vlefshme. Në vitin vijues, Kosova duhet që posaçërisht:</w:t>
            </w:r>
          </w:p>
          <w:p w:rsidR="00F57B39" w:rsidRPr="00A6284F" w:rsidRDefault="00F57B39" w:rsidP="007E58F5">
            <w:pPr>
              <w:spacing w:before="13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rivlerësojë dhe forcojë efikasitetin dhe efektivitetin e mekanizmave për koordinimin dhe zbatimin e të drejtave të njeriut, duke përfshirë të drejtat e personave që u përkasin minoriteteve dhe personave të zhvendosur;</w:t>
            </w:r>
          </w:p>
          <w:p w:rsidR="00F57B39" w:rsidRPr="00A6284F" w:rsidRDefault="00F57B39" w:rsidP="007E58F5">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fuqizojë zbatimin e Ligjit për Barazi Gjinore, promovojë përfaqësimin e grave në role vendimmarrëse dhe të avancojë zbatimin e strategjisë dhe planit të veprimit për mbrojtje nga dhuna në familje;</w:t>
            </w:r>
          </w:p>
          <w:p w:rsidR="00F57B39" w:rsidRPr="00A6284F" w:rsidRDefault="00F57B39" w:rsidP="007E58F5">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projektligjin për mbrojtjen e fëmijëve dhe të sigurojë që ajo zbatohet siç duhet, të sigurojë financim të qëndrueshëm dhe llogaridhënie të mirëfilltë të institucioneve dhe akterëve përkatës, si dhe integrimin e sistemeve të mbrojtjes së fëmijëve në nivel qendror dhe lokal;</w:t>
            </w:r>
          </w:p>
          <w:p w:rsidR="00F57B39" w:rsidRPr="00A6284F" w:rsidRDefault="00F57B39" w:rsidP="007E58F5">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avancojë mbrojtjen e trashëgimisë kulturore duke zbatuar plotësisht legjislacionin për zonat e veçanta të mbrojtura dhe legjislacionin që trajton ndërtimet e paligjshme. Të miratojë Ligjet për Trashëgiminë Kulturore dhe Lirinë Fetare, si dhe të sigurojë funksionimin e vazhdueshëm të Këshillit për Zbatim dhe Monitorim;</w:t>
            </w:r>
          </w:p>
          <w:p w:rsidR="00F57B39" w:rsidRPr="00A6284F" w:rsidRDefault="00F57B39" w:rsidP="007E58F5">
            <w:pPr>
              <w:spacing w:before="140" w:after="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sigurojë zbatimin e vazhdueshëm të strategjisë dhe planit të veprimit për përfshirjen e komuniteteve rom dhe ashkali, duke përfshirë fondet e ndara.</w:t>
            </w:r>
          </w:p>
        </w:tc>
      </w:tr>
    </w:tbl>
    <w:p w:rsidR="00F57B39" w:rsidRPr="00A6284F" w:rsidRDefault="00F57B39" w:rsidP="00F57B39">
      <w:pPr>
        <w:rPr>
          <w:lang w:val="sq-AL"/>
        </w:rPr>
        <w:sectPr w:rsidR="00F57B39" w:rsidRPr="00A6284F" w:rsidSect="00F57B39">
          <w:pgSz w:w="11909" w:h="16838"/>
          <w:pgMar w:top="1400" w:right="1275" w:bottom="562" w:left="1268" w:header="720" w:footer="720" w:gutter="0"/>
          <w:cols w:space="720"/>
        </w:sectPr>
      </w:pPr>
    </w:p>
    <w:p w:rsidR="00F57B39" w:rsidRPr="00A6284F" w:rsidRDefault="00F57B39" w:rsidP="00F57B39">
      <w:pPr>
        <w:spacing w:before="18"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lastRenderedPageBreak/>
        <w:t xml:space="preserve">Instrumentet ndërkombëtare të </w:t>
      </w:r>
      <w:proofErr w:type="spellStart"/>
      <w:r w:rsidRPr="00A6284F">
        <w:rPr>
          <w:rFonts w:eastAsia="Times New Roman"/>
          <w:b/>
          <w:color w:val="000000"/>
          <w:sz w:val="24"/>
          <w:lang w:val="sq-AL"/>
        </w:rPr>
        <w:t>të</w:t>
      </w:r>
      <w:proofErr w:type="spellEnd"/>
      <w:r w:rsidRPr="00A6284F">
        <w:rPr>
          <w:rFonts w:eastAsia="Times New Roman"/>
          <w:b/>
          <w:color w:val="000000"/>
          <w:sz w:val="24"/>
          <w:lang w:val="sq-AL"/>
        </w:rPr>
        <w:t xml:space="preserve"> drejtave të njeriut </w:t>
      </w:r>
      <w:r w:rsidRPr="00A6284F">
        <w:rPr>
          <w:rFonts w:eastAsia="Times New Roman"/>
          <w:bCs/>
          <w:color w:val="000000"/>
          <w:sz w:val="24"/>
          <w:lang w:val="sq-AL"/>
        </w:rPr>
        <w:t xml:space="preserve">përbëjnë pjesë integrale të kornizës ligjore të Kosovës, si dhe janë drejtpërdrejt të zbatueshme, siç parashihet edhe me Kushtetutë. Kosova ka vazhduar të përafrojë legjislacionin e saj me këto instrumente, si dhe ka vazhduar praktikën e raportimit </w:t>
      </w:r>
      <w:proofErr w:type="spellStart"/>
      <w:r w:rsidRPr="00A6284F">
        <w:rPr>
          <w:rFonts w:eastAsia="Times New Roman"/>
          <w:bCs/>
          <w:color w:val="000000"/>
          <w:sz w:val="24"/>
          <w:lang w:val="sq-AL"/>
        </w:rPr>
        <w:t>ad-hoc</w:t>
      </w:r>
      <w:proofErr w:type="spellEnd"/>
      <w:r w:rsidRPr="00A6284F">
        <w:rPr>
          <w:rFonts w:eastAsia="Times New Roman"/>
          <w:color w:val="000000"/>
          <w:sz w:val="24"/>
          <w:lang w:val="sq-AL"/>
        </w:rPr>
        <w:t>.</w:t>
      </w:r>
    </w:p>
    <w:p w:rsidR="00F57B39" w:rsidRPr="00A6284F" w:rsidRDefault="00F57B39" w:rsidP="00F57B39">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Për </w:t>
      </w:r>
      <w:r w:rsidRPr="00A6284F">
        <w:rPr>
          <w:rFonts w:eastAsia="Times New Roman"/>
          <w:b/>
          <w:bCs/>
          <w:color w:val="000000"/>
          <w:sz w:val="24"/>
          <w:lang w:val="sq-AL"/>
        </w:rPr>
        <w:t>promovimin dhe zbatimin e të drejtave të njeriut</w:t>
      </w:r>
      <w:r w:rsidRPr="00A6284F">
        <w:rPr>
          <w:rFonts w:eastAsia="Times New Roman"/>
          <w:color w:val="000000"/>
          <w:sz w:val="24"/>
          <w:lang w:val="sq-AL"/>
        </w:rPr>
        <w:t>, zbatimi efektiv i legjislacionit për të drejtat e njeriut dhe strategjive të shumta lidhur me të drejtat e njeriut mbetet sfidues. Nuk ekziston asnjë mekanizëm i vërtetë koordinimi për zbatimin e këtyre strategjive. Strategjia e përgjithshme e të Drejtave të Njeriut në Kosovë ende nuk është finalizuar, edhe pse procesi ka filluar në vitin 2013. Zyra Këshilluese për Qeverisje të Mirë (tetë punonjës) nuk i posedon burimet dhe kapacitetet e nevojshme për të përmbushur mandatin e saj të gjerë, që përfshin mbikëqyrjen, koordinimin dhe hartimin e politikave në fushat e qeverisjes së mirë, të drejtave të njeriut, mundësive të barabarta dhe çështjeve kundër diskriminimit; koordinimin e përfshirjes së shoqërisë civile në politikë dhe vendimmarrje; dhe monitorimin e zbatimit të dokumenteve strategjike për korrupsion.</w:t>
      </w:r>
    </w:p>
    <w:p w:rsidR="00F57B39" w:rsidRPr="00A6284F" w:rsidRDefault="00F57B39" w:rsidP="00F57B39">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Grupi Koordinues Ndërministror për të Drejtat e Njeriut takohet rrallë, si dhe as nuk merr vendime e as nuk ndjek rregullisht zotimet e mëparshme të qeverisë. Si rezultat, nuk ekziston asnjë vlerësim i përgjithshëm i situatës së të drejtave të njeriut në Kosovë, asnjë politikë e përgjithshme e të drejtave të njeriut dhe nuk ka koordinim ndërmjet akterëve. Për t'i krijuar këto nevojitet një </w:t>
      </w:r>
      <w:proofErr w:type="spellStart"/>
      <w:r w:rsidRPr="00A6284F">
        <w:rPr>
          <w:rFonts w:eastAsia="Times New Roman"/>
          <w:color w:val="000000"/>
          <w:sz w:val="24"/>
          <w:lang w:val="sq-AL"/>
        </w:rPr>
        <w:t>lidership</w:t>
      </w:r>
      <w:proofErr w:type="spellEnd"/>
      <w:r w:rsidRPr="00A6284F">
        <w:rPr>
          <w:rFonts w:eastAsia="Times New Roman"/>
          <w:color w:val="000000"/>
          <w:sz w:val="24"/>
          <w:lang w:val="sq-AL"/>
        </w:rPr>
        <w:t xml:space="preserve"> më i fortë politik. Gjithashtu, duhet të fuqizohet roli i zyrtarëve për të drejtat e njeriut në ministri dhe komuna. Institucioni i Avokatit të Popullit vepron si mekanizëm ligjor për mbrojtjen, mbikëqyrjen dhe promovimin e të drejtave dhe lirive themelore, si Mekanizëm Kombëtar Parandalues kundër torturës dhe si mekanizëm i barazisë për promovimin, monitorimin dhe mbështetjen e trajtimit të barabartë pa diskriminim. Institucioni ka fuqizuar më tej kapacitetin e tij për të shqyrtuar rastet dhe ka vazhduar përpjekjet për të rritur ndërgjegjësimin mbi çështjet e të drejtave të njeriut. Trendi pozitiv në zbatimin e rekomandimeve të tij duhet përforcuar. Në vitin 2018, për herë të parë, Kuvendi mbajti një seancë plenare mbi zbatimin e rekomandimeve të institucionit. Pavarësia e tij mbështetet në faktin që Ligji për Avokatin e Popullit mundëson zvogëlimin e buxhetit të tij në krahasim me vitin paraprak vetëm me miratimin e Avokatit të Popullit. Ka rreth 80 punonjës që punojnë si pjesë e një strukture të brendshme që pasqyron kompetencat e institucionit.</w:t>
      </w:r>
    </w:p>
    <w:p w:rsidR="00F57B39" w:rsidRPr="00A6284F" w:rsidRDefault="00F57B39" w:rsidP="00F57B39">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Arrestimi dhe më pas </w:t>
      </w:r>
      <w:proofErr w:type="spellStart"/>
      <w:r w:rsidR="00421A84" w:rsidRPr="00A6284F">
        <w:rPr>
          <w:rFonts w:eastAsia="Times New Roman"/>
          <w:b/>
          <w:bCs/>
          <w:color w:val="000000"/>
          <w:sz w:val="24"/>
          <w:lang w:val="sq-AL"/>
        </w:rPr>
        <w:t>deportimi</w:t>
      </w:r>
      <w:proofErr w:type="spellEnd"/>
      <w:r w:rsidRPr="00A6284F">
        <w:rPr>
          <w:rFonts w:eastAsia="Times New Roman"/>
          <w:b/>
          <w:bCs/>
          <w:color w:val="000000"/>
          <w:sz w:val="24"/>
          <w:lang w:val="sq-AL"/>
        </w:rPr>
        <w:t xml:space="preserve"> me forcë i gjashtë shtetasve turq</w:t>
      </w:r>
      <w:r w:rsidRPr="00A6284F">
        <w:rPr>
          <w:rFonts w:eastAsia="Times New Roman"/>
          <w:color w:val="000000"/>
          <w:sz w:val="24"/>
          <w:lang w:val="sq-AL"/>
        </w:rPr>
        <w:t xml:space="preserve"> që </w:t>
      </w:r>
      <w:r w:rsidR="00421A84" w:rsidRPr="00A6284F">
        <w:rPr>
          <w:rFonts w:eastAsia="Times New Roman"/>
          <w:color w:val="000000"/>
          <w:sz w:val="24"/>
          <w:lang w:val="sq-AL"/>
        </w:rPr>
        <w:t>qëndronin</w:t>
      </w:r>
      <w:r w:rsidRPr="00A6284F">
        <w:rPr>
          <w:rFonts w:eastAsia="Times New Roman"/>
          <w:color w:val="000000"/>
          <w:sz w:val="24"/>
          <w:lang w:val="sq-AL"/>
        </w:rPr>
        <w:t xml:space="preserve"> ligjërisht në Kosovë në mars të vitit 2018 ngriti shqetësime serioze për respektimin e procesit të rregullt. Pas operacionit, Kryeministri kërkoi dorëheqjen e Ministrit të Punëve të Brendshme dhe udhëheqësit të Agjencisë së Kosovës për Inteligjencë. Që atëherë, Institucioni i Avokatit të Popullit dhe komiteti hetimor i Kuvendit të Kosovës, i themeluar për të shqyrtuar këtë çështje, kanë pretenduar shkelje të shumta ligjore të kryera nga institucionet e Kosovës. Gjykata Themelore e Prishtinës ndërkohë ka anuluar vendimin fillestar për revokimin e lejeve të qëndrimit (i cili ishte bazuar në një kërcënim të dyshuar për sigurinë kombëtare) për tre persona të dëbuar.</w:t>
      </w:r>
    </w:p>
    <w:p w:rsidR="00F57B39" w:rsidRPr="00A6284F" w:rsidRDefault="00F57B39" w:rsidP="00F57B39">
      <w:pPr>
        <w:spacing w:before="121" w:after="46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bCs/>
          <w:color w:val="000000"/>
          <w:sz w:val="24"/>
          <w:lang w:val="sq-AL"/>
        </w:rPr>
        <w:t>parandalimit të torturës dhe keqtrajtimit</w:t>
      </w:r>
      <w:r w:rsidRPr="00A6284F">
        <w:rPr>
          <w:rFonts w:eastAsia="Times New Roman"/>
          <w:color w:val="000000"/>
          <w:sz w:val="24"/>
          <w:lang w:val="sq-AL"/>
        </w:rPr>
        <w:t>, gjendja mbetet përgjithësisht e kënaqshme, si dhe autoritetet e Kosovës kanë shfaqur një angazhim të vazhdueshëm në parandalimin e praktikave të tilla në të gjitha rrethanat. Ka pasur disa ankesa për trajtimin jo</w:t>
      </w:r>
      <w:r w:rsidR="00421A84" w:rsidRPr="00A6284F">
        <w:rPr>
          <w:rFonts w:eastAsia="Times New Roman"/>
          <w:color w:val="000000"/>
          <w:sz w:val="24"/>
          <w:lang w:val="sq-AL"/>
        </w:rPr>
        <w:t>-</w:t>
      </w:r>
      <w:r w:rsidRPr="00A6284F">
        <w:rPr>
          <w:rFonts w:eastAsia="Times New Roman"/>
          <w:color w:val="000000"/>
          <w:sz w:val="24"/>
          <w:lang w:val="sq-AL"/>
        </w:rPr>
        <w:t xml:space="preserve">korrekt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burgosurve nga personeli korrektues. Ekipi i Mekanizmit Kombëtar Parandalues kundër Torturës në Institucionin e Avokatit të Popullit viziton rregullisht, pa njoftim paraprak, të gjitha vendet e privimit të lirisë në Kosovë. Megjithatë në mars të vitit 2018 ekipit i është mohuar qasja në mjedise dhe dokumentacion në aeroportin e Prishtinës për të verifikuar nëse gjashtë shtetasit turq të arrestuar janë mbajtur aty. Kosova duhet të përforcojë më tutje përpjekjet e vazhdueshme për të ofruar përkrahje dhe rehabilitim adekuat mjekësor dhe psikologjik për të gjitha viktimat e torturës dhe keqtrajtimeve të tjera në Kosovë. Ekzistojnë përpjekje të vazhdueshme për të adresuar rekomandimet që janë nxjerrë nga Komiteti Evropian për Parandalimin e Torturës dhe Trajtimit apo Dënimit Çnjerëzor apo Degradues (</w:t>
      </w:r>
      <w:r w:rsidRPr="00A6284F">
        <w:rPr>
          <w:rFonts w:eastAsia="Times New Roman"/>
          <w:i/>
          <w:iCs/>
          <w:color w:val="000000"/>
          <w:sz w:val="24"/>
          <w:lang w:val="sq-AL"/>
        </w:rPr>
        <w:t>shih sistemi i burgjeve</w:t>
      </w:r>
      <w:r w:rsidRPr="00A6284F">
        <w:rPr>
          <w:rFonts w:eastAsia="Times New Roman"/>
          <w:color w:val="000000"/>
          <w:sz w:val="24"/>
          <w:lang w:val="sq-AL"/>
        </w:rPr>
        <w:t>).</w:t>
      </w:r>
    </w:p>
    <w:p w:rsidR="00F57B39" w:rsidRPr="00A6284F" w:rsidRDefault="00F57B39" w:rsidP="00F57B39">
      <w:pPr>
        <w:spacing w:before="121" w:after="460" w:line="276" w:lineRule="exact"/>
        <w:rPr>
          <w:lang w:val="sq-AL"/>
        </w:rPr>
        <w:sectPr w:rsidR="00F57B39" w:rsidRPr="00A6284F">
          <w:pgSz w:w="11909" w:h="16838"/>
          <w:pgMar w:top="1400" w:right="1265" w:bottom="562" w:left="1284" w:header="720" w:footer="720" w:gutter="0"/>
          <w:cols w:space="720"/>
        </w:sectPr>
      </w:pPr>
    </w:p>
    <w:p w:rsidR="00F57B39" w:rsidRPr="00A6284F" w:rsidRDefault="00F57B39" w:rsidP="00F57B39">
      <w:pPr>
        <w:spacing w:before="18" w:line="276" w:lineRule="exact"/>
        <w:ind w:left="144" w:right="144"/>
        <w:jc w:val="both"/>
        <w:textAlignment w:val="baseline"/>
        <w:rPr>
          <w:rFonts w:eastAsia="Times New Roman"/>
          <w:color w:val="000000"/>
          <w:sz w:val="24"/>
          <w:lang w:val="sq-AL"/>
        </w:rPr>
      </w:pPr>
      <w:r w:rsidRPr="00A6284F">
        <w:rPr>
          <w:rFonts w:eastAsia="Times New Roman"/>
          <w:b/>
          <w:bCs/>
          <w:color w:val="000000"/>
          <w:sz w:val="24"/>
          <w:lang w:val="sq-AL"/>
        </w:rPr>
        <w:lastRenderedPageBreak/>
        <w:t>Sistemi i burgjeve</w:t>
      </w:r>
      <w:r w:rsidR="00421A84" w:rsidRPr="00A6284F">
        <w:rPr>
          <w:rFonts w:eastAsia="Times New Roman"/>
          <w:b/>
          <w:bCs/>
          <w:color w:val="000000"/>
          <w:sz w:val="24"/>
          <w:lang w:val="sq-AL"/>
        </w:rPr>
        <w:t xml:space="preserve"> </w:t>
      </w:r>
      <w:r w:rsidRPr="00A6284F">
        <w:rPr>
          <w:rFonts w:eastAsia="Times New Roman"/>
          <w:color w:val="000000"/>
          <w:sz w:val="24"/>
          <w:lang w:val="sq-AL"/>
        </w:rPr>
        <w:t xml:space="preserve">vazhdon të jetë në përputhje me Rregullat Standarde Minimale të OKB-së për Trajtimin e të Burgosurve si dhe Rregullat Evropiane të Burgjeve. Kushtet e burgjeve dallojnë në masë të madhe mes institucioneve të ndryshme të Shërbimit Korrektues të Kosovës. Pas hapjes së qendrës së re të paraburgimit në Prishtinë, më shumë të burgosur tani strehohen në mjedise adekuate. Planet për mbylljen e objekteve të vjetra ende nuk janë materializuar. Mbipopullimi përgjithësisht nuk është problem. Është shënuar progres në lidhje me nivelet e përgjithshme të personelit në Shërbimin Korrektues dhe një numër i pozitave të nivelit të lartë janë plotësuar. Aktivitetet kuptimplota për të burgosurit, siç është puna dhe programet tjera rehabilituese mbeten të rralla. Është shënuar progres në ofrimin e kujdesit shëndetësor në burgje, i cili është transferuar plotësisht nga Ministria e Drejtësisë në Ministrinë e Shëndetësisë. Progres po ashtu mund të raportohet në lidhje me Inspektoratin e Burgjeve, i cili ka miratuar një metodologji të re të punës bazuar në </w:t>
      </w:r>
      <w:r w:rsidR="00421A84" w:rsidRPr="00A6284F">
        <w:rPr>
          <w:rFonts w:eastAsia="Times New Roman"/>
          <w:color w:val="000000"/>
          <w:sz w:val="24"/>
          <w:lang w:val="sq-AL"/>
        </w:rPr>
        <w:t>“</w:t>
      </w:r>
      <w:r w:rsidRPr="00A6284F">
        <w:rPr>
          <w:rFonts w:eastAsia="Times New Roman"/>
          <w:color w:val="000000"/>
          <w:sz w:val="24"/>
          <w:lang w:val="sq-AL"/>
        </w:rPr>
        <w:t xml:space="preserve">rregullat e </w:t>
      </w:r>
      <w:proofErr w:type="spellStart"/>
      <w:r w:rsidRPr="00A6284F">
        <w:rPr>
          <w:rFonts w:eastAsia="Times New Roman"/>
          <w:color w:val="000000"/>
          <w:sz w:val="24"/>
          <w:lang w:val="sq-AL"/>
        </w:rPr>
        <w:t>Mandelës</w:t>
      </w:r>
      <w:proofErr w:type="spellEnd"/>
      <w:r w:rsidR="00421A84" w:rsidRPr="00A6284F">
        <w:rPr>
          <w:rFonts w:eastAsia="Times New Roman"/>
          <w:color w:val="000000"/>
          <w:sz w:val="24"/>
          <w:lang w:val="sq-AL"/>
        </w:rPr>
        <w:t>”</w:t>
      </w:r>
      <w:r w:rsidRPr="00A6284F">
        <w:rPr>
          <w:rFonts w:eastAsia="Times New Roman"/>
          <w:color w:val="000000"/>
          <w:sz w:val="24"/>
          <w:lang w:val="sq-AL"/>
        </w:rPr>
        <w:t xml:space="preserve">. Presioni politik vazhdoi të ndikonte në vendimet për kategorizimin e të burgosurve. Kjo mundëson trajtimin preferencial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burgosurve me profil të lartë. Ndryshimet e planifikuara në Ligjin për ekzekutimin e sanksioneve penale nuk duhet të komprometojnë progresin e arritur me ndryshimet e mëparshme në parandalimin e trajtimit të tillë preferencial. Sanksionet dhe masat alternative urdhërohen kryesisht për të miturit (mbi 1,000 në vitin 2018, shih </w:t>
      </w:r>
      <w:r w:rsidRPr="00A6284F">
        <w:rPr>
          <w:rFonts w:eastAsia="Times New Roman"/>
          <w:i/>
          <w:iCs/>
          <w:color w:val="000000"/>
          <w:sz w:val="24"/>
          <w:lang w:val="sq-AL"/>
        </w:rPr>
        <w:t>të drejtat e fëmijëve</w:t>
      </w:r>
      <w:r w:rsidRPr="00A6284F">
        <w:rPr>
          <w:rFonts w:eastAsia="Times New Roman"/>
          <w:color w:val="000000"/>
          <w:sz w:val="24"/>
          <w:lang w:val="sq-AL"/>
        </w:rPr>
        <w:t>). Sa i përket të rriturve, shumë gjyqtarë dhe prokurorë hezitojnë të shqiptojnë sanksione alternative.</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Ligji i ri për </w:t>
      </w:r>
      <w:r w:rsidRPr="00A6284F">
        <w:rPr>
          <w:rFonts w:eastAsia="Times New Roman"/>
          <w:b/>
          <w:bCs/>
          <w:color w:val="000000"/>
          <w:sz w:val="24"/>
          <w:lang w:val="sq-AL"/>
        </w:rPr>
        <w:t>mbrojtjen e të dhënave personale</w:t>
      </w:r>
      <w:r w:rsidRPr="00A6284F">
        <w:rPr>
          <w:rFonts w:eastAsia="Times New Roman"/>
          <w:color w:val="000000"/>
          <w:sz w:val="24"/>
          <w:lang w:val="sq-AL"/>
        </w:rPr>
        <w:t xml:space="preserve"> u miratua në shkurt të vitit 2019 me qëllim që të harmonizojë kornizën ligjore me Rregulloren e Përgjithshme të BE-së për Mbrojtjen e të Dhënave dhe Direktivën për Zbatimin e Ligjit. Kjo paraqet progres të konsiderueshëm në fushën e mbrojtjes së të dhënave. Tani duhet të zbatohet ky ligj, duke filluar me emërimin e </w:t>
      </w:r>
      <w:proofErr w:type="spellStart"/>
      <w:r w:rsidRPr="00A6284F">
        <w:rPr>
          <w:rFonts w:eastAsia="Times New Roman"/>
          <w:color w:val="000000"/>
          <w:sz w:val="24"/>
          <w:lang w:val="sq-AL"/>
        </w:rPr>
        <w:t>komisionerit</w:t>
      </w:r>
      <w:proofErr w:type="spellEnd"/>
      <w:r w:rsidRPr="00A6284F">
        <w:rPr>
          <w:rFonts w:eastAsia="Times New Roman"/>
          <w:color w:val="000000"/>
          <w:sz w:val="24"/>
          <w:lang w:val="sq-AL"/>
        </w:rPr>
        <w:t xml:space="preserve"> dhe lëshimin/përditësimin e legjislacionit të nevojshëm sekondar. Një Agjenci e re e Informacionit dhe Privatësisë do të mbikëqyrë zbatimin e legjislacionit për mbrojtjen e të dhënave personale dhe qasjen në dokumente publike. Ligji i ri për mbrojtjen e të dhënave personale u mundëson inspektorëve të kryejnë inspektime mbi pajtueshmërinë.</w:t>
      </w:r>
    </w:p>
    <w:p w:rsidR="00F57B39" w:rsidRPr="00A6284F" w:rsidRDefault="00AE58C8" w:rsidP="00F57B39">
      <w:pPr>
        <w:spacing w:before="122" w:after="260" w:line="276" w:lineRule="exact"/>
        <w:ind w:left="144" w:right="144"/>
        <w:jc w:val="both"/>
        <w:textAlignment w:val="baseline"/>
        <w:rPr>
          <w:rFonts w:eastAsia="Times New Roman"/>
          <w:color w:val="000000"/>
          <w:sz w:val="24"/>
          <w:lang w:val="sq-AL"/>
        </w:rPr>
      </w:pPr>
      <w:r w:rsidRPr="00A6284F">
        <w:rPr>
          <w:lang w:val="sq-AL"/>
        </w:rPr>
        <w:pict>
          <v:line id="_x0000_s1174" style="position:absolute;left:0;text-align:left;z-index:251770880;mso-position-horizontal-relative:page;mso-position-vertical-relative:page" from="71.3pt,585.4pt" to="521.55pt,585.4pt" strokeweight="1.2pt">
            <v:stroke dashstyle="dash"/>
            <w10:wrap anchorx="page" anchory="page"/>
          </v:line>
        </w:pict>
      </w:r>
      <w:r w:rsidR="00F57B39" w:rsidRPr="00A6284F">
        <w:rPr>
          <w:rFonts w:eastAsia="Times New Roman"/>
          <w:color w:val="000000"/>
          <w:sz w:val="24"/>
          <w:lang w:val="sq-AL"/>
        </w:rPr>
        <w:t xml:space="preserve">Dispozitat ligjore për </w:t>
      </w:r>
      <w:r w:rsidR="00F57B39" w:rsidRPr="00A6284F">
        <w:rPr>
          <w:rFonts w:eastAsia="Times New Roman"/>
          <w:b/>
          <w:bCs/>
          <w:color w:val="000000"/>
          <w:sz w:val="24"/>
          <w:lang w:val="sq-AL"/>
        </w:rPr>
        <w:t>lirinë e mendimit, ndërgjegjes dhe fesë</w:t>
      </w:r>
      <w:r w:rsidR="00F57B39" w:rsidRPr="00A6284F">
        <w:rPr>
          <w:rFonts w:eastAsia="Times New Roman"/>
          <w:color w:val="000000"/>
          <w:sz w:val="24"/>
          <w:lang w:val="sq-AL"/>
        </w:rPr>
        <w:t xml:space="preserve"> janë të vendosura dhe udhëheqësit fetarë të </w:t>
      </w:r>
      <w:proofErr w:type="spellStart"/>
      <w:r w:rsidR="00F57B39" w:rsidRPr="00A6284F">
        <w:rPr>
          <w:rFonts w:eastAsia="Times New Roman"/>
          <w:color w:val="000000"/>
          <w:sz w:val="24"/>
          <w:lang w:val="sq-AL"/>
        </w:rPr>
        <w:t>të</w:t>
      </w:r>
      <w:proofErr w:type="spellEnd"/>
      <w:r w:rsidR="00F57B39" w:rsidRPr="00A6284F">
        <w:rPr>
          <w:rFonts w:eastAsia="Times New Roman"/>
          <w:color w:val="000000"/>
          <w:sz w:val="24"/>
          <w:lang w:val="sq-AL"/>
        </w:rPr>
        <w:t xml:space="preserve"> gjitha besimeve vazhdojnë të bashkëveprojnë. Megjithatë, projektligji për ndryshimin dhe plotësimin e Ligjit për Lirinë Fetare duhet të miratohet dhe të përfshijë edhe rekomandimet e Komisionit të Venecias. Seminari Ortodoks Serb në Prizren vazhdon të funksionojë mirë. Aktgjykimi përfundimtar i Gjykatës Kushtetuese i majit 2016 lidhur me çështjen e kontestit pronësor që përfshin Manastirin </w:t>
      </w:r>
      <w:r w:rsidR="00B01C30" w:rsidRPr="00A6284F">
        <w:rPr>
          <w:rFonts w:eastAsia="Times New Roman"/>
          <w:color w:val="000000"/>
          <w:sz w:val="24"/>
          <w:lang w:val="sq-AL"/>
        </w:rPr>
        <w:t>e</w:t>
      </w:r>
      <w:r w:rsidR="00F57B39" w:rsidRPr="00A6284F">
        <w:rPr>
          <w:rFonts w:eastAsia="Times New Roman"/>
          <w:color w:val="000000"/>
          <w:sz w:val="24"/>
          <w:lang w:val="sq-AL"/>
        </w:rPr>
        <w:t xml:space="preserve"> Deçanit dhe komunën e Deçanit, i cili konfirmoi pronësinë ligjore të manastirit mbi tokën, mbetet i pa</w:t>
      </w:r>
      <w:r w:rsidR="00781FD3" w:rsidRPr="00A6284F">
        <w:rPr>
          <w:rFonts w:eastAsia="Times New Roman"/>
          <w:color w:val="000000"/>
          <w:sz w:val="24"/>
          <w:lang w:val="sq-AL"/>
        </w:rPr>
        <w:t>-</w:t>
      </w:r>
      <w:r w:rsidR="00F57B39" w:rsidRPr="00A6284F">
        <w:rPr>
          <w:rFonts w:eastAsia="Times New Roman"/>
          <w:color w:val="000000"/>
          <w:sz w:val="24"/>
          <w:lang w:val="sq-AL"/>
        </w:rPr>
        <w:t>zbatuar.</w:t>
      </w:r>
      <w:r w:rsidR="00781FD3" w:rsidRPr="00A6284F">
        <w:rPr>
          <w:rFonts w:eastAsia="Times New Roman"/>
          <w:color w:val="000000"/>
          <w:sz w:val="24"/>
          <w:lang w:val="sq-AL"/>
        </w:rPr>
        <w:t xml:space="preserve"> </w:t>
      </w:r>
      <w:r w:rsidR="00F57B39" w:rsidRPr="00A6284F">
        <w:rPr>
          <w:rFonts w:eastAsia="Times New Roman"/>
          <w:color w:val="000000"/>
          <w:sz w:val="24"/>
          <w:lang w:val="sq-AL"/>
        </w:rPr>
        <w:t>Rezistenca lokale ndaj zbatimit të aktgjykimit, duke përfshirë edhe mohimin e qartë nga zyrtarët komunalë, vazhdon të ngrejë shqetësime.</w:t>
      </w:r>
    </w:p>
    <w:p w:rsidR="00F57B39" w:rsidRPr="00A6284F" w:rsidRDefault="00F57B39" w:rsidP="00F57B39">
      <w:pPr>
        <w:spacing w:before="263" w:after="111" w:line="273" w:lineRule="exact"/>
        <w:ind w:left="144"/>
        <w:textAlignment w:val="baseline"/>
        <w:rPr>
          <w:rFonts w:eastAsia="Times New Roman"/>
          <w:b/>
          <w:color w:val="000000"/>
          <w:sz w:val="24"/>
          <w:lang w:val="sq-AL"/>
        </w:rPr>
      </w:pPr>
      <w:r w:rsidRPr="00A6284F">
        <w:rPr>
          <w:rFonts w:eastAsia="Times New Roman"/>
          <w:b/>
          <w:color w:val="000000"/>
          <w:sz w:val="24"/>
          <w:lang w:val="sq-AL"/>
        </w:rPr>
        <w:t xml:space="preserve">Liria e shprehjes </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F57B39" w:rsidRPr="00A6284F" w:rsidTr="007E58F5">
        <w:trPr>
          <w:trHeight w:hRule="exact" w:val="3494"/>
        </w:trPr>
        <w:tc>
          <w:tcPr>
            <w:tcW w:w="9360" w:type="dxa"/>
            <w:tcBorders>
              <w:top w:val="single" w:sz="5" w:space="0" w:color="000000"/>
              <w:left w:val="single" w:sz="5" w:space="0" w:color="000000"/>
              <w:bottom w:val="single" w:sz="5" w:space="0" w:color="000000"/>
              <w:right w:val="single" w:sz="5" w:space="0" w:color="000000"/>
            </w:tcBorders>
          </w:tcPr>
          <w:p w:rsidR="00F57B39" w:rsidRPr="00A6284F" w:rsidRDefault="00F57B39" w:rsidP="007E58F5">
            <w:pPr>
              <w:spacing w:before="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w:t>
            </w:r>
            <w:r w:rsidRPr="00A6284F">
              <w:rPr>
                <w:rFonts w:eastAsia="Times New Roman"/>
                <w:b/>
                <w:bCs/>
                <w:color w:val="000000"/>
                <w:sz w:val="24"/>
                <w:lang w:val="sq-AL"/>
              </w:rPr>
              <w:t>ka njëfarë niveli të përgatitjes</w:t>
            </w:r>
            <w:r w:rsidRPr="00A6284F">
              <w:rPr>
                <w:rFonts w:eastAsia="Times New Roman"/>
                <w:color w:val="000000"/>
                <w:sz w:val="24"/>
                <w:lang w:val="sq-AL"/>
              </w:rPr>
              <w:t xml:space="preserve"> lidhur me lirinë e shprehjes, e cila mëshirohet në Kushtetutë, dhe përfiton nga një mjedis </w:t>
            </w:r>
            <w:proofErr w:type="spellStart"/>
            <w:r w:rsidRPr="00A6284F">
              <w:rPr>
                <w:rFonts w:eastAsia="Times New Roman"/>
                <w:color w:val="000000"/>
                <w:sz w:val="24"/>
                <w:lang w:val="sq-AL"/>
              </w:rPr>
              <w:t>mediatik</w:t>
            </w:r>
            <w:proofErr w:type="spellEnd"/>
            <w:r w:rsidRPr="00A6284F">
              <w:rPr>
                <w:rFonts w:eastAsia="Times New Roman"/>
                <w:color w:val="000000"/>
                <w:sz w:val="24"/>
                <w:lang w:val="sq-AL"/>
              </w:rPr>
              <w:t xml:space="preserve"> pluralist dhe i gjallë. Ka pasur </w:t>
            </w:r>
            <w:r w:rsidRPr="00A6284F">
              <w:rPr>
                <w:rFonts w:eastAsia="Times New Roman"/>
                <w:b/>
                <w:bCs/>
                <w:color w:val="000000"/>
                <w:sz w:val="24"/>
                <w:lang w:val="sq-AL"/>
              </w:rPr>
              <w:t xml:space="preserve">progres të kufizuar </w:t>
            </w:r>
            <w:r w:rsidRPr="00A6284F">
              <w:rPr>
                <w:rFonts w:eastAsia="Times New Roman"/>
                <w:color w:val="000000"/>
                <w:sz w:val="24"/>
                <w:lang w:val="sq-AL"/>
              </w:rPr>
              <w:t>në këtë fushë gjatë periudhës raportuese. Institucionet e sundimit të ligjit kanë rritur aktivitetet përcjellëse lidhur me kërcënimet dhe sulmet ndaj gazetarëve. Numri i incidenteve është zvogëluar. Ekzistojnë shqetësime të veçanta në lidhje me lirinë e shprehjes në veri të Kosovës, duke përfshirë edhe vetë</w:t>
            </w:r>
            <w:r w:rsidR="00B01C30" w:rsidRPr="00A6284F">
              <w:rPr>
                <w:rFonts w:eastAsia="Times New Roman"/>
                <w:color w:val="000000"/>
                <w:sz w:val="24"/>
                <w:lang w:val="sq-AL"/>
              </w:rPr>
              <w:t>-</w:t>
            </w:r>
            <w:r w:rsidRPr="00A6284F">
              <w:rPr>
                <w:rFonts w:eastAsia="Times New Roman"/>
                <w:color w:val="000000"/>
                <w:sz w:val="24"/>
                <w:lang w:val="sq-AL"/>
              </w:rPr>
              <w:t>censurimin. Përkundër disa përpjekjeve të Kuvendit, mbetet të miratohet një zgjidhje e qëndrueshme për financimin e transmetuesit publik. Transmetuesi mbetet i ndjeshëm ndaj presionit dhe ndikimit politik. Sektori audio-vizual në Kosovë karakterizohet nga mungesa e të dhënave, si dhe legjislacioni ekzistues duhet të azhurnohet dhe zbatohet. Nuk ka pasur zhvillime legjislative mbi rregullimin e pronësisë dhe transparencës së medias.</w:t>
            </w:r>
          </w:p>
          <w:p w:rsidR="00F57B39" w:rsidRPr="00A6284F" w:rsidRDefault="00F57B39" w:rsidP="00D5084E">
            <w:pPr>
              <w:spacing w:before="117" w:after="5" w:line="276" w:lineRule="exact"/>
              <w:ind w:left="144"/>
              <w:textAlignment w:val="baseline"/>
              <w:rPr>
                <w:rFonts w:eastAsia="Times New Roman"/>
                <w:color w:val="000000"/>
                <w:sz w:val="24"/>
                <w:lang w:val="sq-AL"/>
              </w:rPr>
            </w:pPr>
            <w:r w:rsidRPr="00A6284F">
              <w:rPr>
                <w:rFonts w:eastAsia="Times New Roman"/>
                <w:color w:val="000000"/>
                <w:sz w:val="24"/>
                <w:lang w:val="sq-AL"/>
              </w:rPr>
              <w:t xml:space="preserve">Në vitin vijues, Kosova duhet </w:t>
            </w:r>
            <w:r w:rsidR="00D327DA" w:rsidRPr="00A6284F">
              <w:rPr>
                <w:rFonts w:eastAsia="Times New Roman"/>
                <w:color w:val="000000"/>
                <w:sz w:val="24"/>
                <w:lang w:val="sq-AL"/>
              </w:rPr>
              <w:t>posaçërisht:</w:t>
            </w:r>
          </w:p>
        </w:tc>
      </w:tr>
    </w:tbl>
    <w:p w:rsidR="00F57B39" w:rsidRPr="00A6284F" w:rsidRDefault="00F57B39" w:rsidP="00F57B39">
      <w:pPr>
        <w:spacing w:after="149" w:line="20" w:lineRule="exact"/>
        <w:rPr>
          <w:lang w:val="sq-AL"/>
        </w:rPr>
      </w:pPr>
    </w:p>
    <w:p w:rsidR="00F57B39" w:rsidRPr="00A6284F" w:rsidRDefault="00F57B39" w:rsidP="00F57B39">
      <w:pPr>
        <w:rPr>
          <w:lang w:val="sq-AL"/>
        </w:rPr>
        <w:sectPr w:rsidR="00F57B39" w:rsidRPr="00A6284F">
          <w:pgSz w:w="11909" w:h="16838"/>
          <w:pgMar w:top="1400" w:right="1274" w:bottom="562" w:left="1275" w:header="720" w:footer="720" w:gutter="0"/>
          <w:cols w:space="720"/>
        </w:sectPr>
      </w:pPr>
    </w:p>
    <w:p w:rsidR="00F57B39" w:rsidRPr="00A6284F" w:rsidRDefault="00F57B39" w:rsidP="005652BC">
      <w:pPr>
        <w:pBdr>
          <w:top w:val="single" w:sz="5" w:space="2" w:color="000000"/>
          <w:left w:val="single" w:sz="5" w:space="7" w:color="000000"/>
          <w:bottom w:val="single" w:sz="5" w:space="6" w:color="000000"/>
          <w:right w:val="single" w:sz="5" w:space="7" w:color="000000"/>
        </w:pBdr>
        <w:spacing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lastRenderedPageBreak/>
        <w:t xml:space="preserve">-* </w:t>
      </w:r>
      <w:r w:rsidRPr="00A6284F">
        <w:rPr>
          <w:rFonts w:eastAsia="Times New Roman"/>
          <w:color w:val="000000"/>
          <w:sz w:val="24"/>
          <w:lang w:val="sq-AL"/>
        </w:rPr>
        <w:t xml:space="preserve">të përmirësojë më tej bashkëpunimin në nivel të brendshëm dhe reagimin e institucioneve përgjegjëse lidhur me sulmet fizike ndaj gazetarëve dhe format </w:t>
      </w:r>
      <w:r w:rsidR="0048237D" w:rsidRPr="00A6284F">
        <w:rPr>
          <w:rFonts w:eastAsia="Times New Roman"/>
          <w:color w:val="000000"/>
          <w:sz w:val="24"/>
          <w:lang w:val="sq-AL"/>
        </w:rPr>
        <w:t xml:space="preserve">e </w:t>
      </w:r>
      <w:r w:rsidRPr="00A6284F">
        <w:rPr>
          <w:rFonts w:eastAsia="Times New Roman"/>
          <w:color w:val="000000"/>
          <w:sz w:val="24"/>
          <w:lang w:val="sq-AL"/>
        </w:rPr>
        <w:t>tjera të presionit;</w:t>
      </w:r>
    </w:p>
    <w:p w:rsidR="00F57B39" w:rsidRPr="00A6284F" w:rsidRDefault="00F57B39" w:rsidP="005652BC">
      <w:pPr>
        <w:pBdr>
          <w:top w:val="single" w:sz="5" w:space="2" w:color="000000"/>
          <w:left w:val="single" w:sz="5" w:space="7" w:color="000000"/>
          <w:bottom w:val="single" w:sz="5" w:space="6" w:color="000000"/>
          <w:right w:val="single" w:sz="5" w:space="7" w:color="000000"/>
        </w:pBdr>
        <w:spacing w:before="13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sigurojë fonde të qëndrueshme për transmetuesin publik në një mënyrë që ruan pavarësinë e saj;</w:t>
      </w:r>
    </w:p>
    <w:p w:rsidR="00F57B39" w:rsidRPr="00A6284F" w:rsidRDefault="00F57B39" w:rsidP="005652BC">
      <w:pPr>
        <w:pBdr>
          <w:top w:val="single" w:sz="5" w:space="2" w:color="000000"/>
          <w:left w:val="single" w:sz="5" w:space="7" w:color="000000"/>
          <w:bottom w:val="single" w:sz="5" w:space="6" w:color="000000"/>
          <w:right w:val="single" w:sz="5" w:space="7" w:color="000000"/>
        </w:pBd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rishikojë Ligjin për Komisionin e Pavarur të Mediave me qëllim të azhurnimit të kompetencave të tij, duke përfshirë shërbimet </w:t>
      </w:r>
      <w:proofErr w:type="spellStart"/>
      <w:r w:rsidRPr="00A6284F">
        <w:rPr>
          <w:rFonts w:eastAsia="Times New Roman"/>
          <w:color w:val="000000"/>
          <w:sz w:val="24"/>
          <w:lang w:val="sq-AL"/>
        </w:rPr>
        <w:t>online</w:t>
      </w:r>
      <w:proofErr w:type="spellEnd"/>
      <w:r w:rsidRPr="00A6284F">
        <w:rPr>
          <w:rFonts w:eastAsia="Times New Roman"/>
          <w:color w:val="000000"/>
          <w:sz w:val="24"/>
          <w:lang w:val="sq-AL"/>
        </w:rPr>
        <w:t xml:space="preserve"> mediatike audio-vizuale të mbuluara nga Direktiva e Shërbimeve të Medias Audio-vizuale 2010;</w:t>
      </w:r>
    </w:p>
    <w:p w:rsidR="00F57B39" w:rsidRPr="00A6284F" w:rsidRDefault="00F57B39" w:rsidP="005652BC">
      <w:pPr>
        <w:pBdr>
          <w:top w:val="single" w:sz="5" w:space="2" w:color="000000"/>
          <w:left w:val="single" w:sz="5" w:space="7" w:color="000000"/>
          <w:bottom w:val="single" w:sz="5" w:space="6" w:color="000000"/>
          <w:right w:val="single" w:sz="5" w:space="7" w:color="000000"/>
        </w:pBdr>
        <w:spacing w:before="14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rrisë disponueshmërinë e të dhënave në tregun audio-vizual, veçanërisht në lidhje me pronësinë e medias.</w:t>
      </w:r>
    </w:p>
    <w:p w:rsidR="00F57B39" w:rsidRPr="00A6284F" w:rsidRDefault="00F57B39" w:rsidP="00F57B39">
      <w:pPr>
        <w:spacing w:before="3" w:line="273" w:lineRule="exact"/>
        <w:ind w:left="144"/>
        <w:textAlignment w:val="baseline"/>
        <w:rPr>
          <w:rFonts w:eastAsia="Times New Roman"/>
          <w:color w:val="000000"/>
          <w:sz w:val="24"/>
          <w:u w:val="single"/>
          <w:lang w:val="sq-AL"/>
        </w:rPr>
      </w:pPr>
    </w:p>
    <w:p w:rsidR="00F57B39" w:rsidRPr="00A6284F" w:rsidRDefault="00F57B39" w:rsidP="00F57B39">
      <w:pPr>
        <w:spacing w:before="3"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Frikësimi i gazetarëve </w:t>
      </w:r>
    </w:p>
    <w:p w:rsidR="00F57B39" w:rsidRPr="00A6284F" w:rsidRDefault="00F57B39" w:rsidP="00F57B39">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Numri i kërcënimeve dhe sulmeve ndaj gazetarëve është zvogëluar. Sipas Asociacionit të Gazetarëve të Kosovës, në vitin 2018 janë raportuar 16 incidente, nga 24 incidente në vitin 2017. Ka pasur një reagim më sistematik nga autoritetet e sundimit të ligjit, me ndihmën e koordinatorëve në polici, prokurori dhe gjykata. Megjithatë, në vitin 2018 ka pasur vetëm një aktakuzë dhe tre dënime lidhur me kërcënimet dhe sulmet ndaj gazetarëve. Zgjidhja e rasteve mbetet përgjithësisht e ngadaltë.</w:t>
      </w:r>
    </w:p>
    <w:p w:rsidR="00F57B39" w:rsidRPr="00A6284F" w:rsidRDefault="00F57B39" w:rsidP="00F57B39">
      <w:pPr>
        <w:spacing w:before="122"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Mjedisi </w:t>
      </w:r>
      <w:r w:rsidR="005652BC" w:rsidRPr="00A6284F">
        <w:rPr>
          <w:rFonts w:eastAsia="Times New Roman"/>
          <w:color w:val="000000"/>
          <w:sz w:val="24"/>
          <w:u w:val="single"/>
          <w:lang w:val="sq-AL"/>
        </w:rPr>
        <w:t>legjislativ</w:t>
      </w:r>
      <w:r w:rsidRPr="00A6284F">
        <w:rPr>
          <w:rFonts w:eastAsia="Times New Roman"/>
          <w:color w:val="000000"/>
          <w:sz w:val="24"/>
          <w:u w:val="single"/>
          <w:lang w:val="sq-AL"/>
        </w:rPr>
        <w:t xml:space="preserve"> </w:t>
      </w:r>
    </w:p>
    <w:p w:rsidR="00F57B39" w:rsidRPr="00A6284F" w:rsidRDefault="00F57B39" w:rsidP="00F57B39">
      <w:pPr>
        <w:spacing w:before="121"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Liria e shprehjes dhe mediat garantohen me kushtetutë, ndërsa legjislacioni për shpifje, gjuhë të urrejtjes dhe fyerje është në përputhje me praktikën gjyqësore të Gjykatës Evropiane për të Drejtat e Njeriut. Ligji për Komisionin e Pavarur për Media çoi në krijimin e një rregullatori të pavarur të cilit autoritetet i kanë siguruar kompetenca të mjaftueshme </w:t>
      </w:r>
      <w:proofErr w:type="spellStart"/>
      <w:r w:rsidRPr="00A6284F">
        <w:rPr>
          <w:rFonts w:eastAsia="Times New Roman"/>
          <w:color w:val="000000"/>
          <w:spacing w:val="1"/>
          <w:sz w:val="24"/>
          <w:lang w:val="sq-AL"/>
        </w:rPr>
        <w:t>rregullatore</w:t>
      </w:r>
      <w:proofErr w:type="spellEnd"/>
      <w:r w:rsidRPr="00A6284F">
        <w:rPr>
          <w:rFonts w:eastAsia="Times New Roman"/>
          <w:color w:val="000000"/>
          <w:spacing w:val="1"/>
          <w:sz w:val="24"/>
          <w:lang w:val="sq-AL"/>
        </w:rPr>
        <w:t>, monitoruese dhe zbatuese për të siguruar që pluralizmi i brendshëm dhe i jashtëm i medias mbrohet. Megjithatë, legjislacioni i tillë nuk mbulon mediat në internet. Legjislacioni mbi informatorët, i cili është adoptuar rishtazi, forcon mbrojtjen e burimeve gazetareske. E drejta e publikut për përgjigje dhe korrigjim mbetet e parregulluar. Ligji i ri për qasje në dokumente publike ende nuk është miratuar.</w:t>
      </w:r>
    </w:p>
    <w:p w:rsidR="00F57B39" w:rsidRPr="00A6284F" w:rsidRDefault="00F57B39" w:rsidP="00F57B39">
      <w:pPr>
        <w:spacing w:before="122"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Zbatimi i legjislacionit/institucionet</w:t>
      </w:r>
    </w:p>
    <w:p w:rsidR="00F57B39" w:rsidRPr="00A6284F" w:rsidRDefault="00F57B39" w:rsidP="00F57B39">
      <w:pPr>
        <w:spacing w:before="121" w:line="276" w:lineRule="exact"/>
        <w:ind w:left="144" w:right="144"/>
        <w:jc w:val="both"/>
        <w:textAlignment w:val="baseline"/>
        <w:rPr>
          <w:rFonts w:eastAsia="Times New Roman"/>
          <w:color w:val="000000"/>
          <w:spacing w:val="3"/>
          <w:sz w:val="24"/>
          <w:lang w:val="sq-AL"/>
        </w:rPr>
      </w:pPr>
      <w:r w:rsidRPr="00A6284F">
        <w:rPr>
          <w:rFonts w:eastAsia="Times New Roman"/>
          <w:color w:val="000000"/>
          <w:spacing w:val="3"/>
          <w:sz w:val="24"/>
          <w:lang w:val="sq-AL"/>
        </w:rPr>
        <w:t>Zbatimi efektiv i legjislacionit mbetet sfidë kryesore për sektorin audio-vizual të Kosovës. Komisioni i Pavarur i Mediave (KPM) nuk ka realizuar ndonjë analizë të tregut gjatë viteve të fundit dhe mbetet prapa lidhur me inicimin e rasteve dhe zbatimin e gjobave për shkeljet ligjore. Qeveria nuk e ka miratuar projekt strategjinë e BN</w:t>
      </w:r>
      <w:r w:rsidR="006D67A2" w:rsidRPr="00A6284F">
        <w:rPr>
          <w:rFonts w:eastAsia="Times New Roman"/>
          <w:color w:val="000000"/>
          <w:spacing w:val="3"/>
          <w:sz w:val="24"/>
          <w:lang w:val="sq-AL"/>
        </w:rPr>
        <w:t>K</w:t>
      </w:r>
      <w:r w:rsidRPr="00A6284F">
        <w:rPr>
          <w:rFonts w:eastAsia="Times New Roman"/>
          <w:color w:val="000000"/>
          <w:spacing w:val="3"/>
          <w:sz w:val="24"/>
          <w:lang w:val="sq-AL"/>
        </w:rPr>
        <w:t xml:space="preserve"> për kalim në transmetim digjital. Gazetat dhe transmetuesit të cilët kanë kaluar në botën </w:t>
      </w:r>
      <w:proofErr w:type="spellStart"/>
      <w:r w:rsidRPr="00A6284F">
        <w:rPr>
          <w:rFonts w:eastAsia="Times New Roman"/>
          <w:color w:val="000000"/>
          <w:spacing w:val="3"/>
          <w:sz w:val="24"/>
          <w:lang w:val="sq-AL"/>
        </w:rPr>
        <w:t>online</w:t>
      </w:r>
      <w:proofErr w:type="spellEnd"/>
      <w:r w:rsidRPr="00A6284F">
        <w:rPr>
          <w:rFonts w:eastAsia="Times New Roman"/>
          <w:color w:val="000000"/>
          <w:spacing w:val="3"/>
          <w:sz w:val="24"/>
          <w:lang w:val="sq-AL"/>
        </w:rPr>
        <w:t xml:space="preserve"> nuk mbikëqyren më. Këshilli i </w:t>
      </w:r>
      <w:r w:rsidR="006D67A2" w:rsidRPr="00A6284F">
        <w:rPr>
          <w:rFonts w:eastAsia="Times New Roman"/>
          <w:color w:val="000000"/>
          <w:spacing w:val="3"/>
          <w:sz w:val="24"/>
          <w:lang w:val="sq-AL"/>
        </w:rPr>
        <w:t>Mediave të Shkruara</w:t>
      </w:r>
      <w:r w:rsidRPr="00A6284F">
        <w:rPr>
          <w:rFonts w:eastAsia="Times New Roman"/>
          <w:color w:val="000000"/>
          <w:spacing w:val="3"/>
          <w:sz w:val="24"/>
          <w:lang w:val="sq-AL"/>
        </w:rPr>
        <w:t xml:space="preserve"> ndjek shtypin </w:t>
      </w:r>
      <w:proofErr w:type="spellStart"/>
      <w:r w:rsidRPr="00A6284F">
        <w:rPr>
          <w:rFonts w:eastAsia="Times New Roman"/>
          <w:color w:val="000000"/>
          <w:spacing w:val="3"/>
          <w:sz w:val="24"/>
          <w:lang w:val="sq-AL"/>
        </w:rPr>
        <w:t>online</w:t>
      </w:r>
      <w:proofErr w:type="spellEnd"/>
      <w:r w:rsidRPr="00A6284F">
        <w:rPr>
          <w:rFonts w:eastAsia="Times New Roman"/>
          <w:color w:val="000000"/>
          <w:spacing w:val="3"/>
          <w:sz w:val="24"/>
          <w:lang w:val="sq-AL"/>
        </w:rPr>
        <w:t xml:space="preserve"> duke reaguar ndaj ankesave, por nuk ka burime të nevojshme për të realizuar hetime apo analiza të tregut. Komisioni i Pavarur i Mediave nuk ka kompetencë për të licencuar dhe monitoruar shërbimet </w:t>
      </w:r>
      <w:proofErr w:type="spellStart"/>
      <w:r w:rsidRPr="00A6284F">
        <w:rPr>
          <w:rFonts w:eastAsia="Times New Roman"/>
          <w:color w:val="000000"/>
          <w:spacing w:val="3"/>
          <w:sz w:val="24"/>
          <w:lang w:val="sq-AL"/>
        </w:rPr>
        <w:t>online</w:t>
      </w:r>
      <w:proofErr w:type="spellEnd"/>
      <w:r w:rsidRPr="00A6284F">
        <w:rPr>
          <w:rFonts w:eastAsia="Times New Roman"/>
          <w:color w:val="000000"/>
          <w:spacing w:val="3"/>
          <w:sz w:val="24"/>
          <w:lang w:val="sq-AL"/>
        </w:rPr>
        <w:t xml:space="preserve"> të medias audio-vizuale (p.sh. video me kërkesë</w:t>
      </w:r>
      <w:r w:rsidR="00B01C30" w:rsidRPr="00A6284F">
        <w:rPr>
          <w:rFonts w:eastAsia="Times New Roman"/>
          <w:color w:val="000000"/>
          <w:spacing w:val="3"/>
          <w:sz w:val="24"/>
          <w:lang w:val="sq-AL"/>
        </w:rPr>
        <w:t xml:space="preserve"> (</w:t>
      </w:r>
      <w:proofErr w:type="spellStart"/>
      <w:r w:rsidR="00B01C30" w:rsidRPr="00A6284F">
        <w:rPr>
          <w:rFonts w:eastAsia="Times New Roman"/>
          <w:color w:val="000000"/>
          <w:spacing w:val="3"/>
          <w:sz w:val="24"/>
          <w:lang w:val="sq-AL"/>
        </w:rPr>
        <w:t>VoD</w:t>
      </w:r>
      <w:proofErr w:type="spellEnd"/>
      <w:r w:rsidR="00B01C30" w:rsidRPr="00A6284F">
        <w:rPr>
          <w:rFonts w:eastAsia="Times New Roman"/>
          <w:color w:val="000000"/>
          <w:spacing w:val="3"/>
          <w:sz w:val="24"/>
          <w:lang w:val="sq-AL"/>
        </w:rPr>
        <w:t>)</w:t>
      </w:r>
      <w:r w:rsidRPr="00A6284F">
        <w:rPr>
          <w:rFonts w:eastAsia="Times New Roman"/>
          <w:color w:val="000000"/>
          <w:spacing w:val="3"/>
          <w:sz w:val="24"/>
          <w:lang w:val="sq-AL"/>
        </w:rPr>
        <w:t xml:space="preserve">, </w:t>
      </w:r>
      <w:proofErr w:type="spellStart"/>
      <w:r w:rsidRPr="00A6284F">
        <w:rPr>
          <w:rFonts w:eastAsia="Times New Roman"/>
          <w:color w:val="000000"/>
          <w:spacing w:val="3"/>
          <w:sz w:val="24"/>
          <w:lang w:val="sq-AL"/>
        </w:rPr>
        <w:t>catch-up</w:t>
      </w:r>
      <w:proofErr w:type="spellEnd"/>
      <w:r w:rsidR="00B01C30" w:rsidRPr="00A6284F">
        <w:rPr>
          <w:rFonts w:eastAsia="Times New Roman"/>
          <w:color w:val="000000"/>
          <w:spacing w:val="3"/>
          <w:sz w:val="24"/>
          <w:lang w:val="sq-AL"/>
        </w:rPr>
        <w:t xml:space="preserve"> TV</w:t>
      </w:r>
      <w:r w:rsidRPr="00A6284F">
        <w:rPr>
          <w:rFonts w:eastAsia="Times New Roman"/>
          <w:color w:val="000000"/>
          <w:spacing w:val="3"/>
          <w:sz w:val="24"/>
          <w:lang w:val="sq-AL"/>
        </w:rPr>
        <w:t xml:space="preserve"> dhe </w:t>
      </w:r>
      <w:proofErr w:type="spellStart"/>
      <w:r w:rsidRPr="00A6284F">
        <w:rPr>
          <w:rFonts w:eastAsia="Times New Roman"/>
          <w:color w:val="000000"/>
          <w:spacing w:val="3"/>
          <w:sz w:val="24"/>
          <w:lang w:val="sq-AL"/>
        </w:rPr>
        <w:t>WebTV</w:t>
      </w:r>
      <w:proofErr w:type="spellEnd"/>
      <w:r w:rsidRPr="00A6284F">
        <w:rPr>
          <w:rFonts w:eastAsia="Times New Roman"/>
          <w:color w:val="000000"/>
          <w:spacing w:val="3"/>
          <w:sz w:val="24"/>
          <w:lang w:val="sq-AL"/>
        </w:rPr>
        <w:t xml:space="preserve">), të cilat ishin mbuluar tashmë nga Direktiva e Shërbimeve të Medias Audio-vizuale të miratuar në vitin 2010. Ndonëse kjo krijon një mjedis të papenguar për median në internet, gjithashtu zvogëlon privatësinë e individëve, duke </w:t>
      </w:r>
      <w:r w:rsidR="00BE38A8" w:rsidRPr="00A6284F">
        <w:rPr>
          <w:rFonts w:eastAsia="Times New Roman"/>
          <w:color w:val="000000"/>
          <w:spacing w:val="3"/>
          <w:sz w:val="24"/>
          <w:lang w:val="sq-AL"/>
        </w:rPr>
        <w:t>rezultuar me</w:t>
      </w:r>
      <w:r w:rsidRPr="00A6284F">
        <w:rPr>
          <w:rFonts w:eastAsia="Times New Roman"/>
          <w:color w:val="000000"/>
          <w:spacing w:val="3"/>
          <w:sz w:val="24"/>
          <w:lang w:val="sq-AL"/>
        </w:rPr>
        <w:t xml:space="preserve"> raste të </w:t>
      </w:r>
      <w:r w:rsidR="00BE38A8" w:rsidRPr="00A6284F">
        <w:rPr>
          <w:rFonts w:eastAsia="Times New Roman"/>
          <w:color w:val="000000"/>
          <w:spacing w:val="3"/>
          <w:sz w:val="24"/>
          <w:lang w:val="sq-AL"/>
        </w:rPr>
        <w:t xml:space="preserve">pretendimeve </w:t>
      </w:r>
      <w:r w:rsidRPr="00A6284F">
        <w:rPr>
          <w:rFonts w:eastAsia="Times New Roman"/>
          <w:color w:val="000000"/>
          <w:spacing w:val="3"/>
          <w:sz w:val="24"/>
          <w:lang w:val="sq-AL"/>
        </w:rPr>
        <w:t>për gjuhë të urrejtjes, shpifje dhe fyerje. E drejta e qasjes në informata publike dëmtohet nga zbatimi i fragmentuar i legjislacionit përkatës nga autoritetet. Qeveria duhet të përfshihet më aktivisht në zhvillimin e politikave në sektorin e medias.</w:t>
      </w:r>
    </w:p>
    <w:p w:rsidR="00F57B39" w:rsidRPr="00A6284F" w:rsidRDefault="00F57B39" w:rsidP="00F57B39">
      <w:pPr>
        <w:spacing w:before="122"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Transmetuesi publik</w:t>
      </w:r>
    </w:p>
    <w:p w:rsidR="00F57B39" w:rsidRPr="00A6284F" w:rsidRDefault="00F57B39" w:rsidP="00F57B39">
      <w:pPr>
        <w:spacing w:before="123"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Kuvendi ka hartuar një ligj të ri për transmetuesin publik, duke përfshirë një zgjidhje potenciale për financimin e qëndrueshëm të Radio Televizionit të Kosovës (RTK). Deri më tani, transmetuesi mbetet drejtpërdrejtë i financuar nga shteti, me buxhet të përcaktuar çdo vit nga Kuvendi. Kjo zvogëlon pavarësinë e tij, dobëson qëndrueshmërinë e tij afatgjate dhe e lë të </w:t>
      </w:r>
      <w:proofErr w:type="spellStart"/>
      <w:r w:rsidRPr="00A6284F">
        <w:rPr>
          <w:rFonts w:eastAsia="Times New Roman"/>
          <w:color w:val="000000"/>
          <w:spacing w:val="-1"/>
          <w:sz w:val="24"/>
          <w:lang w:val="sq-AL"/>
        </w:rPr>
        <w:lastRenderedPageBreak/>
        <w:t>prirur</w:t>
      </w:r>
      <w:proofErr w:type="spellEnd"/>
      <w:r w:rsidRPr="00A6284F">
        <w:rPr>
          <w:rFonts w:eastAsia="Times New Roman"/>
          <w:color w:val="000000"/>
          <w:spacing w:val="-1"/>
          <w:sz w:val="24"/>
          <w:lang w:val="sq-AL"/>
        </w:rPr>
        <w:t xml:space="preserve"> ndaj ndikimit politik. Sindikatat pohojnë mungesë të transparencës në procedurat e tij të rekrutimit</w:t>
      </w:r>
      <w:r w:rsidRPr="00A6284F">
        <w:rPr>
          <w:rFonts w:eastAsia="Times New Roman"/>
          <w:color w:val="000000"/>
          <w:sz w:val="24"/>
          <w:lang w:val="sq-AL"/>
        </w:rPr>
        <w:t>.</w:t>
      </w:r>
    </w:p>
    <w:p w:rsidR="00F57B39" w:rsidRPr="00A6284F" w:rsidRDefault="00F57B39" w:rsidP="00F57B39">
      <w:pPr>
        <w:spacing w:before="125"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Faktorët ekonomikë</w:t>
      </w:r>
    </w:p>
    <w:p w:rsidR="00F57B39" w:rsidRPr="00A6284F" w:rsidRDefault="00F57B39" w:rsidP="00F57B39">
      <w:pPr>
        <w:spacing w:before="119"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Subjektet </w:t>
      </w:r>
      <w:proofErr w:type="spellStart"/>
      <w:r w:rsidRPr="00A6284F">
        <w:rPr>
          <w:rFonts w:eastAsia="Times New Roman"/>
          <w:color w:val="000000"/>
          <w:sz w:val="24"/>
          <w:lang w:val="sq-AL"/>
        </w:rPr>
        <w:t>mediale</w:t>
      </w:r>
      <w:proofErr w:type="spellEnd"/>
      <w:r w:rsidRPr="00A6284F">
        <w:rPr>
          <w:rFonts w:eastAsia="Times New Roman"/>
          <w:color w:val="000000"/>
          <w:sz w:val="24"/>
          <w:lang w:val="sq-AL"/>
        </w:rPr>
        <w:t xml:space="preserve"> përgjithësisht nuk janë ekonomikisht të qëndrueshme. Mungesa e një sistemi të matjes së audiencës dhe i një industrie të fuqishme private reklamuese nënkupton që transmetuesit privat varen nga burime</w:t>
      </w:r>
      <w:r w:rsidR="00F7057B" w:rsidRPr="00A6284F">
        <w:rPr>
          <w:rFonts w:eastAsia="Times New Roman"/>
          <w:color w:val="000000"/>
          <w:sz w:val="24"/>
          <w:lang w:val="sq-AL"/>
        </w:rPr>
        <w:t>t</w:t>
      </w:r>
      <w:r w:rsidRPr="00A6284F">
        <w:rPr>
          <w:rFonts w:eastAsia="Times New Roman"/>
          <w:color w:val="000000"/>
          <w:sz w:val="24"/>
          <w:lang w:val="sq-AL"/>
        </w:rPr>
        <w:t xml:space="preserve"> </w:t>
      </w:r>
      <w:r w:rsidR="00F7057B" w:rsidRPr="00A6284F">
        <w:rPr>
          <w:rFonts w:eastAsia="Times New Roman"/>
          <w:color w:val="000000"/>
          <w:sz w:val="24"/>
          <w:lang w:val="sq-AL"/>
        </w:rPr>
        <w:t xml:space="preserve">e </w:t>
      </w:r>
      <w:r w:rsidRPr="00A6284F">
        <w:rPr>
          <w:rFonts w:eastAsia="Times New Roman"/>
          <w:color w:val="000000"/>
          <w:sz w:val="24"/>
          <w:lang w:val="sq-AL"/>
        </w:rPr>
        <w:t>tjera të financimit si dhe pak prej tyre kanë gjasa të veprojnë pa lidhje të forta me grupet e interesave politikë e afaristë.</w:t>
      </w:r>
    </w:p>
    <w:p w:rsidR="00F57B39" w:rsidRPr="00A6284F" w:rsidRDefault="00F57B39" w:rsidP="00F57B39">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Mungesa e të dhënave është një tjetër sfidë e madhe për Kosovën: informacioni mbi strukturat e pronësisë </w:t>
      </w:r>
      <w:proofErr w:type="spellStart"/>
      <w:r w:rsidRPr="00A6284F">
        <w:rPr>
          <w:rFonts w:eastAsia="Times New Roman"/>
          <w:color w:val="000000"/>
          <w:sz w:val="24"/>
          <w:lang w:val="sq-AL"/>
        </w:rPr>
        <w:t>mediale</w:t>
      </w:r>
      <w:proofErr w:type="spellEnd"/>
      <w:r w:rsidRPr="00A6284F">
        <w:rPr>
          <w:rFonts w:eastAsia="Times New Roman"/>
          <w:color w:val="000000"/>
          <w:sz w:val="24"/>
          <w:lang w:val="sq-AL"/>
        </w:rPr>
        <w:t xml:space="preserve">, veçanërisht për mediat </w:t>
      </w:r>
      <w:proofErr w:type="spellStart"/>
      <w:r w:rsidRPr="00A6284F">
        <w:rPr>
          <w:rFonts w:eastAsia="Times New Roman"/>
          <w:color w:val="000000"/>
          <w:sz w:val="24"/>
          <w:lang w:val="sq-AL"/>
        </w:rPr>
        <w:t>online</w:t>
      </w:r>
      <w:proofErr w:type="spellEnd"/>
      <w:r w:rsidRPr="00A6284F">
        <w:rPr>
          <w:rFonts w:eastAsia="Times New Roman"/>
          <w:color w:val="000000"/>
          <w:sz w:val="24"/>
          <w:lang w:val="sq-AL"/>
        </w:rPr>
        <w:t xml:space="preserve">, mbetet i paqartë dhe shpesh fiktiv, pasi që shumica e mediave nuk ofrojnë informacion mbi financat e tyre apo pronësinë reale. Nuk ka të dhëna për audiencat apo shpërndarjen e fondeve të reklamave ose fondeve që u ofrohen transmetuesve nga qeveria qendrore apo lokale. Rrjedhimisht, nuk ka as transparencë, as shpërndarje të drejtë të burimeve të financimit midis subjekteve </w:t>
      </w:r>
      <w:proofErr w:type="spellStart"/>
      <w:r w:rsidRPr="00A6284F">
        <w:rPr>
          <w:rFonts w:eastAsia="Times New Roman"/>
          <w:color w:val="000000"/>
          <w:sz w:val="24"/>
          <w:lang w:val="sq-AL"/>
        </w:rPr>
        <w:t>mediale</w:t>
      </w:r>
      <w:proofErr w:type="spellEnd"/>
      <w:r w:rsidRPr="00A6284F">
        <w:rPr>
          <w:rFonts w:eastAsia="Times New Roman"/>
          <w:color w:val="000000"/>
          <w:sz w:val="24"/>
          <w:lang w:val="sq-AL"/>
        </w:rPr>
        <w:t xml:space="preserve"> dhe asnjë mënyrë për të ditur nëse ato përqendrohen në duart e pak njerëzve që mund të rrezikojnë lirinë e shprehjes.</w:t>
      </w:r>
    </w:p>
    <w:p w:rsidR="00F57B39" w:rsidRPr="00A6284F" w:rsidRDefault="00F57B39" w:rsidP="00F57B39">
      <w:pPr>
        <w:spacing w:before="125"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Organizatat profesionale dhe kushtet e punës</w:t>
      </w:r>
    </w:p>
    <w:p w:rsidR="00F57B39" w:rsidRPr="00A6284F" w:rsidRDefault="00F57B39" w:rsidP="00F57B39">
      <w:pPr>
        <w:spacing w:before="119"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Shoqatat e gazetarëve në Kosovë kanë qenë aktive në dënimin e incidenteve dhe kërcënimeve ndaj gazetarëve. Ato kanë rritur edhe bashkëpunimin me Policinë e Kosovës dhe Prokuroritë për të përcjellë këto raste. Megjithatë, angazhimi i tyre në diskutimin e nismave ligjore për çështjet </w:t>
      </w:r>
      <w:proofErr w:type="spellStart"/>
      <w:r w:rsidRPr="00A6284F">
        <w:rPr>
          <w:rFonts w:eastAsia="Times New Roman"/>
          <w:color w:val="000000"/>
          <w:sz w:val="24"/>
          <w:lang w:val="sq-AL"/>
        </w:rPr>
        <w:t>mediale</w:t>
      </w:r>
      <w:proofErr w:type="spellEnd"/>
      <w:r w:rsidRPr="00A6284F">
        <w:rPr>
          <w:rFonts w:eastAsia="Times New Roman"/>
          <w:color w:val="000000"/>
          <w:sz w:val="24"/>
          <w:lang w:val="sq-AL"/>
        </w:rPr>
        <w:t xml:space="preserve"> mbetet i kufizuar. Shoqatat e gazetarëve mbeten kryesisht të ndara përgjatë vijave etnike, si dhe konsiderohen të dobëta. Gazetarët shpesh punojnë pa kontrata, gjë që i bën ata të cenueshëm ndaj korrupsionit dhe të </w:t>
      </w:r>
      <w:proofErr w:type="spellStart"/>
      <w:r w:rsidRPr="00A6284F">
        <w:rPr>
          <w:rFonts w:eastAsia="Times New Roman"/>
          <w:color w:val="000000"/>
          <w:sz w:val="24"/>
          <w:lang w:val="sq-AL"/>
        </w:rPr>
        <w:t>prirur</w:t>
      </w:r>
      <w:proofErr w:type="spellEnd"/>
      <w:r w:rsidRPr="00A6284F">
        <w:rPr>
          <w:rFonts w:eastAsia="Times New Roman"/>
          <w:color w:val="000000"/>
          <w:sz w:val="24"/>
          <w:lang w:val="sq-AL"/>
        </w:rPr>
        <w:t xml:space="preserve"> ndaj vetë-censurimit.</w:t>
      </w:r>
    </w:p>
    <w:p w:rsidR="00F57B39" w:rsidRPr="00A6284F" w:rsidRDefault="00AE58C8" w:rsidP="00F57B39">
      <w:pPr>
        <w:spacing w:before="119" w:after="253" w:line="276" w:lineRule="exact"/>
        <w:ind w:left="72"/>
        <w:textAlignment w:val="baseline"/>
        <w:rPr>
          <w:rFonts w:eastAsia="Times New Roman"/>
          <w:color w:val="000000"/>
          <w:sz w:val="24"/>
          <w:lang w:val="sq-AL"/>
        </w:rPr>
      </w:pPr>
      <w:r w:rsidRPr="00A6284F">
        <w:rPr>
          <w:lang w:val="sq-AL"/>
        </w:rPr>
        <w:pict>
          <v:line id="_x0000_s1175" style="position:absolute;left:0;text-align:left;z-index:251771904;mso-position-horizontal-relative:page;mso-position-vertical-relative:page" from="71.3pt,399.9pt" to="521.55pt,399.9pt" strokeweight="1.2pt">
            <v:stroke dashstyle="dash"/>
            <w10:wrap anchorx="page" anchory="page"/>
          </v:line>
        </w:pict>
      </w:r>
      <w:r w:rsidR="00F57B39" w:rsidRPr="00A6284F">
        <w:rPr>
          <w:rFonts w:eastAsia="Times New Roman"/>
          <w:color w:val="000000"/>
          <w:sz w:val="24"/>
          <w:lang w:val="sq-AL"/>
        </w:rPr>
        <w:t>(</w:t>
      </w:r>
      <w:r w:rsidR="00F57B39" w:rsidRPr="00A6284F">
        <w:rPr>
          <w:rFonts w:eastAsia="Times New Roman"/>
          <w:i/>
          <w:color w:val="000000"/>
          <w:sz w:val="24"/>
          <w:lang w:val="sq-AL"/>
        </w:rPr>
        <w:t>Shih gjithashtu Kapitullin 10 - Shoqëria e informacionit dhe mediat</w:t>
      </w:r>
      <w:r w:rsidR="00F57B39" w:rsidRPr="00A6284F">
        <w:rPr>
          <w:rFonts w:eastAsia="Times New Roman"/>
          <w:color w:val="000000"/>
          <w:sz w:val="24"/>
          <w:lang w:val="sq-AL"/>
        </w:rPr>
        <w:t>)</w:t>
      </w:r>
    </w:p>
    <w:p w:rsidR="00F57B39" w:rsidRPr="00A6284F" w:rsidRDefault="00F57B39" w:rsidP="00F57B39">
      <w:pPr>
        <w:spacing w:before="250" w:line="276" w:lineRule="exact"/>
        <w:ind w:left="72" w:right="144"/>
        <w:jc w:val="both"/>
        <w:textAlignment w:val="baseline"/>
        <w:rPr>
          <w:rFonts w:eastAsia="Times New Roman"/>
          <w:b/>
          <w:color w:val="000000"/>
          <w:sz w:val="24"/>
          <w:lang w:val="sq-AL"/>
        </w:rPr>
      </w:pPr>
      <w:r w:rsidRPr="00A6284F">
        <w:rPr>
          <w:rFonts w:eastAsia="Times New Roman"/>
          <w:b/>
          <w:bCs/>
          <w:color w:val="000000"/>
          <w:sz w:val="24"/>
          <w:lang w:val="sq-AL"/>
        </w:rPr>
        <w:t xml:space="preserve">Liria e grumbullimit dhe </w:t>
      </w:r>
      <w:proofErr w:type="spellStart"/>
      <w:r w:rsidRPr="00A6284F">
        <w:rPr>
          <w:rFonts w:eastAsia="Times New Roman"/>
          <w:b/>
          <w:bCs/>
          <w:color w:val="000000"/>
          <w:sz w:val="24"/>
          <w:lang w:val="sq-AL"/>
        </w:rPr>
        <w:t>asocimit</w:t>
      </w:r>
      <w:proofErr w:type="spellEnd"/>
      <w:r w:rsidRPr="00A6284F">
        <w:rPr>
          <w:rFonts w:eastAsia="Times New Roman"/>
          <w:color w:val="000000"/>
          <w:sz w:val="24"/>
          <w:lang w:val="sq-AL"/>
        </w:rPr>
        <w:t xml:space="preserve"> garantohet me Kushtetutë, si dhe njerëzit në Kosovë i kanë gëzuar këto të drejta duke demonstruar e protestuar kundrejt qeverisë në niveleve të ndryshme. Individët dhe subjektet juridike kanë të drejtë të themelojnë shoqata pa pasur nevojë t'i regjistrojnë ato, por shumica e organizatave vendosin të regjistrohen për të siguruar subjektivitet juridik.</w:t>
      </w:r>
    </w:p>
    <w:p w:rsidR="00F57B39" w:rsidRPr="00A6284F" w:rsidRDefault="00F57B39" w:rsidP="00F57B39">
      <w:pPr>
        <w:spacing w:before="121" w:line="276" w:lineRule="exact"/>
        <w:ind w:left="72" w:right="144"/>
        <w:jc w:val="both"/>
        <w:textAlignment w:val="baseline"/>
        <w:rPr>
          <w:rFonts w:eastAsia="Times New Roman"/>
          <w:i/>
          <w:iCs/>
          <w:color w:val="000000"/>
          <w:sz w:val="24"/>
          <w:lang w:val="sq-AL"/>
        </w:rPr>
      </w:pPr>
      <w:r w:rsidRPr="00A6284F">
        <w:rPr>
          <w:rFonts w:eastAsia="Times New Roman"/>
          <w:color w:val="000000"/>
          <w:sz w:val="24"/>
          <w:lang w:val="sq-AL"/>
        </w:rPr>
        <w:t xml:space="preserve">Çështjet e të </w:t>
      </w:r>
      <w:r w:rsidRPr="00A6284F">
        <w:rPr>
          <w:rFonts w:eastAsia="Times New Roman"/>
          <w:b/>
          <w:bCs/>
          <w:color w:val="000000"/>
          <w:sz w:val="24"/>
          <w:lang w:val="sq-AL"/>
        </w:rPr>
        <w:t>drejtave për punë dhe sindikata</w:t>
      </w:r>
      <w:r w:rsidRPr="00A6284F">
        <w:rPr>
          <w:rFonts w:eastAsia="Times New Roman"/>
          <w:color w:val="000000"/>
          <w:sz w:val="24"/>
          <w:lang w:val="sq-AL"/>
        </w:rPr>
        <w:t xml:space="preserve"> mbulohen më tej në </w:t>
      </w:r>
      <w:r w:rsidRPr="00A6284F">
        <w:rPr>
          <w:rFonts w:eastAsia="Times New Roman"/>
          <w:i/>
          <w:iCs/>
          <w:color w:val="000000"/>
          <w:sz w:val="24"/>
          <w:lang w:val="sq-AL"/>
        </w:rPr>
        <w:t>Kapitullin 19 - Politika sociale dhe punësimi.</w:t>
      </w:r>
    </w:p>
    <w:p w:rsidR="00F57B39" w:rsidRPr="00A6284F" w:rsidRDefault="00F57B39" w:rsidP="00F57B39">
      <w:pPr>
        <w:spacing w:before="121"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Për të </w:t>
      </w:r>
      <w:r w:rsidRPr="00A6284F">
        <w:rPr>
          <w:rFonts w:eastAsia="Times New Roman"/>
          <w:b/>
          <w:bCs/>
          <w:color w:val="000000"/>
          <w:spacing w:val="1"/>
          <w:sz w:val="24"/>
          <w:lang w:val="sq-AL"/>
        </w:rPr>
        <w:t>drejtat e pronësisë</w:t>
      </w:r>
      <w:r w:rsidRPr="00A6284F">
        <w:rPr>
          <w:rFonts w:eastAsia="Times New Roman"/>
          <w:color w:val="000000"/>
          <w:spacing w:val="1"/>
          <w:sz w:val="24"/>
          <w:lang w:val="sq-AL"/>
        </w:rPr>
        <w:t>, korniza ligjore dhe institucionale që rregullon zgjidhjen e pretendimeve pronësore të ndërlidhura me konflikt</w:t>
      </w:r>
      <w:r w:rsidR="000D1412" w:rsidRPr="00A6284F">
        <w:rPr>
          <w:rFonts w:eastAsia="Times New Roman"/>
          <w:color w:val="000000"/>
          <w:spacing w:val="1"/>
          <w:sz w:val="24"/>
          <w:lang w:val="sq-AL"/>
        </w:rPr>
        <w:t>in</w:t>
      </w:r>
      <w:r w:rsidRPr="00A6284F">
        <w:rPr>
          <w:rFonts w:eastAsia="Times New Roman"/>
          <w:color w:val="000000"/>
          <w:spacing w:val="1"/>
          <w:sz w:val="24"/>
          <w:lang w:val="sq-AL"/>
        </w:rPr>
        <w:t xml:space="preserve"> është përgjithësi</w:t>
      </w:r>
      <w:r w:rsidR="000D1412" w:rsidRPr="00A6284F">
        <w:rPr>
          <w:rFonts w:eastAsia="Times New Roman"/>
          <w:color w:val="000000"/>
          <w:spacing w:val="1"/>
          <w:sz w:val="24"/>
          <w:lang w:val="sq-AL"/>
        </w:rPr>
        <w:t>sht</w:t>
      </w:r>
      <w:r w:rsidRPr="00A6284F">
        <w:rPr>
          <w:rFonts w:eastAsia="Times New Roman"/>
          <w:color w:val="000000"/>
          <w:spacing w:val="1"/>
          <w:sz w:val="24"/>
          <w:lang w:val="sq-AL"/>
        </w:rPr>
        <w:t xml:space="preserve"> adekuate por përmirësim i mëtejshëm është i nevojshëm në disa fusha kritike për të siguruar </w:t>
      </w:r>
      <w:r w:rsidR="000D1412" w:rsidRPr="00A6284F">
        <w:rPr>
          <w:rFonts w:eastAsia="Times New Roman"/>
          <w:color w:val="000000"/>
          <w:spacing w:val="1"/>
          <w:sz w:val="24"/>
          <w:lang w:val="sq-AL"/>
        </w:rPr>
        <w:t xml:space="preserve">realizimin e plotë </w:t>
      </w:r>
      <w:r w:rsidRPr="00A6284F">
        <w:rPr>
          <w:rFonts w:eastAsia="Times New Roman"/>
          <w:color w:val="000000"/>
          <w:spacing w:val="1"/>
          <w:sz w:val="24"/>
          <w:lang w:val="sq-AL"/>
        </w:rPr>
        <w:t>të drejta</w:t>
      </w:r>
      <w:r w:rsidR="000D1412" w:rsidRPr="00A6284F">
        <w:rPr>
          <w:rFonts w:eastAsia="Times New Roman"/>
          <w:color w:val="000000"/>
          <w:spacing w:val="1"/>
          <w:sz w:val="24"/>
          <w:lang w:val="sq-AL"/>
        </w:rPr>
        <w:t>ve</w:t>
      </w:r>
      <w:r w:rsidRPr="00A6284F">
        <w:rPr>
          <w:rFonts w:eastAsia="Times New Roman"/>
          <w:color w:val="000000"/>
          <w:spacing w:val="1"/>
          <w:sz w:val="24"/>
          <w:lang w:val="sq-AL"/>
        </w:rPr>
        <w:t xml:space="preserve"> pronësore. Pavarësisht </w:t>
      </w:r>
      <w:r w:rsidR="000D1412" w:rsidRPr="00A6284F">
        <w:rPr>
          <w:rFonts w:eastAsia="Times New Roman"/>
          <w:color w:val="000000"/>
          <w:spacing w:val="1"/>
          <w:sz w:val="24"/>
          <w:lang w:val="sq-AL"/>
        </w:rPr>
        <w:t>ndarjes</w:t>
      </w:r>
      <w:r w:rsidRPr="00A6284F">
        <w:rPr>
          <w:rFonts w:eastAsia="Times New Roman"/>
          <w:color w:val="000000"/>
          <w:spacing w:val="1"/>
          <w:sz w:val="24"/>
          <w:lang w:val="sq-AL"/>
        </w:rPr>
        <w:t xml:space="preserve"> së fondeve për skemën e kompensimit, asnjë </w:t>
      </w:r>
      <w:r w:rsidR="000D1412" w:rsidRPr="00A6284F">
        <w:rPr>
          <w:rFonts w:eastAsia="Times New Roman"/>
          <w:color w:val="000000"/>
          <w:spacing w:val="1"/>
          <w:sz w:val="24"/>
          <w:lang w:val="sq-AL"/>
        </w:rPr>
        <w:t xml:space="preserve">nga </w:t>
      </w:r>
      <w:r w:rsidRPr="00A6284F">
        <w:rPr>
          <w:rFonts w:eastAsia="Times New Roman"/>
          <w:color w:val="000000"/>
          <w:spacing w:val="1"/>
          <w:sz w:val="24"/>
          <w:lang w:val="sq-AL"/>
        </w:rPr>
        <w:t>pronar</w:t>
      </w:r>
      <w:r w:rsidR="000D1412" w:rsidRPr="00A6284F">
        <w:rPr>
          <w:rFonts w:eastAsia="Times New Roman"/>
          <w:color w:val="000000"/>
          <w:spacing w:val="1"/>
          <w:sz w:val="24"/>
          <w:lang w:val="sq-AL"/>
        </w:rPr>
        <w:t>ët</w:t>
      </w:r>
      <w:r w:rsidRPr="00A6284F">
        <w:rPr>
          <w:rFonts w:eastAsia="Times New Roman"/>
          <w:color w:val="000000"/>
          <w:spacing w:val="1"/>
          <w:sz w:val="24"/>
          <w:lang w:val="sq-AL"/>
        </w:rPr>
        <w:t xml:space="preserve"> </w:t>
      </w:r>
      <w:r w:rsidR="000D1412" w:rsidRPr="00A6284F">
        <w:rPr>
          <w:rFonts w:eastAsia="Times New Roman"/>
          <w:color w:val="000000"/>
          <w:spacing w:val="1"/>
          <w:sz w:val="24"/>
          <w:lang w:val="sq-AL"/>
        </w:rPr>
        <w:t>e ish-pronave t</w:t>
      </w:r>
      <w:r w:rsidRPr="00A6284F">
        <w:rPr>
          <w:rFonts w:eastAsia="Times New Roman"/>
          <w:color w:val="000000"/>
          <w:spacing w:val="1"/>
          <w:sz w:val="24"/>
          <w:lang w:val="sq-AL"/>
        </w:rPr>
        <w:t xml:space="preserve">ë banimit </w:t>
      </w:r>
      <w:r w:rsidR="000D1412" w:rsidRPr="00A6284F">
        <w:rPr>
          <w:rFonts w:eastAsia="Times New Roman"/>
          <w:color w:val="000000"/>
          <w:spacing w:val="1"/>
          <w:sz w:val="24"/>
          <w:lang w:val="sq-AL"/>
        </w:rPr>
        <w:t>në</w:t>
      </w:r>
      <w:r w:rsidRPr="00A6284F">
        <w:rPr>
          <w:rFonts w:eastAsia="Times New Roman"/>
          <w:color w:val="000000"/>
          <w:spacing w:val="1"/>
          <w:sz w:val="24"/>
          <w:lang w:val="sq-AL"/>
        </w:rPr>
        <w:t xml:space="preserve"> pronësi shoqërore </w:t>
      </w:r>
      <w:r w:rsidR="000D1412"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prekur nga konflikti nuk është kompensuar ende. Një çështje tjetër sfiduese është </w:t>
      </w:r>
      <w:proofErr w:type="spellStart"/>
      <w:r w:rsidRPr="00A6284F">
        <w:rPr>
          <w:rFonts w:eastAsia="Times New Roman"/>
          <w:color w:val="000000"/>
          <w:spacing w:val="1"/>
          <w:sz w:val="24"/>
          <w:lang w:val="sq-AL"/>
        </w:rPr>
        <w:t>riokupimi</w:t>
      </w:r>
      <w:proofErr w:type="spellEnd"/>
      <w:r w:rsidRPr="00A6284F">
        <w:rPr>
          <w:rFonts w:eastAsia="Times New Roman"/>
          <w:color w:val="000000"/>
          <w:spacing w:val="1"/>
          <w:sz w:val="24"/>
          <w:lang w:val="sq-AL"/>
        </w:rPr>
        <w:t xml:space="preserve"> i paligjshëm i pronave, pasi që Agjencia Kosovare e Krahasimit dhe Verifikimit të Pronës nuk ka autoritet të veprojë për </w:t>
      </w:r>
      <w:proofErr w:type="spellStart"/>
      <w:r w:rsidRPr="00A6284F">
        <w:rPr>
          <w:rFonts w:eastAsia="Times New Roman"/>
          <w:color w:val="000000"/>
          <w:spacing w:val="1"/>
          <w:sz w:val="24"/>
          <w:lang w:val="sq-AL"/>
        </w:rPr>
        <w:t>riokupim</w:t>
      </w:r>
      <w:proofErr w:type="spellEnd"/>
      <w:r w:rsidRPr="00A6284F">
        <w:rPr>
          <w:rFonts w:eastAsia="Times New Roman"/>
          <w:color w:val="000000"/>
          <w:spacing w:val="1"/>
          <w:sz w:val="24"/>
          <w:lang w:val="sq-AL"/>
        </w:rPr>
        <w:t xml:space="preserve"> pas dëbimit të dytë. Qeveria ka miratuar një ligj ndryshues që i </w:t>
      </w:r>
      <w:r w:rsidR="00D97E3F" w:rsidRPr="00A6284F">
        <w:rPr>
          <w:rFonts w:eastAsia="Times New Roman"/>
          <w:color w:val="000000"/>
          <w:spacing w:val="1"/>
          <w:sz w:val="24"/>
          <w:lang w:val="sq-AL"/>
        </w:rPr>
        <w:t xml:space="preserve">lejon </w:t>
      </w:r>
      <w:r w:rsidRPr="00A6284F">
        <w:rPr>
          <w:rFonts w:eastAsia="Times New Roman"/>
          <w:color w:val="000000"/>
          <w:spacing w:val="1"/>
          <w:sz w:val="24"/>
          <w:lang w:val="sq-AL"/>
        </w:rPr>
        <w:t xml:space="preserve">Agjencisë të kryejë dëbime të shumta dhe është në pritje të miratimit nga Kuvendi. Ekzistojnë shqetësime rreth transaksioneve mashtruese të pronës dhe transferimeve të paligjshme të pronësisë së pronave që kryesisht i përkasin personave të zhvendosur. Vendimet e Gjykatës Kushtetuese për çështjet e pronës duhet të respektohen plotësisht dhe të zbatohen me kohë. Një zhvillim pozitiv ishte miratimi i Ligji për Tatimin në Pronë; i cili parasheh se personave prona e të cilëve është marrë në posedim në mënyrë të paligjshme lirohen nga tatimet e grumbulluara gjatë periudhës së posedimit të paligjshëm. </w:t>
      </w:r>
      <w:r w:rsidR="00D97E3F" w:rsidRPr="00A6284F">
        <w:rPr>
          <w:rFonts w:eastAsia="Times New Roman"/>
          <w:color w:val="000000"/>
          <w:spacing w:val="1"/>
          <w:sz w:val="24"/>
          <w:lang w:val="sq-AL"/>
        </w:rPr>
        <w:t xml:space="preserve">Progres deri në </w:t>
      </w:r>
      <w:r w:rsidRPr="00A6284F">
        <w:rPr>
          <w:rFonts w:eastAsia="Times New Roman"/>
          <w:color w:val="000000"/>
          <w:spacing w:val="1"/>
          <w:sz w:val="24"/>
          <w:lang w:val="sq-AL"/>
        </w:rPr>
        <w:t xml:space="preserve">një masë </w:t>
      </w:r>
      <w:r w:rsidR="00D97E3F" w:rsidRPr="00A6284F">
        <w:rPr>
          <w:rFonts w:eastAsia="Times New Roman"/>
          <w:color w:val="000000"/>
          <w:spacing w:val="1"/>
          <w:sz w:val="24"/>
          <w:lang w:val="sq-AL"/>
        </w:rPr>
        <w:t xml:space="preserve">është arritur edhe </w:t>
      </w:r>
      <w:r w:rsidRPr="00A6284F">
        <w:rPr>
          <w:rFonts w:eastAsia="Times New Roman"/>
          <w:color w:val="000000"/>
          <w:spacing w:val="1"/>
          <w:sz w:val="24"/>
          <w:lang w:val="sq-AL"/>
        </w:rPr>
        <w:t xml:space="preserve">në çështjen e 350,000 ndërtimeve pa leje, nëpërmjet ndryshimeve në Ligjin për trajtimin e ndërtimeve pa leje. Prova e pronësisë e kërkuar nga ligji i ndryshuar duhet të ndihmojë në mbrojtjen e të drejtave pronësore të personave të zhvendosur. Kur bëhet fjalë për vendbanimet joformale në shkallë të lartë, ekziston mungesë e vazhdueshme e vullnetit </w:t>
      </w:r>
      <w:r w:rsidRPr="00A6284F">
        <w:rPr>
          <w:rFonts w:eastAsia="Times New Roman"/>
          <w:color w:val="000000"/>
          <w:spacing w:val="1"/>
          <w:sz w:val="24"/>
          <w:lang w:val="sq-AL"/>
        </w:rPr>
        <w:lastRenderedPageBreak/>
        <w:t>politik për të adresuar këtë çështje.</w:t>
      </w:r>
      <w:r w:rsidR="00D97E3F" w:rsidRPr="00A6284F">
        <w:rPr>
          <w:rFonts w:eastAsia="Times New Roman"/>
          <w:color w:val="000000"/>
          <w:spacing w:val="1"/>
          <w:sz w:val="24"/>
          <w:lang w:val="sq-AL"/>
        </w:rPr>
        <w:t xml:space="preserve"> </w:t>
      </w:r>
      <w:r w:rsidRPr="00A6284F">
        <w:rPr>
          <w:rFonts w:eastAsia="Times New Roman"/>
          <w:color w:val="000000"/>
          <w:sz w:val="24"/>
          <w:lang w:val="sq-AL"/>
        </w:rPr>
        <w:t>Të drejtat pronësore të grave janë forcuar në ligjet e reja për trashëgiminë, familjen dhe noterinë, të miratuara në nëntor 2018, dhe masa për regjistrimin e pasurisë së paluajtshme në emër të dy bashkëshortëve pa pagesë u zgjat deri në prill të vitit 2019. Megjithatë, gratë në përgjithësi vazhdojnë të përballen me sfida reale sa i përket pronësisë së pronës dhe trashëgimisë. Ato zotërojnë më pak se 20% të pronave.</w:t>
      </w:r>
    </w:p>
    <w:p w:rsidR="00F57B39" w:rsidRPr="00A6284F" w:rsidRDefault="00F57B39" w:rsidP="00F57B39">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Lidhur me </w:t>
      </w:r>
      <w:r w:rsidRPr="00A6284F">
        <w:rPr>
          <w:rFonts w:eastAsia="Times New Roman"/>
          <w:b/>
          <w:bCs/>
          <w:color w:val="000000"/>
          <w:sz w:val="24"/>
          <w:lang w:val="sq-AL"/>
        </w:rPr>
        <w:t>mos</w:t>
      </w:r>
      <w:r w:rsidR="00D97E3F" w:rsidRPr="00A6284F">
        <w:rPr>
          <w:rFonts w:eastAsia="Times New Roman"/>
          <w:b/>
          <w:bCs/>
          <w:color w:val="000000"/>
          <w:sz w:val="24"/>
          <w:lang w:val="sq-AL"/>
        </w:rPr>
        <w:t>-</w:t>
      </w:r>
      <w:r w:rsidRPr="00A6284F">
        <w:rPr>
          <w:rFonts w:eastAsia="Times New Roman"/>
          <w:b/>
          <w:bCs/>
          <w:color w:val="000000"/>
          <w:sz w:val="24"/>
          <w:lang w:val="sq-AL"/>
        </w:rPr>
        <w:t>diskriminimin</w:t>
      </w:r>
      <w:r w:rsidRPr="00A6284F">
        <w:rPr>
          <w:rFonts w:eastAsia="Times New Roman"/>
          <w:color w:val="000000"/>
          <w:sz w:val="24"/>
          <w:lang w:val="sq-AL"/>
        </w:rPr>
        <w:t xml:space="preserve">, Ligji për </w:t>
      </w:r>
      <w:r w:rsidR="00D97E3F" w:rsidRPr="00A6284F">
        <w:rPr>
          <w:rFonts w:eastAsia="Times New Roman"/>
          <w:color w:val="000000"/>
          <w:sz w:val="24"/>
          <w:lang w:val="sq-AL"/>
        </w:rPr>
        <w:t>M</w:t>
      </w:r>
      <w:r w:rsidRPr="00A6284F">
        <w:rPr>
          <w:rFonts w:eastAsia="Times New Roman"/>
          <w:color w:val="000000"/>
          <w:sz w:val="24"/>
          <w:lang w:val="sq-AL"/>
        </w:rPr>
        <w:t xml:space="preserve">brojtjen nga </w:t>
      </w:r>
      <w:r w:rsidR="00D97E3F" w:rsidRPr="00A6284F">
        <w:rPr>
          <w:rFonts w:eastAsia="Times New Roman"/>
          <w:color w:val="000000"/>
          <w:sz w:val="24"/>
          <w:lang w:val="sq-AL"/>
        </w:rPr>
        <w:t>D</w:t>
      </w:r>
      <w:r w:rsidRPr="00A6284F">
        <w:rPr>
          <w:rFonts w:eastAsia="Times New Roman"/>
          <w:color w:val="000000"/>
          <w:sz w:val="24"/>
          <w:lang w:val="sq-AL"/>
        </w:rPr>
        <w:t xml:space="preserve">iskriminimi është në përgjithësi në përputhje me standardet evropiane dhe ndërkombëtare, por zbatimi është i kufizuar. Edhe pse krijon një kornizë të përgjithshme për parandalimin dhe luftimin e diskriminimit, institucionet e sundimit të ligjit dhe viktimat hasin vështirësi në identifikimin e situatave në të cilat mund të zbatohen dispozitat e tij. Meqë shumë pak raste parashtrohen në gjykatë, nuk ka ende praktikë gjyqësore mbi përdorimin e legjislacionit kundër diskriminimit. Nuk ka të dhëna të mjaftueshme për krimet e urrejtjes, gjë që pengon policinë dhe prokuroritë </w:t>
      </w:r>
      <w:r w:rsidR="00D97E3F" w:rsidRPr="00A6284F">
        <w:rPr>
          <w:rFonts w:eastAsia="Times New Roman"/>
          <w:color w:val="000000"/>
          <w:sz w:val="24"/>
          <w:lang w:val="sq-AL"/>
        </w:rPr>
        <w:t xml:space="preserve">në </w:t>
      </w:r>
      <w:r w:rsidRPr="00A6284F">
        <w:rPr>
          <w:rFonts w:eastAsia="Times New Roman"/>
          <w:color w:val="000000"/>
          <w:sz w:val="24"/>
          <w:lang w:val="sq-AL"/>
        </w:rPr>
        <w:t>parandal</w:t>
      </w:r>
      <w:r w:rsidR="00D97E3F" w:rsidRPr="00A6284F">
        <w:rPr>
          <w:rFonts w:eastAsia="Times New Roman"/>
          <w:color w:val="000000"/>
          <w:sz w:val="24"/>
          <w:lang w:val="sq-AL"/>
        </w:rPr>
        <w:t xml:space="preserve">imin </w:t>
      </w:r>
      <w:r w:rsidRPr="00A6284F">
        <w:rPr>
          <w:rFonts w:eastAsia="Times New Roman"/>
          <w:color w:val="000000"/>
          <w:sz w:val="24"/>
          <w:lang w:val="sq-AL"/>
        </w:rPr>
        <w:t xml:space="preserve">dhe </w:t>
      </w:r>
      <w:r w:rsidR="00D97E3F" w:rsidRPr="00A6284F">
        <w:rPr>
          <w:rFonts w:eastAsia="Times New Roman"/>
          <w:color w:val="000000"/>
          <w:sz w:val="24"/>
          <w:lang w:val="sq-AL"/>
        </w:rPr>
        <w:t xml:space="preserve">reagimin </w:t>
      </w:r>
      <w:r w:rsidRPr="00A6284F">
        <w:rPr>
          <w:rFonts w:eastAsia="Times New Roman"/>
          <w:color w:val="000000"/>
          <w:sz w:val="24"/>
          <w:lang w:val="sq-AL"/>
        </w:rPr>
        <w:t xml:space="preserve">efektiv ndaj këtyre veprave penale. </w:t>
      </w:r>
      <w:r w:rsidR="00623DF0" w:rsidRPr="00A6284F">
        <w:rPr>
          <w:rFonts w:eastAsia="Times New Roman"/>
          <w:color w:val="000000"/>
          <w:sz w:val="24"/>
          <w:lang w:val="sq-AL"/>
        </w:rPr>
        <w:t>Duhet</w:t>
      </w:r>
      <w:r w:rsidRPr="00A6284F">
        <w:rPr>
          <w:rFonts w:eastAsia="Times New Roman"/>
          <w:color w:val="000000"/>
          <w:sz w:val="24"/>
          <w:lang w:val="sq-AL"/>
        </w:rPr>
        <w:t xml:space="preserve"> të krijohet një sistem efikas për regjistrimin dhe grumbullimin e të dhënave të krimeve të urrejtjes, duke mundësuar njohjen dhe regjistrimin e krimeve të urrejtjes. Mekanizmi përcjellës i Këshillit Prokurorial ende duhet të zgjerohet për të përfshirë rastet e të gjitha formave të diskriminimit, jo vetëm të atyre të bazuar në etni. Nga 855 raste të hapura për hetim nga Avokati i Popullit për shkak të ankesave të parashtruara nga qytetarët, 98 kanë të bëjnë me diskriminim.</w:t>
      </w:r>
    </w:p>
    <w:p w:rsidR="00F57B39" w:rsidRPr="00A6284F" w:rsidRDefault="00F57B39" w:rsidP="00F57B39">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Korniza ligjore e Kosovës për </w:t>
      </w:r>
      <w:r w:rsidRPr="00A6284F">
        <w:rPr>
          <w:rFonts w:eastAsia="Times New Roman"/>
          <w:b/>
          <w:color w:val="000000"/>
          <w:sz w:val="24"/>
          <w:lang w:val="sq-AL"/>
        </w:rPr>
        <w:t>barazi mes grave dhe burrave</w:t>
      </w:r>
      <w:r w:rsidRPr="00A6284F">
        <w:rPr>
          <w:rFonts w:eastAsia="Times New Roman"/>
          <w:color w:val="000000"/>
          <w:sz w:val="24"/>
          <w:lang w:val="sq-AL"/>
        </w:rPr>
        <w:t xml:space="preserve"> është përgjithësisht në përputhje me standardet ndërkombëtare. Megjithatë, gratë shpesh përballen me dhunë </w:t>
      </w:r>
      <w:r w:rsidR="003B44CF" w:rsidRPr="00A6284F">
        <w:rPr>
          <w:rFonts w:eastAsia="Times New Roman"/>
          <w:color w:val="000000"/>
          <w:sz w:val="24"/>
          <w:lang w:val="sq-AL"/>
        </w:rPr>
        <w:t>m</w:t>
      </w:r>
      <w:r w:rsidRPr="00A6284F">
        <w:rPr>
          <w:rFonts w:eastAsia="Times New Roman"/>
          <w:color w:val="000000"/>
          <w:sz w:val="24"/>
          <w:lang w:val="sq-AL"/>
        </w:rPr>
        <w:t xml:space="preserve">e bazë gjinore dhe forma të ndryshme të diskriminimit. Gratë ende janë tejet dobët të përfaqësuara në vendimmarrje në pushtetin qendror dhe </w:t>
      </w:r>
      <w:r w:rsidR="003B44CF" w:rsidRPr="00A6284F">
        <w:rPr>
          <w:rFonts w:eastAsia="Times New Roman"/>
          <w:color w:val="000000"/>
          <w:sz w:val="24"/>
          <w:lang w:val="sq-AL"/>
        </w:rPr>
        <w:t>lokal</w:t>
      </w:r>
      <w:r w:rsidRPr="00A6284F">
        <w:rPr>
          <w:rFonts w:eastAsia="Times New Roman"/>
          <w:color w:val="000000"/>
          <w:sz w:val="24"/>
          <w:lang w:val="sq-AL"/>
        </w:rPr>
        <w:t>. Ka pasur pak përmirësime në nivel komunal (</w:t>
      </w:r>
      <w:r w:rsidRPr="00A6284F">
        <w:rPr>
          <w:rFonts w:eastAsia="Times New Roman"/>
          <w:i/>
          <w:color w:val="000000"/>
          <w:sz w:val="24"/>
          <w:lang w:val="sq-AL"/>
        </w:rPr>
        <w:t>Shih seksionin 2.1.1 - Demokracia</w:t>
      </w:r>
      <w:r w:rsidRPr="00A6284F">
        <w:rPr>
          <w:rFonts w:eastAsia="Times New Roman"/>
          <w:color w:val="000000"/>
          <w:sz w:val="24"/>
          <w:lang w:val="sq-AL"/>
        </w:rPr>
        <w:t xml:space="preserve">). Masat afirmative, edhe pse të parapara me ligj, rrallë aplikohen në procesin e rekrutimit në çfarëdo niveli të administratës. </w:t>
      </w:r>
      <w:r w:rsidR="00623DF0" w:rsidRPr="00A6284F">
        <w:rPr>
          <w:rFonts w:eastAsia="Times New Roman"/>
          <w:color w:val="000000"/>
          <w:sz w:val="24"/>
          <w:lang w:val="sq-AL"/>
        </w:rPr>
        <w:t>Duhet përforcuar r</w:t>
      </w:r>
      <w:r w:rsidRPr="00A6284F">
        <w:rPr>
          <w:rFonts w:eastAsia="Times New Roman"/>
          <w:color w:val="000000"/>
          <w:sz w:val="24"/>
          <w:lang w:val="sq-AL"/>
        </w:rPr>
        <w:t xml:space="preserve">oli i Agjencisë për Barazi Gjinore dhe roli i zyrtarëve për barazi gjinore në ministri e komuna në hartimin e politikave. Zbatimi efikas i Ligjit për Barazi Gjinore është duke ngecur prapa. Plotësimi i legjislacionit sekondar që ka për qëllim institucionalizimin e </w:t>
      </w:r>
      <w:proofErr w:type="spellStart"/>
      <w:r w:rsidRPr="00A6284F">
        <w:rPr>
          <w:rFonts w:eastAsia="Times New Roman"/>
          <w:color w:val="000000"/>
          <w:sz w:val="24"/>
          <w:lang w:val="sq-AL"/>
        </w:rPr>
        <w:t>buxhetimit</w:t>
      </w:r>
      <w:proofErr w:type="spellEnd"/>
      <w:r w:rsidRPr="00A6284F">
        <w:rPr>
          <w:rFonts w:eastAsia="Times New Roman"/>
          <w:color w:val="000000"/>
          <w:sz w:val="24"/>
          <w:lang w:val="sq-AL"/>
        </w:rPr>
        <w:t xml:space="preserve"> të përgjegjshëm gjinor ende nuk është bërë. Mungon ndarja e të dhënave sipas gjinisë dhe harmonizimi gjinor në ligje dhe politika nuk është sistematik. Programi i Kosovës për Barazi Gjinore nuk është miratuar akoma.</w:t>
      </w:r>
    </w:p>
    <w:p w:rsidR="00F57B39" w:rsidRPr="00A6284F" w:rsidRDefault="00F57B39" w:rsidP="00F57B39">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Janë rritur përpjekjet për zbatimin e Strategjisë për Mbrojtje nga </w:t>
      </w:r>
      <w:r w:rsidRPr="00A6284F">
        <w:rPr>
          <w:rFonts w:eastAsia="Times New Roman"/>
          <w:b/>
          <w:color w:val="000000"/>
          <w:sz w:val="24"/>
          <w:lang w:val="sq-AL"/>
        </w:rPr>
        <w:t>Dhuna në Familje</w:t>
      </w:r>
      <w:r w:rsidRPr="00A6284F">
        <w:rPr>
          <w:rFonts w:eastAsia="Times New Roman"/>
          <w:color w:val="000000"/>
          <w:sz w:val="24"/>
          <w:lang w:val="sq-AL"/>
        </w:rPr>
        <w:t xml:space="preserve"> dhe Planit të Veprimit 2016-2020 që nga emërimi i Koordinatorit Nacional në janar të vitit 2018. Këto duhet të mbështeten dhe të qojnë në rezultate të prekshme. Mekanizmat koordinues për mbrojtje nga </w:t>
      </w:r>
      <w:r w:rsidRPr="00A6284F">
        <w:rPr>
          <w:rFonts w:eastAsia="Times New Roman"/>
          <w:b/>
          <w:color w:val="000000"/>
          <w:sz w:val="24"/>
          <w:lang w:val="sq-AL"/>
        </w:rPr>
        <w:t>dhuna në familje</w:t>
      </w:r>
      <w:r w:rsidRPr="00A6284F">
        <w:rPr>
          <w:rFonts w:eastAsia="Times New Roman"/>
          <w:color w:val="000000"/>
          <w:sz w:val="24"/>
          <w:lang w:val="sq-AL"/>
        </w:rPr>
        <w:t xml:space="preserve"> janë krijuar në shtatë komuna. Dhuna në familje dhe ngacmimi seksual janë përfshirë si vepra të veçanta në kodin e ri penal. Një bazë e integruar e të dhënave për rastet e dhunës në familje është lansuar në dhjetor të vitit 2018. Ministria e Drejtësisë dhe ajo e Mirëqenies Sociale, Këshilli Gjyqësor dhe Këshilli Prokurorial dhe policia kanë nënshkruar një Memorandum Mirëkuptimi që ka për qëllim arritjen e bashkërendimit të plotë institucional për plotësimin e bazës së të dhënave dhe aplikimin dhe zbatimin e legjislacionit lidhur me dhunën në familje dhe dhunën me bazë gjinore. Ka shqetësime lidhur me dënimin e butë në rastet e dhunës me bazë gjinore. Financimi i qëndrueshëm për strehimoret </w:t>
      </w:r>
      <w:r w:rsidR="00462FE6" w:rsidRPr="00A6284F">
        <w:rPr>
          <w:rFonts w:eastAsia="Times New Roman"/>
          <w:color w:val="000000"/>
          <w:sz w:val="24"/>
          <w:lang w:val="sq-AL"/>
        </w:rPr>
        <w:t>e</w:t>
      </w:r>
      <w:r w:rsidRPr="00A6284F">
        <w:rPr>
          <w:rFonts w:eastAsia="Times New Roman"/>
          <w:color w:val="000000"/>
          <w:sz w:val="24"/>
          <w:lang w:val="sq-AL"/>
        </w:rPr>
        <w:t xml:space="preserve"> viktima</w:t>
      </w:r>
      <w:r w:rsidR="00462FE6" w:rsidRPr="00A6284F">
        <w:rPr>
          <w:rFonts w:eastAsia="Times New Roman"/>
          <w:color w:val="000000"/>
          <w:sz w:val="24"/>
          <w:lang w:val="sq-AL"/>
        </w:rPr>
        <w:t>ve</w:t>
      </w:r>
      <w:r w:rsidRPr="00A6284F">
        <w:rPr>
          <w:rFonts w:eastAsia="Times New Roman"/>
          <w:color w:val="000000"/>
          <w:sz w:val="24"/>
          <w:lang w:val="sq-AL"/>
        </w:rPr>
        <w:t xml:space="preserve"> </w:t>
      </w:r>
      <w:r w:rsidR="00462FE6" w:rsidRPr="00A6284F">
        <w:rPr>
          <w:rFonts w:eastAsia="Times New Roman"/>
          <w:color w:val="000000"/>
          <w:sz w:val="24"/>
          <w:lang w:val="sq-AL"/>
        </w:rPr>
        <w:t xml:space="preserve">të </w:t>
      </w:r>
      <w:r w:rsidRPr="00A6284F">
        <w:rPr>
          <w:rFonts w:eastAsia="Times New Roman"/>
          <w:color w:val="000000"/>
          <w:sz w:val="24"/>
          <w:lang w:val="sq-AL"/>
        </w:rPr>
        <w:t xml:space="preserve">dhunës me bazë gjinore dhe trafikimit të qenieve njerëzore nuk është siguruar akoma. Duhet të ndërmerren masa për </w:t>
      </w:r>
      <w:proofErr w:type="spellStart"/>
      <w:r w:rsidRPr="00A6284F">
        <w:rPr>
          <w:rFonts w:eastAsia="Times New Roman"/>
          <w:color w:val="000000"/>
          <w:sz w:val="24"/>
          <w:lang w:val="sq-AL"/>
        </w:rPr>
        <w:t>riintegrimin</w:t>
      </w:r>
      <w:proofErr w:type="spellEnd"/>
      <w:r w:rsidRPr="00A6284F">
        <w:rPr>
          <w:rFonts w:eastAsia="Times New Roman"/>
          <w:color w:val="000000"/>
          <w:sz w:val="24"/>
          <w:lang w:val="sq-AL"/>
        </w:rPr>
        <w:t xml:space="preserve"> efikas të viktimave.</w:t>
      </w:r>
    </w:p>
    <w:p w:rsidR="00F57B39" w:rsidRPr="00A6284F" w:rsidRDefault="00F57B39" w:rsidP="00F57B39">
      <w:pPr>
        <w:spacing w:before="125"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Tek të </w:t>
      </w:r>
      <w:r w:rsidRPr="00A6284F">
        <w:rPr>
          <w:rFonts w:eastAsia="Times New Roman"/>
          <w:b/>
          <w:color w:val="000000"/>
          <w:sz w:val="24"/>
          <w:lang w:val="sq-AL"/>
        </w:rPr>
        <w:t>drejtat e fëmijës</w:t>
      </w:r>
      <w:r w:rsidRPr="00A6284F">
        <w:rPr>
          <w:rFonts w:eastAsia="Times New Roman"/>
          <w:color w:val="000000"/>
          <w:sz w:val="24"/>
          <w:lang w:val="sq-AL"/>
        </w:rPr>
        <w:t xml:space="preserve">, korniza ligjore e Kosovës është përgjithësisht në përputhje me standardet ndërkombëtare, por implementimi mbetet i kufizuar. Projektligji për Mbrojtjen e Fëmijëve, i cili do të konsolidonte ligje të shumta që rregullojnë akterët dhe përcaktojnë politikat për fëmijët, është akoma në pritje të miratimit nga Kuvendi. Autoritetet duhet të sigurojnë që ligji të pasohet me buxhetin adekuat dhe pronësinë institucionale. Mungesa e fondeve për shërbime sociale dhe monitorim pengon ofrimin minimal të shërbimeve cilësore për mbrojtjen e fëmijëve. Qeveria miratoi Strategjinë për të Drejtat e Fëmijëve 2019-2023 në janar të vitit 2019. Gjithashtu, korniza e treguesve të fëmijëve dhe nënës është zhvilluar kohëve të fundit për të monitoruar situatën e të drejtave të fëmijëve. Puna e fëmijëve vazhdon </w:t>
      </w:r>
      <w:r w:rsidRPr="00A6284F">
        <w:rPr>
          <w:rFonts w:eastAsia="Times New Roman"/>
          <w:color w:val="000000"/>
          <w:sz w:val="24"/>
          <w:lang w:val="sq-AL"/>
        </w:rPr>
        <w:lastRenderedPageBreak/>
        <w:t xml:space="preserve">të mbetet shqetësim dhe inspektoratet dhe autoritetet tjera kompetente nuk janë në gjendje të ofrojnë shërbime adekuate për parandalimin dhe eliminimin e punës së fëmijëve dhe të adresojnë çështjen e fëmijëve që jetojnë dhe punojnë në rrugë. Nuk ka akoma zgjidhje sistemike dhe reagim institucional ndaj fëmijëve që kërkojnë lëmoshë dhe martesës së fëmijëve nga komuniteti Rom dhe Ashkali. Sistemi për Menaxhimin e Informatave të Arsimit është fuqizuar me integrimin e modulit të regjistrit të rasteve të dhunës dhe sistemit të paralajmërimit të hershëm në 30 komuna, e cila kontribuon në zbatimin e protokollit për parandalimin dhe referimin e dhunës në shkolla dhe parandalimin e braktisjes së shkollës. Megjithatë, në përgjithësi përpjekjet për parandalimin e të gjitha formave të dhunës kundër fëmijëve nuk janë të mjaftueshme dhe në kornizën aktuale ligjore nuk ndalohet shprehimisht ndëshkimi trupor. Projektligji i miratuar nga qeveria do ta ndryshonte atë. Kosova nuk strehon fëmijët në institucione të mëdha të banimit, por ka arritur të zhvillojë forma alternative të mbrojtjes së fëmijëve pa kujdes prindëror. Subvencionet për strehim familjar për fëmijët pa kujdes prindëror dhe me aftësi të kufizuara janë rritur në vitin 2018 nga 33% në 66%. Nuk ka shërbime dhe programe për parandalimin dhe </w:t>
      </w:r>
      <w:proofErr w:type="spellStart"/>
      <w:r w:rsidRPr="00A6284F">
        <w:rPr>
          <w:rFonts w:eastAsia="Times New Roman"/>
          <w:color w:val="000000"/>
          <w:sz w:val="24"/>
          <w:lang w:val="sq-AL"/>
        </w:rPr>
        <w:t>riintegrimin</w:t>
      </w:r>
      <w:proofErr w:type="spellEnd"/>
      <w:r w:rsidRPr="00A6284F">
        <w:rPr>
          <w:rFonts w:eastAsia="Times New Roman"/>
          <w:color w:val="000000"/>
          <w:sz w:val="24"/>
          <w:lang w:val="sq-AL"/>
        </w:rPr>
        <w:t xml:space="preserve"> e fëmijëve viktima të abuzimit me drog</w:t>
      </w:r>
      <w:r w:rsidR="00D621BE" w:rsidRPr="00A6284F">
        <w:rPr>
          <w:rFonts w:eastAsia="Times New Roman"/>
          <w:color w:val="000000"/>
          <w:sz w:val="24"/>
          <w:lang w:val="sq-AL"/>
        </w:rPr>
        <w:t>ë</w:t>
      </w:r>
      <w:r w:rsidRPr="00A6284F">
        <w:rPr>
          <w:rFonts w:eastAsia="Times New Roman"/>
          <w:color w:val="000000"/>
          <w:sz w:val="24"/>
          <w:lang w:val="sq-AL"/>
        </w:rPr>
        <w:t xml:space="preserve">. Kosova ka vazhduar të shënojë progres në drejtësinë për të miturit, duke përfshirë miratimin e ndryshimeve në Kodin e Drejtësisë për të Mitur në tetor të vitit 2018, përmes së cilave është zvogëluar paraburgimi për të mitur që kanë shkelur ligjin nga 12 në maksimum gjashtë muaj. Në kodin e ri është rritur numri i masave të </w:t>
      </w:r>
      <w:proofErr w:type="spellStart"/>
      <w:r w:rsidRPr="00A6284F">
        <w:rPr>
          <w:rFonts w:eastAsia="Times New Roman"/>
          <w:color w:val="000000"/>
          <w:sz w:val="24"/>
          <w:lang w:val="sq-AL"/>
        </w:rPr>
        <w:t>diversitetit</w:t>
      </w:r>
      <w:proofErr w:type="spellEnd"/>
      <w:r w:rsidRPr="00A6284F">
        <w:rPr>
          <w:rFonts w:eastAsia="Times New Roman"/>
          <w:color w:val="000000"/>
          <w:sz w:val="24"/>
          <w:lang w:val="sq-AL"/>
        </w:rPr>
        <w:t xml:space="preserve"> në dispozicion për të miturit. Kosova zbaton fuqishëm masa</w:t>
      </w:r>
      <w:r w:rsidR="00D621BE" w:rsidRPr="00A6284F">
        <w:rPr>
          <w:rFonts w:eastAsia="Times New Roman"/>
          <w:color w:val="000000"/>
          <w:sz w:val="24"/>
          <w:lang w:val="sq-AL"/>
        </w:rPr>
        <w:t>t</w:t>
      </w:r>
      <w:r w:rsidRPr="00A6284F">
        <w:rPr>
          <w:rFonts w:eastAsia="Times New Roman"/>
          <w:color w:val="000000"/>
          <w:sz w:val="24"/>
          <w:lang w:val="sq-AL"/>
        </w:rPr>
        <w:t xml:space="preserve"> alternative për të miturit e dënuar.</w:t>
      </w:r>
    </w:p>
    <w:p w:rsidR="00F57B39" w:rsidRPr="00A6284F" w:rsidRDefault="00D621BE" w:rsidP="00F57B39">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P</w:t>
      </w:r>
      <w:r w:rsidR="00F57B39" w:rsidRPr="00A6284F">
        <w:rPr>
          <w:rFonts w:eastAsia="Times New Roman"/>
          <w:color w:val="000000"/>
          <w:sz w:val="24"/>
          <w:lang w:val="sq-AL"/>
        </w:rPr>
        <w:t>rogres</w:t>
      </w:r>
      <w:r w:rsidRPr="00A6284F">
        <w:rPr>
          <w:rFonts w:eastAsia="Times New Roman"/>
          <w:color w:val="000000"/>
          <w:sz w:val="24"/>
          <w:lang w:val="sq-AL"/>
        </w:rPr>
        <w:t xml:space="preserve"> i pakët</w:t>
      </w:r>
      <w:r w:rsidR="00F57B39" w:rsidRPr="00A6284F">
        <w:rPr>
          <w:rFonts w:eastAsia="Times New Roman"/>
          <w:color w:val="000000"/>
          <w:sz w:val="24"/>
          <w:lang w:val="sq-AL"/>
        </w:rPr>
        <w:t xml:space="preserve"> është shënuar </w:t>
      </w:r>
      <w:r w:rsidRPr="00A6284F">
        <w:rPr>
          <w:rFonts w:eastAsia="Times New Roman"/>
          <w:color w:val="000000"/>
          <w:sz w:val="24"/>
          <w:lang w:val="sq-AL"/>
        </w:rPr>
        <w:t xml:space="preserve">sa i përket </w:t>
      </w:r>
      <w:r w:rsidR="00F57B39" w:rsidRPr="00A6284F">
        <w:rPr>
          <w:rFonts w:eastAsia="Times New Roman"/>
          <w:color w:val="000000"/>
          <w:sz w:val="24"/>
          <w:lang w:val="sq-AL"/>
        </w:rPr>
        <w:t xml:space="preserve">të </w:t>
      </w:r>
      <w:r w:rsidR="00F57B39" w:rsidRPr="00A6284F">
        <w:rPr>
          <w:rFonts w:eastAsia="Times New Roman"/>
          <w:b/>
          <w:color w:val="000000"/>
          <w:sz w:val="24"/>
          <w:lang w:val="sq-AL"/>
        </w:rPr>
        <w:t>drejta</w:t>
      </w:r>
      <w:r w:rsidRPr="00A6284F">
        <w:rPr>
          <w:rFonts w:eastAsia="Times New Roman"/>
          <w:b/>
          <w:color w:val="000000"/>
          <w:sz w:val="24"/>
          <w:lang w:val="sq-AL"/>
        </w:rPr>
        <w:t>ve</w:t>
      </w:r>
      <w:r w:rsidR="00F57B39" w:rsidRPr="00A6284F">
        <w:rPr>
          <w:rFonts w:eastAsia="Times New Roman"/>
          <w:b/>
          <w:color w:val="000000"/>
          <w:sz w:val="24"/>
          <w:lang w:val="sq-AL"/>
        </w:rPr>
        <w:t xml:space="preserve"> </w:t>
      </w:r>
      <w:r w:rsidRPr="00A6284F">
        <w:rPr>
          <w:rFonts w:eastAsia="Times New Roman"/>
          <w:b/>
          <w:color w:val="000000"/>
          <w:sz w:val="24"/>
          <w:lang w:val="sq-AL"/>
        </w:rPr>
        <w:t xml:space="preserve">të </w:t>
      </w:r>
      <w:r w:rsidR="00F57B39" w:rsidRPr="00A6284F">
        <w:rPr>
          <w:rFonts w:eastAsia="Times New Roman"/>
          <w:b/>
          <w:color w:val="000000"/>
          <w:sz w:val="24"/>
          <w:lang w:val="sq-AL"/>
        </w:rPr>
        <w:t>personave me aftësi të kufizuara</w:t>
      </w:r>
      <w:r w:rsidRPr="00A6284F">
        <w:rPr>
          <w:rFonts w:eastAsia="Times New Roman"/>
          <w:b/>
          <w:color w:val="000000"/>
          <w:sz w:val="24"/>
          <w:lang w:val="sq-AL"/>
        </w:rPr>
        <w:t xml:space="preserve">, </w:t>
      </w:r>
      <w:r w:rsidRPr="00A6284F">
        <w:rPr>
          <w:rFonts w:eastAsia="Times New Roman"/>
          <w:color w:val="000000"/>
          <w:sz w:val="24"/>
          <w:lang w:val="sq-AL"/>
        </w:rPr>
        <w:t>ndërsa</w:t>
      </w:r>
      <w:r w:rsidRPr="00A6284F">
        <w:rPr>
          <w:rFonts w:eastAsia="Times New Roman"/>
          <w:b/>
          <w:color w:val="000000"/>
          <w:sz w:val="24"/>
          <w:lang w:val="sq-AL"/>
        </w:rPr>
        <w:t xml:space="preserve"> </w:t>
      </w:r>
      <w:r w:rsidR="00F57B39" w:rsidRPr="00A6284F">
        <w:rPr>
          <w:rFonts w:eastAsia="Times New Roman"/>
          <w:color w:val="000000"/>
          <w:sz w:val="24"/>
          <w:lang w:val="sq-AL"/>
        </w:rPr>
        <w:t xml:space="preserve">integrimi </w:t>
      </w:r>
      <w:r w:rsidRPr="00A6284F">
        <w:rPr>
          <w:rFonts w:eastAsia="Times New Roman"/>
          <w:color w:val="000000"/>
          <w:sz w:val="24"/>
          <w:lang w:val="sq-AL"/>
        </w:rPr>
        <w:t>e</w:t>
      </w:r>
      <w:r w:rsidR="00F57B39" w:rsidRPr="00A6284F">
        <w:rPr>
          <w:rFonts w:eastAsia="Times New Roman"/>
          <w:color w:val="000000"/>
          <w:sz w:val="24"/>
          <w:lang w:val="sq-AL"/>
        </w:rPr>
        <w:t xml:space="preserve"> tyre në shoqëri mbetet sfidë për shkak të mbështetjes së kufizuar, shërbimeve joadekuate shëndetësore, si dhe qasshmërisë së dobët në shërbimet ekzistuese. Qasja fizike në ndërtesat, përfshirë shkollat, dhe transportin publik mbetet e kufizuar për personat me aftësi të kufizuara. Planifikimi dhe </w:t>
      </w:r>
      <w:proofErr w:type="spellStart"/>
      <w:r w:rsidR="00F57B39" w:rsidRPr="00A6284F">
        <w:rPr>
          <w:rFonts w:eastAsia="Times New Roman"/>
          <w:color w:val="000000"/>
          <w:sz w:val="24"/>
          <w:lang w:val="sq-AL"/>
        </w:rPr>
        <w:t>buxhetimi</w:t>
      </w:r>
      <w:proofErr w:type="spellEnd"/>
      <w:r w:rsidR="00F57B39" w:rsidRPr="00A6284F">
        <w:rPr>
          <w:rFonts w:eastAsia="Times New Roman"/>
          <w:color w:val="000000"/>
          <w:sz w:val="24"/>
          <w:lang w:val="sq-AL"/>
        </w:rPr>
        <w:t xml:space="preserve"> për ndërhyrjet e duhura dhe ofrimin e shërbimeve duhet të ndiqet si për të rriturit ashtu edhe për fëmijët. Korniza ligjore për shëndetin mendor nuk është e plotë. Zbatimi i Ligjit për Personat e Verbër dhe Ligjit për Statusin dhe të Drejtat e Personave </w:t>
      </w:r>
      <w:proofErr w:type="spellStart"/>
      <w:r w:rsidR="00F57B39" w:rsidRPr="00A6284F">
        <w:rPr>
          <w:rFonts w:eastAsia="Times New Roman"/>
          <w:color w:val="000000"/>
          <w:sz w:val="24"/>
          <w:lang w:val="sq-AL"/>
        </w:rPr>
        <w:t>Paraplegjik</w:t>
      </w:r>
      <w:proofErr w:type="spellEnd"/>
      <w:r w:rsidR="00F57B39" w:rsidRPr="00A6284F">
        <w:rPr>
          <w:rFonts w:eastAsia="Times New Roman"/>
          <w:color w:val="000000"/>
          <w:sz w:val="24"/>
          <w:lang w:val="sq-AL"/>
        </w:rPr>
        <w:t xml:space="preserve"> dhe </w:t>
      </w:r>
      <w:proofErr w:type="spellStart"/>
      <w:r w:rsidR="00F57B39" w:rsidRPr="00A6284F">
        <w:rPr>
          <w:rFonts w:eastAsia="Times New Roman"/>
          <w:color w:val="000000"/>
          <w:sz w:val="24"/>
          <w:lang w:val="sq-AL"/>
        </w:rPr>
        <w:t>Tetraplegjik</w:t>
      </w:r>
      <w:proofErr w:type="spellEnd"/>
      <w:r w:rsidR="00F57B39" w:rsidRPr="00A6284F">
        <w:rPr>
          <w:rFonts w:eastAsia="Times New Roman"/>
          <w:color w:val="000000"/>
          <w:sz w:val="24"/>
          <w:lang w:val="sq-AL"/>
        </w:rPr>
        <w:t xml:space="preserve"> është i kufizuar. E njëjta vlen për Strategjinë për të Drejtat e Personave me Aftësi të Kufizuara 2013-2023. Këshilli Nacional mbi Aftësitë e Kufizuara duhet të marrë një rol më </w:t>
      </w:r>
      <w:proofErr w:type="spellStart"/>
      <w:r w:rsidR="00F57B39" w:rsidRPr="00A6284F">
        <w:rPr>
          <w:rFonts w:eastAsia="Times New Roman"/>
          <w:color w:val="000000"/>
          <w:sz w:val="24"/>
          <w:lang w:val="sq-AL"/>
        </w:rPr>
        <w:t>proaktiv</w:t>
      </w:r>
      <w:proofErr w:type="spellEnd"/>
      <w:r w:rsidR="00F57B39" w:rsidRPr="00A6284F">
        <w:rPr>
          <w:rFonts w:eastAsia="Times New Roman"/>
          <w:color w:val="000000"/>
          <w:sz w:val="24"/>
          <w:lang w:val="sq-AL"/>
        </w:rPr>
        <w:t xml:space="preserve"> për të përmirësuar mirëqenien e personave me aftësi të kufizuara dhe promovimin e të drejtave të tyre. Autoritetet duhet të rrisin mbështetjen financiare për të rritur shërbimet sociale dhe shëndetësore me bazë në komunitet për fëmijët me aftësi të kufizuara dhe të rrisin përpjekjet për integrimin e tyre efikas në institucionet arsimore. Vajzat përballen me më shumë pengesa se djemtë sa i përket qasjes në arsim.</w:t>
      </w:r>
    </w:p>
    <w:p w:rsidR="00F57B39" w:rsidRPr="00A6284F" w:rsidRDefault="00F57B39" w:rsidP="00780766">
      <w:pPr>
        <w:spacing w:before="125" w:line="276" w:lineRule="exact"/>
        <w:ind w:left="72"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Për të drejtat e personave </w:t>
      </w:r>
      <w:proofErr w:type="spellStart"/>
      <w:r w:rsidRPr="00A6284F">
        <w:rPr>
          <w:rFonts w:eastAsia="Times New Roman"/>
          <w:b/>
          <w:color w:val="000000"/>
          <w:spacing w:val="1"/>
          <w:sz w:val="24"/>
          <w:lang w:val="sq-AL"/>
        </w:rPr>
        <w:t>lezbikë</w:t>
      </w:r>
      <w:proofErr w:type="spellEnd"/>
      <w:r w:rsidRPr="00A6284F">
        <w:rPr>
          <w:rFonts w:eastAsia="Times New Roman"/>
          <w:b/>
          <w:color w:val="000000"/>
          <w:spacing w:val="1"/>
          <w:sz w:val="24"/>
          <w:lang w:val="sq-AL"/>
        </w:rPr>
        <w:t xml:space="preserve">, homoseksualë, biseksualë, </w:t>
      </w:r>
      <w:proofErr w:type="spellStart"/>
      <w:r w:rsidRPr="00A6284F">
        <w:rPr>
          <w:rFonts w:eastAsia="Times New Roman"/>
          <w:b/>
          <w:color w:val="000000"/>
          <w:spacing w:val="1"/>
          <w:sz w:val="24"/>
          <w:lang w:val="sq-AL"/>
        </w:rPr>
        <w:t>transgjinorë</w:t>
      </w:r>
      <w:proofErr w:type="spellEnd"/>
      <w:r w:rsidRPr="00A6284F">
        <w:rPr>
          <w:rFonts w:eastAsia="Times New Roman"/>
          <w:b/>
          <w:color w:val="000000"/>
          <w:spacing w:val="1"/>
          <w:sz w:val="24"/>
          <w:lang w:val="sq-AL"/>
        </w:rPr>
        <w:t xml:space="preserve"> dhe </w:t>
      </w:r>
      <w:proofErr w:type="spellStart"/>
      <w:r w:rsidRPr="00A6284F">
        <w:rPr>
          <w:rFonts w:eastAsia="Times New Roman"/>
          <w:b/>
          <w:color w:val="000000"/>
          <w:spacing w:val="1"/>
          <w:sz w:val="24"/>
          <w:lang w:val="sq-AL"/>
        </w:rPr>
        <w:t>interseksualë</w:t>
      </w:r>
      <w:proofErr w:type="spellEnd"/>
      <w:r w:rsidRPr="00A6284F">
        <w:rPr>
          <w:rFonts w:eastAsia="Times New Roman"/>
          <w:b/>
          <w:color w:val="000000"/>
          <w:spacing w:val="1"/>
          <w:sz w:val="24"/>
          <w:lang w:val="sq-AL"/>
        </w:rPr>
        <w:t xml:space="preserve"> (LGBTI)</w:t>
      </w:r>
      <w:r w:rsidRPr="00A6284F">
        <w:rPr>
          <w:rFonts w:eastAsia="Times New Roman"/>
          <w:color w:val="000000"/>
          <w:spacing w:val="1"/>
          <w:sz w:val="24"/>
          <w:lang w:val="sq-AL"/>
        </w:rPr>
        <w:t xml:space="preserve">, Kushtetuta e Kosovës mbron nga diskriminimi në bazë të orientimit seksual. Përveç kësaj, Ligji kundër Diskriminimit i vitit 2015 trajton edhe orientimin seksual edhe orientimin gjinor. Kodi i ri Penal </w:t>
      </w:r>
      <w:r w:rsidR="00780766" w:rsidRPr="00A6284F">
        <w:rPr>
          <w:rFonts w:eastAsia="Times New Roman"/>
          <w:color w:val="000000"/>
          <w:spacing w:val="1"/>
          <w:sz w:val="24"/>
          <w:lang w:val="sq-AL"/>
        </w:rPr>
        <w:t xml:space="preserve">e </w:t>
      </w:r>
      <w:r w:rsidRPr="00A6284F">
        <w:rPr>
          <w:rFonts w:eastAsia="Times New Roman"/>
          <w:color w:val="000000"/>
          <w:spacing w:val="1"/>
          <w:sz w:val="24"/>
          <w:lang w:val="sq-AL"/>
        </w:rPr>
        <w:t xml:space="preserve">zgjeron mbrojtjen ligjore të personave të komunitetit LGBTI, </w:t>
      </w:r>
      <w:r w:rsidR="00780766" w:rsidRPr="00A6284F">
        <w:rPr>
          <w:rFonts w:eastAsia="Times New Roman"/>
          <w:color w:val="000000"/>
          <w:spacing w:val="1"/>
          <w:sz w:val="24"/>
          <w:lang w:val="sq-AL"/>
        </w:rPr>
        <w:t xml:space="preserve">duke </w:t>
      </w:r>
      <w:r w:rsidRPr="00A6284F">
        <w:rPr>
          <w:rFonts w:eastAsia="Times New Roman"/>
          <w:color w:val="000000"/>
          <w:spacing w:val="1"/>
          <w:sz w:val="24"/>
          <w:lang w:val="sq-AL"/>
        </w:rPr>
        <w:t>përfshirë identiteti</w:t>
      </w:r>
      <w:r w:rsidR="00780766" w:rsidRPr="00A6284F">
        <w:rPr>
          <w:rFonts w:eastAsia="Times New Roman"/>
          <w:color w:val="000000"/>
          <w:spacing w:val="1"/>
          <w:sz w:val="24"/>
          <w:lang w:val="sq-AL"/>
        </w:rPr>
        <w:t>n</w:t>
      </w:r>
      <w:r w:rsidRPr="00A6284F">
        <w:rPr>
          <w:rFonts w:eastAsia="Times New Roman"/>
          <w:color w:val="000000"/>
          <w:spacing w:val="1"/>
          <w:sz w:val="24"/>
          <w:lang w:val="sq-AL"/>
        </w:rPr>
        <w:t xml:space="preserve"> gjinor si </w:t>
      </w:r>
      <w:r w:rsidR="00780766" w:rsidRPr="00A6284F">
        <w:rPr>
          <w:rFonts w:eastAsia="Times New Roman"/>
          <w:color w:val="000000"/>
          <w:spacing w:val="1"/>
          <w:sz w:val="24"/>
          <w:lang w:val="sq-AL"/>
        </w:rPr>
        <w:t>rrethanë</w:t>
      </w:r>
      <w:r w:rsidRPr="00A6284F">
        <w:rPr>
          <w:rFonts w:eastAsia="Times New Roman"/>
          <w:color w:val="000000"/>
          <w:spacing w:val="1"/>
          <w:sz w:val="24"/>
          <w:lang w:val="sq-AL"/>
        </w:rPr>
        <w:t xml:space="preserve"> </w:t>
      </w:r>
      <w:r w:rsidR="00780766" w:rsidRPr="00A6284F">
        <w:rPr>
          <w:rFonts w:eastAsia="Times New Roman"/>
          <w:color w:val="000000"/>
          <w:spacing w:val="1"/>
          <w:sz w:val="24"/>
          <w:lang w:val="sq-AL"/>
        </w:rPr>
        <w:t xml:space="preserve">e re </w:t>
      </w:r>
      <w:r w:rsidRPr="00A6284F">
        <w:rPr>
          <w:rFonts w:eastAsia="Times New Roman"/>
          <w:color w:val="000000"/>
          <w:spacing w:val="1"/>
          <w:sz w:val="24"/>
          <w:lang w:val="sq-AL"/>
        </w:rPr>
        <w:t>rënd</w:t>
      </w:r>
      <w:r w:rsidR="00780766" w:rsidRPr="00A6284F">
        <w:rPr>
          <w:rFonts w:eastAsia="Times New Roman"/>
          <w:color w:val="000000"/>
          <w:spacing w:val="1"/>
          <w:sz w:val="24"/>
          <w:lang w:val="sq-AL"/>
        </w:rPr>
        <w:t>uese</w:t>
      </w:r>
      <w:r w:rsidRPr="00A6284F">
        <w:rPr>
          <w:rFonts w:eastAsia="Times New Roman"/>
          <w:color w:val="000000"/>
          <w:spacing w:val="1"/>
          <w:sz w:val="24"/>
          <w:lang w:val="sq-AL"/>
        </w:rPr>
        <w:t xml:space="preserve"> </w:t>
      </w:r>
      <w:r w:rsidR="00780766" w:rsidRPr="00A6284F">
        <w:rPr>
          <w:rFonts w:eastAsia="Times New Roman"/>
          <w:color w:val="000000"/>
          <w:spacing w:val="1"/>
          <w:sz w:val="24"/>
          <w:lang w:val="sq-AL"/>
        </w:rPr>
        <w:t>e</w:t>
      </w:r>
      <w:r w:rsidRPr="00A6284F">
        <w:rPr>
          <w:rFonts w:eastAsia="Times New Roman"/>
          <w:color w:val="000000"/>
          <w:spacing w:val="1"/>
          <w:sz w:val="24"/>
          <w:lang w:val="sq-AL"/>
        </w:rPr>
        <w:t xml:space="preserve"> ndëshkimeve dhe orientimin seksual dhe identitetin gjinor si bazë të re për nxitje të përçarjes dhe </w:t>
      </w:r>
      <w:r w:rsidR="00780766" w:rsidRPr="00A6284F">
        <w:rPr>
          <w:rFonts w:eastAsia="Times New Roman"/>
          <w:color w:val="000000"/>
          <w:spacing w:val="1"/>
          <w:sz w:val="24"/>
          <w:lang w:val="sq-AL"/>
        </w:rPr>
        <w:t>jo tolerancës</w:t>
      </w:r>
      <w:r w:rsidRPr="00A6284F">
        <w:rPr>
          <w:rFonts w:eastAsia="Times New Roman"/>
          <w:color w:val="000000"/>
          <w:spacing w:val="1"/>
          <w:sz w:val="24"/>
          <w:lang w:val="sq-AL"/>
        </w:rPr>
        <w:t xml:space="preserve">. Nevojiten përpjekje të mëtejshme për të siguruar zbatimin e duhur të legjislacionit, përfshirë përmes planit të veprimit për LGBTI. Në tetor të vitit 2018 u organizua parada e dytë zyrtare e Krenarisë </w:t>
      </w:r>
      <w:r w:rsidR="00780766" w:rsidRPr="00A6284F">
        <w:rPr>
          <w:rFonts w:eastAsia="Times New Roman"/>
          <w:color w:val="000000"/>
          <w:spacing w:val="1"/>
          <w:sz w:val="24"/>
          <w:lang w:val="sq-AL"/>
        </w:rPr>
        <w:t xml:space="preserve">e </w:t>
      </w:r>
      <w:r w:rsidRPr="00A6284F">
        <w:rPr>
          <w:rFonts w:eastAsia="Times New Roman"/>
          <w:color w:val="000000"/>
          <w:spacing w:val="1"/>
          <w:sz w:val="24"/>
          <w:lang w:val="sq-AL"/>
        </w:rPr>
        <w:t>LGBTI në Prishtinë dhe pjesëmarrja ishte më e madhe se sa në vitin 2017. Edhe pse popullsia dhe figurat publike po bëhen gjithnjë e më shumë të vetëdijshme për të drejtat e komunitetit LGBTI, studimet tregojnë që vetëdijesimi publik dhe pranimi i atyre të drejtave mbetet i ulët. Është raportuar një rritje e përdorimit të gjuhës së urrejtjes gjatë Javës së Krenarisë. Nevojiten më shumë përpjekje për të luftuar jo</w:t>
      </w:r>
      <w:r w:rsidR="00780766" w:rsidRPr="00A6284F">
        <w:rPr>
          <w:rFonts w:eastAsia="Times New Roman"/>
          <w:color w:val="000000"/>
          <w:spacing w:val="1"/>
          <w:sz w:val="24"/>
          <w:lang w:val="sq-AL"/>
        </w:rPr>
        <w:t>-</w:t>
      </w:r>
      <w:r w:rsidRPr="00A6284F">
        <w:rPr>
          <w:rFonts w:eastAsia="Times New Roman"/>
          <w:color w:val="000000"/>
          <w:spacing w:val="1"/>
          <w:sz w:val="24"/>
          <w:lang w:val="sq-AL"/>
        </w:rPr>
        <w:t>tolerancën ndaj personave LGBTI, pasi që shumë të tillë mbeten të rrezikuar nga diskriminimi dhe dhuna. Përveç kësaj, nuk ka strehimore për viktimat e dhunës të komunitetit LGBTI. Rastet e krimit të urrejtjes kundër personave LGBTI akoma nuk hetohen në mënyrë të duhur dhe nuk sillen para gjykatës. Duhet të zhvillohet korniza ligjore për njohjen ligjore të gjinisë</w:t>
      </w:r>
      <w:r w:rsidRPr="00A6284F">
        <w:rPr>
          <w:rFonts w:eastAsia="Times New Roman"/>
          <w:color w:val="000000"/>
          <w:sz w:val="24"/>
          <w:lang w:val="sq-AL"/>
        </w:rPr>
        <w:t>.</w:t>
      </w:r>
    </w:p>
    <w:p w:rsidR="00F57B39" w:rsidRPr="00A6284F" w:rsidRDefault="00F57B39" w:rsidP="00780766">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Për të </w:t>
      </w:r>
      <w:r w:rsidRPr="00A6284F">
        <w:rPr>
          <w:rFonts w:eastAsia="Times New Roman"/>
          <w:b/>
          <w:color w:val="000000"/>
          <w:sz w:val="24"/>
          <w:lang w:val="sq-AL"/>
        </w:rPr>
        <w:t>drejtat procedurale</w:t>
      </w:r>
      <w:r w:rsidRPr="00A6284F">
        <w:rPr>
          <w:rFonts w:eastAsia="Times New Roman"/>
          <w:color w:val="000000"/>
          <w:sz w:val="24"/>
          <w:lang w:val="sq-AL"/>
        </w:rPr>
        <w:t>, personat e dyshuar apo të akuzuar për kryerjen e ndonjë krimi dhe viktimat e krimit kanë të drejtë për mbrojtje solide sipas ligjit të Kosovës. Ata kanë të drejtë për interpretim dhe përkthim, të drejtë</w:t>
      </w:r>
      <w:r w:rsidR="00780766" w:rsidRPr="00A6284F">
        <w:rPr>
          <w:rFonts w:eastAsia="Times New Roman"/>
          <w:color w:val="000000"/>
          <w:sz w:val="24"/>
          <w:lang w:val="sq-AL"/>
        </w:rPr>
        <w:t>n</w:t>
      </w:r>
      <w:r w:rsidRPr="00A6284F">
        <w:rPr>
          <w:rFonts w:eastAsia="Times New Roman"/>
          <w:color w:val="000000"/>
          <w:sz w:val="24"/>
          <w:lang w:val="sq-AL"/>
        </w:rPr>
        <w:t xml:space="preserve"> </w:t>
      </w:r>
      <w:r w:rsidR="00780766" w:rsidRPr="00A6284F">
        <w:rPr>
          <w:rFonts w:eastAsia="Times New Roman"/>
          <w:color w:val="000000"/>
          <w:sz w:val="24"/>
          <w:lang w:val="sq-AL"/>
        </w:rPr>
        <w:t>e</w:t>
      </w:r>
      <w:r w:rsidRPr="00A6284F">
        <w:rPr>
          <w:rFonts w:eastAsia="Times New Roman"/>
          <w:color w:val="000000"/>
          <w:sz w:val="24"/>
          <w:lang w:val="sq-AL"/>
        </w:rPr>
        <w:t xml:space="preserve"> informim</w:t>
      </w:r>
      <w:r w:rsidR="00780766" w:rsidRPr="00A6284F">
        <w:rPr>
          <w:rFonts w:eastAsia="Times New Roman"/>
          <w:color w:val="000000"/>
          <w:sz w:val="24"/>
          <w:lang w:val="sq-AL"/>
        </w:rPr>
        <w:t>it</w:t>
      </w:r>
      <w:r w:rsidRPr="00A6284F">
        <w:rPr>
          <w:rFonts w:eastAsia="Times New Roman"/>
          <w:color w:val="000000"/>
          <w:sz w:val="24"/>
          <w:lang w:val="sq-AL"/>
        </w:rPr>
        <w:t xml:space="preserve"> për të drejtat e tyre, të drejtë për ndihmë juridike dhe të drejtë për të komunikuar me pjesëtarët e familjes, punëdhënësit dhe autoritetet konsullore. Megjithatë, duhet të miratohen ndryshime specifike në Kodin e Procedurës Penale për të përfshirë të drejta dhe garanci shtesë për personat e dyshuar, personat e akuzuar dhe viktimat e krimit në mënyrë që të jetë plotësisht në përputhje me Direktivat relevante të BE-së. Këto ndryshime thuajse janë përfshirë të gjitha në Kodin e rishikuar të Procedurës Penale të miratuar nga qeveria dhe janë në pritje të miratimit në Kuvend. Ofrimi i ndihmës juridike në praktikë nuk është i mjaftueshëm për t’i përmbushur obligimet që dalin nga legjislacioni relevant i Kosovës dhe kërkesat e </w:t>
      </w:r>
      <w:r w:rsidRPr="00A6284F">
        <w:rPr>
          <w:rFonts w:eastAsia="Times New Roman"/>
          <w:i/>
          <w:color w:val="000000"/>
          <w:sz w:val="24"/>
          <w:lang w:val="sq-AL"/>
        </w:rPr>
        <w:t>acquis</w:t>
      </w:r>
      <w:r w:rsidRPr="00A6284F">
        <w:rPr>
          <w:rFonts w:eastAsia="Times New Roman"/>
          <w:color w:val="000000"/>
          <w:sz w:val="24"/>
          <w:lang w:val="sq-AL"/>
        </w:rPr>
        <w:t xml:space="preserve"> të BE-së dhe Konventës Evropiane për të Drejtat e Njeriut dhe jurisprudencës së saj. Pothuajse një e treta e rasteve të hetuara nga Avokati i Popullit në vitin 2018 kishin të bëjnë me të drejtën për gjykim të drejtë dhe të paanshëm brenda një kohe të arsyeshme. Ligji për Kompensimin e Viktimave të Krimit është gjerësisht i harmonizuar me Direktivën e BE-së për Kompensimin e Viktimave të Krimit. Autoritetet duhet të sigurojnë që i përmbushin obligimet e tyre për informimin e viktimave të krimit për të gjitha të drejtat e tyre, mbrojtjen në dispozicion dhe të drejtën për kompensim. Zyrtarët për </w:t>
      </w:r>
      <w:proofErr w:type="spellStart"/>
      <w:r w:rsidRPr="00A6284F">
        <w:rPr>
          <w:rFonts w:eastAsia="Times New Roman"/>
          <w:color w:val="000000"/>
          <w:sz w:val="24"/>
          <w:lang w:val="sq-AL"/>
        </w:rPr>
        <w:t>avokim</w:t>
      </w:r>
      <w:proofErr w:type="spellEnd"/>
      <w:r w:rsidRPr="00A6284F">
        <w:rPr>
          <w:rFonts w:eastAsia="Times New Roman"/>
          <w:color w:val="000000"/>
          <w:sz w:val="24"/>
          <w:lang w:val="sq-AL"/>
        </w:rPr>
        <w:t xml:space="preserve"> të viktimave duhet t’iu ofrojnë mbështetje viktimave të krimit në paraqitjen e kërkesave për kompensim dhe duhet të trajnohen në përputhje me rrethanat. Programi për kompensimin e viktimave të krimit është krijuar në vitin 2016. Në vitin 2018, komisioni përgjegjës për kompensim ka aprovuar 7 kërkesa dhe ka refuzuar 14 të tjera.</w:t>
      </w:r>
    </w:p>
    <w:p w:rsidR="00F57B39" w:rsidRPr="00A6284F" w:rsidRDefault="00F57B39" w:rsidP="00F57B39">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korniza adekuate institucionale dhe ligjore për të drejtat dhe mbrojtjen e </w:t>
      </w:r>
      <w:r w:rsidRPr="00A6284F">
        <w:rPr>
          <w:rFonts w:eastAsia="Times New Roman"/>
          <w:b/>
          <w:color w:val="000000"/>
          <w:sz w:val="24"/>
          <w:lang w:val="sq-AL"/>
        </w:rPr>
        <w:t>pakicave</w:t>
      </w:r>
      <w:r w:rsidRPr="00A6284F">
        <w:rPr>
          <w:rFonts w:eastAsia="Times New Roman"/>
          <w:color w:val="000000"/>
          <w:sz w:val="24"/>
          <w:lang w:val="sq-AL"/>
        </w:rPr>
        <w:t xml:space="preserve">, duke përfshirë strategjitë dhe planet relevante të veprimit, por implementimi mbetet i dobët. Nevojitet bashkërendim më i madh si në nivelin qendror ashtu edhe në atë lokal në mbështetje të komuniteteve pakicë. Në funksion të promovimit të bashkëjetesës së përhershme ndëretnike, qeveria duhet të rrisë përpjekjet e saj për krijimin e kushteve në mënyrë që komunitetet pakicë të ushtrojnë plotësisht të drejtat e tyre. Ato vazhdojnë të përballen me sfida sa i përket mjedisit të sigurt, rimarrjes dhe qasjes në prona, regjistrimit civil, mundësinë për përdorim të gjuhës së tyre, lehtësirave të duhura për arsim, mundësi për punësim dhe mirëqenie sociale. </w:t>
      </w:r>
    </w:p>
    <w:p w:rsidR="00F57B39" w:rsidRPr="00A6284F" w:rsidRDefault="00F57B39" w:rsidP="00F57B39">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Zyra për Çështje të Komuniteteve në kuadër të Zyrës së Kryeministrit në praktikë fokusohet në implementimin e projekteve për komunitetet pakicë, ndërsa mandati i saj aktual është shumë më i gjerë, </w:t>
      </w:r>
      <w:r w:rsidR="004F6C3A" w:rsidRPr="00A6284F">
        <w:rPr>
          <w:rFonts w:eastAsia="Times New Roman"/>
          <w:color w:val="000000"/>
          <w:sz w:val="24"/>
          <w:lang w:val="sq-AL"/>
        </w:rPr>
        <w:t xml:space="preserve">duke </w:t>
      </w:r>
      <w:r w:rsidRPr="00A6284F">
        <w:rPr>
          <w:rFonts w:eastAsia="Times New Roman"/>
          <w:color w:val="000000"/>
          <w:sz w:val="24"/>
          <w:lang w:val="sq-AL"/>
        </w:rPr>
        <w:t xml:space="preserve">përfshirë </w:t>
      </w:r>
      <w:r w:rsidR="004F6C3A" w:rsidRPr="00A6284F">
        <w:rPr>
          <w:rFonts w:eastAsia="Times New Roman"/>
          <w:color w:val="000000"/>
          <w:sz w:val="24"/>
          <w:lang w:val="sq-AL"/>
        </w:rPr>
        <w:t xml:space="preserve">aty edhe </w:t>
      </w:r>
      <w:r w:rsidRPr="00A6284F">
        <w:rPr>
          <w:rFonts w:eastAsia="Times New Roman"/>
          <w:color w:val="000000"/>
          <w:sz w:val="24"/>
          <w:lang w:val="sq-AL"/>
        </w:rPr>
        <w:t>përfshirjen e plotë në hartimin e politikave lidhur me të drejtat dhe interesat e komuniteteve. Buxheti i Këshillit Konsultativ për Komunitete në Zyrën e Presidentit është rritur në periudhën raportuese. Duhet të shfrytëzohet më shumë ekspertiza e Këshillit gjatë formulimit të politikave. Grupi punues teknik i krijuar për zbatimin e rekomandimeve në bazë të Konventës Kornizë të Këshillit të Evropës për Pakicat Kombëtare u takua një herë gjatë periudhës raportuese. Zbatimi i rekomandimeve mbetet i kufizuar.</w:t>
      </w:r>
    </w:p>
    <w:p w:rsidR="00F57B39" w:rsidRPr="00A6284F" w:rsidRDefault="00F57B39" w:rsidP="00F57B39">
      <w:pPr>
        <w:spacing w:before="123"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Qeveria akoma nuk e ka miratuar projekt Strategjinë për Promovimin dhe Mbrojtjen e të Drejtave Gjuhësore 2016 dhe zbatimi i Ligjit për Përdorimin e Gjuhëve mbetet i kufizuar. Planet e Zyrës së Kryeministrit për krijimin e një njësie qendrore të përkthimit për të përmirësuar cilësinë dhe efikasitetin e kostove të përkthimit nuk janë materializuar akoma.  Mundësitë për mësimin e një gjuhe të dytë zyrtare si temë praktikisht nuk ekzistojnë në sistemin e arsimit, ndërsa iniciativat jashtë</w:t>
      </w:r>
      <w:r w:rsidR="004B463E" w:rsidRPr="00A6284F">
        <w:rPr>
          <w:rFonts w:eastAsia="Times New Roman"/>
          <w:color w:val="000000"/>
          <w:sz w:val="24"/>
          <w:lang w:val="sq-AL"/>
        </w:rPr>
        <w:t>-</w:t>
      </w:r>
      <w:proofErr w:type="spellStart"/>
      <w:r w:rsidRPr="00A6284F">
        <w:rPr>
          <w:rFonts w:eastAsia="Times New Roman"/>
          <w:color w:val="000000"/>
          <w:sz w:val="24"/>
          <w:lang w:val="sq-AL"/>
        </w:rPr>
        <w:t>kurrikulare</w:t>
      </w:r>
      <w:proofErr w:type="spellEnd"/>
      <w:r w:rsidRPr="00A6284F">
        <w:rPr>
          <w:rFonts w:eastAsia="Times New Roman"/>
          <w:color w:val="000000"/>
          <w:sz w:val="24"/>
          <w:lang w:val="sq-AL"/>
        </w:rPr>
        <w:t xml:space="preserve"> për mësimin e gjuhës te studentët nga komunitete të ndryshme akoma udhëhiqen kryesisht nga organizatat e shoqërisë civile dhe donatorët ndërkombëtarë. </w:t>
      </w:r>
      <w:proofErr w:type="spellStart"/>
      <w:r w:rsidRPr="00A6284F">
        <w:rPr>
          <w:rFonts w:eastAsia="Times New Roman"/>
          <w:color w:val="000000"/>
          <w:sz w:val="24"/>
          <w:lang w:val="sq-AL"/>
        </w:rPr>
        <w:t>Komisioneri</w:t>
      </w:r>
      <w:proofErr w:type="spellEnd"/>
      <w:r w:rsidRPr="00A6284F">
        <w:rPr>
          <w:rFonts w:eastAsia="Times New Roman"/>
          <w:color w:val="000000"/>
          <w:sz w:val="24"/>
          <w:lang w:val="sq-AL"/>
        </w:rPr>
        <w:t xml:space="preserve"> i Gjuhëve është ri-emëruar në janar të vitit 2019 për një mandat tjetër gjashtë vjeçar. Zyra e tij ka një mandat sfidues për mbrojtjen dhe promovimin e gjuhëve të komunitetit dhe për të siguruar përdorimin e drejtë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gjitha gjuhëve në Kosovë përderisa gjithnjë e më pak persona flasin gjuhë</w:t>
      </w:r>
      <w:r w:rsidR="006D0BF3" w:rsidRPr="00A6284F">
        <w:rPr>
          <w:rFonts w:eastAsia="Times New Roman"/>
          <w:color w:val="000000"/>
          <w:sz w:val="24"/>
          <w:lang w:val="sq-AL"/>
        </w:rPr>
        <w:t>t</w:t>
      </w:r>
      <w:r w:rsidRPr="00A6284F">
        <w:rPr>
          <w:rFonts w:eastAsia="Times New Roman"/>
          <w:color w:val="000000"/>
          <w:sz w:val="24"/>
          <w:lang w:val="sq-AL"/>
        </w:rPr>
        <w:t xml:space="preserve"> e komuniteteve </w:t>
      </w:r>
      <w:r w:rsidR="006D0BF3" w:rsidRPr="00A6284F">
        <w:rPr>
          <w:rFonts w:eastAsia="Times New Roman"/>
          <w:color w:val="000000"/>
          <w:sz w:val="24"/>
          <w:lang w:val="sq-AL"/>
        </w:rPr>
        <w:t xml:space="preserve">të </w:t>
      </w:r>
      <w:r w:rsidRPr="00A6284F">
        <w:rPr>
          <w:rFonts w:eastAsia="Times New Roman"/>
          <w:color w:val="000000"/>
          <w:sz w:val="24"/>
          <w:lang w:val="sq-AL"/>
        </w:rPr>
        <w:t xml:space="preserve">tjera. </w:t>
      </w:r>
    </w:p>
    <w:p w:rsidR="00F57B39" w:rsidRPr="00A6284F" w:rsidRDefault="00F57B39" w:rsidP="00F57B39">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Situata e përgjithshme e sigurisë për komunitetet pakicë mbetet </w:t>
      </w:r>
      <w:proofErr w:type="spellStart"/>
      <w:r w:rsidRPr="00A6284F">
        <w:rPr>
          <w:rFonts w:eastAsia="Times New Roman"/>
          <w:color w:val="000000"/>
          <w:sz w:val="24"/>
          <w:lang w:val="sq-AL"/>
        </w:rPr>
        <w:t>stabile</w:t>
      </w:r>
      <w:proofErr w:type="spellEnd"/>
      <w:r w:rsidRPr="00A6284F">
        <w:rPr>
          <w:rFonts w:eastAsia="Times New Roman"/>
          <w:color w:val="000000"/>
          <w:sz w:val="24"/>
          <w:lang w:val="sq-AL"/>
        </w:rPr>
        <w:t xml:space="preserve">. Megjithatë, po përsëriten incidentet e vjedhjes së pronave dhe bagëtive, të cilat shpesh prekin serbët e Kosovës, si dhe komunitetet tjera pakicë. Incidentet e tilla, edhe kur nuk janë qartë të njëanshme etnikisht, ndikojnë negativisht në perceptimet e sigurisë së komunitetit të prekur. </w:t>
      </w:r>
      <w:r w:rsidRPr="00A6284F">
        <w:rPr>
          <w:rFonts w:eastAsia="Times New Roman"/>
          <w:color w:val="000000"/>
          <w:sz w:val="24"/>
          <w:lang w:val="sq-AL"/>
        </w:rPr>
        <w:lastRenderedPageBreak/>
        <w:t xml:space="preserve">Përveç kësaj, rastet që pengojnë lirinë e lëvizjes kanë prekur serbët e Kosovës të zhvendosur që vizitojnë vendet fetare. Incidentet e sigurisë gjithashtu kanë prekur komunitetet jo serbe në veri të Kosovës. </w:t>
      </w:r>
      <w:r w:rsidR="003623D3" w:rsidRPr="00A6284F">
        <w:rPr>
          <w:rFonts w:eastAsia="Times New Roman"/>
          <w:color w:val="000000"/>
          <w:sz w:val="24"/>
          <w:lang w:val="sq-AL"/>
        </w:rPr>
        <w:t xml:space="preserve">Duhet të rritet </w:t>
      </w:r>
      <w:r w:rsidRPr="00A6284F">
        <w:rPr>
          <w:rFonts w:eastAsia="Times New Roman"/>
          <w:color w:val="000000"/>
          <w:sz w:val="24"/>
          <w:lang w:val="sq-AL"/>
        </w:rPr>
        <w:t>përcjellja nga autoritetet gjyqësore për t’i sjellë kryesit e incidenteve të tilla para drejtësisë. Institucionet relevante duhet të rrisin përpjekjet e tyre për të regjistruar në mënyrë të saktë dhe për të hetuar të gjitha incidentet e mundshme me motive etnike. Rritja e rekrutimit të zyrtarëve policorë nga pakicat do të mund të kontribuonte në përmirësimin e ndjenjës së sigurisë te komunitetet e prekura.</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Edhe pse me Ligjin për Shërbimin Civil kërkohet që 10% e punonjësve në pushtetin qendror dhe </w:t>
      </w:r>
      <w:r w:rsidR="00776EA4" w:rsidRPr="00A6284F">
        <w:rPr>
          <w:rFonts w:eastAsia="Times New Roman"/>
          <w:color w:val="000000"/>
          <w:sz w:val="24"/>
          <w:lang w:val="sq-AL"/>
        </w:rPr>
        <w:t>lokal</w:t>
      </w:r>
      <w:r w:rsidRPr="00A6284F">
        <w:rPr>
          <w:rFonts w:eastAsia="Times New Roman"/>
          <w:color w:val="000000"/>
          <w:sz w:val="24"/>
          <w:lang w:val="sq-AL"/>
        </w:rPr>
        <w:t xml:space="preserve"> të jenë pjesëtarë të komunitetit pakicë, përfaqësimi i tyre mbetet i kufizuar dhe në përgjithësi i kufizuar në pozita të nivelit më të ulët. Kjo vlen në veçanti për komunitetet më të vogla pakicë.</w:t>
      </w:r>
    </w:p>
    <w:p w:rsidR="00F57B39" w:rsidRPr="00A6284F" w:rsidRDefault="00F57B39"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Ritmi i kthimit dhe riintegrimit të </w:t>
      </w:r>
      <w:r w:rsidRPr="00A6284F">
        <w:rPr>
          <w:rFonts w:eastAsia="Times New Roman"/>
          <w:b/>
          <w:color w:val="000000"/>
          <w:sz w:val="24"/>
          <w:lang w:val="sq-AL"/>
        </w:rPr>
        <w:t>refugjatëve dhe personave të zhvendosur</w:t>
      </w:r>
      <w:r w:rsidRPr="00A6284F">
        <w:rPr>
          <w:rFonts w:eastAsia="Times New Roman"/>
          <w:color w:val="000000"/>
          <w:sz w:val="24"/>
          <w:lang w:val="sq-AL"/>
        </w:rPr>
        <w:t xml:space="preserve"> vazhdon të ngadalësohet, ku 327 individë janë kthyer në vitin 2018. Kjo vjen edhe për shkak të sfidave me të cilat përballen ata në ushtrimin e plotë të drejtave të tyre dhe mungesës së kushteve për kthim të qëndrueshëm (shih gjithashtu të </w:t>
      </w:r>
      <w:r w:rsidRPr="00A6284F">
        <w:rPr>
          <w:rFonts w:eastAsia="Times New Roman"/>
          <w:i/>
          <w:color w:val="000000"/>
          <w:sz w:val="24"/>
          <w:lang w:val="sq-AL"/>
        </w:rPr>
        <w:t>drejtat e pronës</w:t>
      </w:r>
      <w:r w:rsidRPr="00A6284F">
        <w:rPr>
          <w:rFonts w:eastAsia="Times New Roman"/>
          <w:color w:val="000000"/>
          <w:sz w:val="24"/>
          <w:lang w:val="sq-AL"/>
        </w:rPr>
        <w:t xml:space="preserve"> dhe </w:t>
      </w:r>
      <w:r w:rsidRPr="00A6284F">
        <w:rPr>
          <w:rFonts w:eastAsia="Times New Roman"/>
          <w:i/>
          <w:color w:val="000000"/>
          <w:sz w:val="24"/>
          <w:lang w:val="sq-AL"/>
        </w:rPr>
        <w:t>të drejtat dhe mbrojtja e pakicave</w:t>
      </w:r>
      <w:r w:rsidRPr="00A6284F">
        <w:rPr>
          <w:rFonts w:eastAsia="Times New Roman"/>
          <w:color w:val="000000"/>
          <w:sz w:val="24"/>
          <w:lang w:val="sq-AL"/>
        </w:rPr>
        <w:t>). Komisioni Ndërministror për Kthim dhe Çështje të Komuniteteve, i cili duhet të lehtësojë kthimin dhe raportet ndër</w:t>
      </w:r>
      <w:r w:rsidR="00AE58C8" w:rsidRPr="00A6284F">
        <w:rPr>
          <w:rFonts w:eastAsia="Times New Roman"/>
          <w:color w:val="000000"/>
          <w:sz w:val="24"/>
          <w:lang w:val="sq-AL"/>
        </w:rPr>
        <w:t>-</w:t>
      </w:r>
      <w:proofErr w:type="spellStart"/>
      <w:r w:rsidRPr="00A6284F">
        <w:rPr>
          <w:rFonts w:eastAsia="Times New Roman"/>
          <w:color w:val="000000"/>
          <w:sz w:val="24"/>
          <w:lang w:val="sq-AL"/>
        </w:rPr>
        <w:t>komunitare</w:t>
      </w:r>
      <w:proofErr w:type="spellEnd"/>
      <w:r w:rsidRPr="00A6284F">
        <w:rPr>
          <w:rFonts w:eastAsia="Times New Roman"/>
          <w:color w:val="000000"/>
          <w:sz w:val="24"/>
          <w:lang w:val="sq-AL"/>
        </w:rPr>
        <w:t>, nuk u takua në vitin 2018.</w:t>
      </w:r>
    </w:p>
    <w:p w:rsidR="00F57B39" w:rsidRPr="00A6284F" w:rsidRDefault="00F57B39" w:rsidP="00F57B39">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Situata e komuniteteve </w:t>
      </w:r>
      <w:r w:rsidRPr="00A6284F">
        <w:rPr>
          <w:rFonts w:eastAsia="Times New Roman"/>
          <w:b/>
          <w:color w:val="000000"/>
          <w:sz w:val="24"/>
          <w:lang w:val="sq-AL"/>
        </w:rPr>
        <w:t xml:space="preserve">Rom </w:t>
      </w:r>
      <w:r w:rsidRPr="00A6284F">
        <w:rPr>
          <w:rFonts w:eastAsia="Times New Roman"/>
          <w:color w:val="000000"/>
          <w:sz w:val="24"/>
          <w:lang w:val="sq-AL"/>
        </w:rPr>
        <w:t xml:space="preserve">dhe </w:t>
      </w:r>
      <w:r w:rsidRPr="00A6284F">
        <w:rPr>
          <w:rFonts w:eastAsia="Times New Roman"/>
          <w:b/>
          <w:color w:val="000000"/>
          <w:sz w:val="24"/>
          <w:lang w:val="sq-AL"/>
        </w:rPr>
        <w:t>Ashkali</w:t>
      </w:r>
      <w:r w:rsidRPr="00A6284F">
        <w:rPr>
          <w:rFonts w:eastAsia="Times New Roman"/>
          <w:color w:val="000000"/>
          <w:sz w:val="24"/>
          <w:lang w:val="sq-AL"/>
        </w:rPr>
        <w:t xml:space="preserve"> mbetet sfiduese dhe përkundër përpjekjeve at</w:t>
      </w:r>
      <w:r w:rsidR="00EF6240" w:rsidRPr="00A6284F">
        <w:rPr>
          <w:rFonts w:eastAsia="Times New Roman"/>
          <w:color w:val="000000"/>
          <w:sz w:val="24"/>
          <w:lang w:val="sq-AL"/>
        </w:rPr>
        <w:t>a</w:t>
      </w:r>
      <w:r w:rsidRPr="00A6284F">
        <w:rPr>
          <w:rFonts w:eastAsia="Times New Roman"/>
          <w:color w:val="000000"/>
          <w:sz w:val="24"/>
          <w:lang w:val="sq-AL"/>
        </w:rPr>
        <w:t xml:space="preserve"> ende vuajnë nga </w:t>
      </w:r>
      <w:proofErr w:type="spellStart"/>
      <w:r w:rsidRPr="00A6284F">
        <w:rPr>
          <w:rFonts w:eastAsia="Times New Roman"/>
          <w:color w:val="000000"/>
          <w:sz w:val="24"/>
          <w:lang w:val="sq-AL"/>
        </w:rPr>
        <w:t>margjinalizimi</w:t>
      </w:r>
      <w:proofErr w:type="spellEnd"/>
      <w:r w:rsidRPr="00A6284F">
        <w:rPr>
          <w:rFonts w:eastAsia="Times New Roman"/>
          <w:color w:val="000000"/>
          <w:sz w:val="24"/>
          <w:lang w:val="sq-AL"/>
        </w:rPr>
        <w:t xml:space="preserve"> dhe diskriminimi, ku gratë preken në veçanti. Nivelet e varfërisë të këtyre komuniteteve mbeten të larta në krahasim me komunitetet tjera në Kosovë. Zbatimi i Strategjisë dhe Planit të Veprimit për Përfshirjen e Komuniteteve Rom dhe Ashkali në shoqërinë e Kosovës 2017-2021 mbetet i dobët dhe intervenimet në politika nuk vlerësohen në mënyrë sistematike. Duhet të bashkërendohet asistenca e qeverisë dhe donatorëve.</w:t>
      </w:r>
    </w:p>
    <w:p w:rsidR="00F57B39" w:rsidRPr="00A6284F" w:rsidRDefault="00EF6240" w:rsidP="00F57B39">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Disa</w:t>
      </w:r>
      <w:r w:rsidR="00F57B39" w:rsidRPr="00A6284F">
        <w:rPr>
          <w:rFonts w:eastAsia="Times New Roman"/>
          <w:color w:val="000000"/>
          <w:sz w:val="24"/>
          <w:lang w:val="sq-AL"/>
        </w:rPr>
        <w:t xml:space="preserve"> përmirësime mund të vërehen në fushën e arsimit. Shkalla e regjistrimit në </w:t>
      </w:r>
      <w:r w:rsidRPr="00A6284F">
        <w:rPr>
          <w:rFonts w:eastAsia="Times New Roman"/>
          <w:color w:val="000000"/>
          <w:sz w:val="24"/>
          <w:lang w:val="sq-AL"/>
        </w:rPr>
        <w:t>shkollë është duke u rritur të gjitha nivelet</w:t>
      </w:r>
      <w:r w:rsidR="00F57B39" w:rsidRPr="00A6284F">
        <w:rPr>
          <w:rFonts w:eastAsia="Times New Roman"/>
          <w:color w:val="000000"/>
          <w:sz w:val="24"/>
          <w:lang w:val="sq-AL"/>
        </w:rPr>
        <w:t xml:space="preserve">, edhe pse akoma është konsiderueshëm nën mesataren dhe shumë të rinj të komunitetit Rom dhe Ashkali nuk arrijnë nivele më të larta të arsimit. Ministria e Arsimit, Shkencës dhe Teknologjisë ka rritur numrin e bursave për studentët e komunitetit Rom, Ashkali (dhe Egjiptian) nga 500 në 600 në vitin aktual akademik dhe ka ndarë fonde në qendrat e </w:t>
      </w:r>
      <w:r w:rsidR="00BC7BC0" w:rsidRPr="00A6284F">
        <w:rPr>
          <w:rFonts w:eastAsia="Times New Roman"/>
          <w:color w:val="000000"/>
          <w:sz w:val="24"/>
          <w:lang w:val="sq-AL"/>
        </w:rPr>
        <w:t>mësim-nxënies</w:t>
      </w:r>
      <w:r w:rsidR="00F57B39" w:rsidRPr="00A6284F">
        <w:rPr>
          <w:rFonts w:eastAsia="Times New Roman"/>
          <w:color w:val="000000"/>
          <w:sz w:val="24"/>
          <w:lang w:val="sq-AL"/>
        </w:rPr>
        <w:t xml:space="preserve"> të financuara deri më tani kryesisht nga donatorët.</w:t>
      </w:r>
    </w:p>
    <w:p w:rsidR="00F57B39" w:rsidRPr="00A6284F" w:rsidRDefault="00F57B39" w:rsidP="00F57B39">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mungesë të mbulimit universal shëndetësor, komunitetet Rom dhe Ashkali përballen me vështirësi në veçanti në qasjen në shërbimet shëndetësore për shkak të kushteve të tyre të vështira socio-ekonomike. Vetëm qasja në shërbime</w:t>
      </w:r>
      <w:r w:rsidR="00BC7BC0" w:rsidRPr="00A6284F">
        <w:rPr>
          <w:rFonts w:eastAsia="Times New Roman"/>
          <w:color w:val="000000"/>
          <w:sz w:val="24"/>
          <w:lang w:val="sq-AL"/>
        </w:rPr>
        <w:t>t</w:t>
      </w:r>
      <w:r w:rsidRPr="00A6284F">
        <w:rPr>
          <w:rFonts w:eastAsia="Times New Roman"/>
          <w:color w:val="000000"/>
          <w:sz w:val="24"/>
          <w:lang w:val="sq-AL"/>
        </w:rPr>
        <w:t xml:space="preserve"> bazike është pa pagesë.</w:t>
      </w:r>
    </w:p>
    <w:p w:rsidR="00BC7BC0" w:rsidRPr="00A6284F" w:rsidRDefault="00BC7BC0" w:rsidP="00F57B39">
      <w:pPr>
        <w:spacing w:before="20" w:line="275" w:lineRule="exact"/>
        <w:ind w:left="144" w:right="144"/>
        <w:jc w:val="both"/>
        <w:textAlignment w:val="baseline"/>
        <w:rPr>
          <w:rFonts w:eastAsia="Times New Roman"/>
          <w:color w:val="000000"/>
          <w:spacing w:val="-1"/>
          <w:sz w:val="24"/>
          <w:lang w:val="sq-AL"/>
        </w:rPr>
      </w:pPr>
    </w:p>
    <w:p w:rsidR="00E0616C" w:rsidRPr="00A6284F" w:rsidRDefault="00F57B39" w:rsidP="00F57B39">
      <w:pPr>
        <w:spacing w:before="20" w:line="275"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Nevojat e komuniteteve Rom dhe Ashkali për banim plotësohen kryesisht nëpërmjet financimit ndërkombëtar të donatorëve. Megjithatë, në vitin 2018 qeveria ka ndarë 2.4 milionë </w:t>
      </w:r>
      <w:r w:rsidR="006C7565" w:rsidRPr="00A6284F">
        <w:rPr>
          <w:rFonts w:eastAsia="Times New Roman"/>
          <w:color w:val="000000"/>
          <w:spacing w:val="-1"/>
          <w:sz w:val="24"/>
          <w:lang w:val="sq-AL"/>
        </w:rPr>
        <w:t>e</w:t>
      </w:r>
      <w:r w:rsidRPr="00A6284F">
        <w:rPr>
          <w:rFonts w:eastAsia="Times New Roman"/>
          <w:color w:val="000000"/>
          <w:spacing w:val="-1"/>
          <w:sz w:val="24"/>
          <w:lang w:val="sq-AL"/>
        </w:rPr>
        <w:t xml:space="preserve">uro për ndërtimin e banimit social për komunitetet Rom, Ashkali dhe komunitetet tjera të cenueshme në komunat e përzgjedhura. Nevojiten përpjekje shtesë për të lehtësuar integrimin e pjesëtarëve të komuniteteve Rom dhe Ashkali në tregun e punës. Kosova ka shkallën më të lartë të punës </w:t>
      </w:r>
      <w:r w:rsidR="006C7565" w:rsidRPr="00A6284F">
        <w:rPr>
          <w:rFonts w:eastAsia="Times New Roman"/>
          <w:color w:val="000000"/>
          <w:spacing w:val="-1"/>
          <w:sz w:val="24"/>
          <w:lang w:val="sq-AL"/>
        </w:rPr>
        <w:t>jo</w:t>
      </w:r>
      <w:r w:rsidRPr="00A6284F">
        <w:rPr>
          <w:rFonts w:eastAsia="Times New Roman"/>
          <w:color w:val="000000"/>
          <w:spacing w:val="-1"/>
          <w:sz w:val="24"/>
          <w:lang w:val="sq-AL"/>
        </w:rPr>
        <w:t>formale në rajon. Qasja në shërbimet e punësimit dhe aftësimin profesional të ofruar</w:t>
      </w:r>
      <w:r w:rsidR="006C7565" w:rsidRPr="00A6284F">
        <w:rPr>
          <w:rFonts w:eastAsia="Times New Roman"/>
          <w:color w:val="000000"/>
          <w:spacing w:val="-1"/>
          <w:sz w:val="24"/>
          <w:lang w:val="sq-AL"/>
        </w:rPr>
        <w:t>a</w:t>
      </w:r>
      <w:r w:rsidRPr="00A6284F">
        <w:rPr>
          <w:rFonts w:eastAsia="Times New Roman"/>
          <w:color w:val="000000"/>
          <w:spacing w:val="-1"/>
          <w:sz w:val="24"/>
          <w:lang w:val="sq-AL"/>
        </w:rPr>
        <w:t xml:space="preserve"> nga Ministria e Punës dhe Mirëqenies Sociale dhe organizatave tjera është e kufizuar për shkak të mungesës së informacioneve. Institucionet qeveritare duhet të marrin parasysh rritjen e numrit të konsulentëve të punësimit nga komunitetet Rom dhe Ashkali. Duhet të bëhen përpjekje për të parandaluar punën e fëmijëve dhe martesën e fëmijëve, të cilat prekin vajzat në veçanti. Disa persona ende përballen me vështirësi me dokumentacionin civil, shpesh i ndërlidhur me kthimin apo riatdhesimin</w:t>
      </w:r>
      <w:r w:rsidR="009E4C9A" w:rsidRPr="00A6284F">
        <w:rPr>
          <w:rFonts w:eastAsia="Times New Roman"/>
          <w:color w:val="000000"/>
          <w:sz w:val="24"/>
          <w:lang w:val="sq-AL"/>
        </w:rPr>
        <w:t>.</w:t>
      </w:r>
    </w:p>
    <w:p w:rsidR="00CE1051" w:rsidRPr="00A6284F" w:rsidRDefault="00CE1051" w:rsidP="00CE1051">
      <w:pPr>
        <w:spacing w:before="129"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të drejtave kulturore</w:t>
      </w:r>
      <w:r w:rsidRPr="00A6284F">
        <w:rPr>
          <w:rFonts w:eastAsia="Times New Roman"/>
          <w:color w:val="000000"/>
          <w:sz w:val="24"/>
          <w:lang w:val="sq-AL"/>
        </w:rPr>
        <w:t xml:space="preserve">, është filluar të punohet </w:t>
      </w:r>
      <w:r w:rsidR="006C7565" w:rsidRPr="00A6284F">
        <w:rPr>
          <w:rFonts w:eastAsia="Times New Roman"/>
          <w:color w:val="000000"/>
          <w:sz w:val="24"/>
          <w:lang w:val="sq-AL"/>
        </w:rPr>
        <w:t>në</w:t>
      </w:r>
      <w:r w:rsidRPr="00A6284F">
        <w:rPr>
          <w:rFonts w:eastAsia="Times New Roman"/>
          <w:color w:val="000000"/>
          <w:sz w:val="24"/>
          <w:lang w:val="sq-AL"/>
        </w:rPr>
        <w:t xml:space="preserve"> një Ligj të ri për trashëgiminë kulturore. Për më tepër, pas pothuajse dy vjetësh pasivitet, Këshilli për Zbatim dhe Monitorim zhvilloi takime të rregullta gjatë vitit 2018. Në mars të vitit 2018, qeveria </w:t>
      </w:r>
      <w:proofErr w:type="spellStart"/>
      <w:r w:rsidRPr="00A6284F">
        <w:rPr>
          <w:rFonts w:eastAsia="Times New Roman"/>
          <w:color w:val="000000"/>
          <w:sz w:val="24"/>
          <w:lang w:val="sq-AL"/>
        </w:rPr>
        <w:t>rithemeloi</w:t>
      </w:r>
      <w:proofErr w:type="spellEnd"/>
      <w:r w:rsidRPr="00A6284F">
        <w:rPr>
          <w:rFonts w:eastAsia="Times New Roman"/>
          <w:color w:val="000000"/>
          <w:sz w:val="24"/>
          <w:lang w:val="sq-AL"/>
        </w:rPr>
        <w:t xml:space="preserve"> sekretariatin e Këshillit. Ministria e Kulturës duhet të vazhdojë të angazhohet lidhur me Kishën Ortodokse Serbe mbi mënyrat për të mbështetur rindërtimin e objekteve të saj, të cilat mbetën të papërfunduara nga Komisioni për Zbatim të Rindërtimit. Ajo duhet të sigurojë që </w:t>
      </w:r>
      <w:r w:rsidRPr="00A6284F">
        <w:rPr>
          <w:rFonts w:eastAsia="Times New Roman"/>
          <w:color w:val="000000"/>
          <w:sz w:val="24"/>
          <w:lang w:val="sq-AL"/>
        </w:rPr>
        <w:lastRenderedPageBreak/>
        <w:t>Kisha të mund të ushtrojë liri të plotë veprimi në menaxhimin e pronave të saj, duke zbatuar procedurat ligjore.</w:t>
      </w:r>
    </w:p>
    <w:p w:rsidR="00E45A3A" w:rsidRPr="00A6284F" w:rsidRDefault="00E45A3A" w:rsidP="00CE1051">
      <w:pPr>
        <w:spacing w:before="129" w:line="275" w:lineRule="exact"/>
        <w:ind w:left="144" w:right="144"/>
        <w:jc w:val="both"/>
        <w:textAlignment w:val="baseline"/>
        <w:rPr>
          <w:rFonts w:eastAsia="Times New Roman"/>
          <w:color w:val="000000"/>
          <w:sz w:val="24"/>
          <w:lang w:val="sq-AL"/>
        </w:rPr>
      </w:pPr>
    </w:p>
    <w:p w:rsidR="00CE1051" w:rsidRPr="00A6284F" w:rsidRDefault="00CE1051" w:rsidP="00CE1051">
      <w:pPr>
        <w:spacing w:before="128"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Janë vërejtur disa shkelje lidhur me zbatimin e kornizës ligjore për zonat e veçanta të mbrojtura (ZVM). Më 24 prill </w:t>
      </w:r>
      <w:r w:rsidR="00E45A3A" w:rsidRPr="00A6284F">
        <w:rPr>
          <w:rFonts w:eastAsia="Times New Roman"/>
          <w:color w:val="000000"/>
          <w:sz w:val="24"/>
          <w:lang w:val="sq-AL"/>
        </w:rPr>
        <w:t xml:space="preserve">të vitit </w:t>
      </w:r>
      <w:r w:rsidRPr="00A6284F">
        <w:rPr>
          <w:rFonts w:eastAsia="Times New Roman"/>
          <w:color w:val="000000"/>
          <w:sz w:val="24"/>
          <w:lang w:val="sq-AL"/>
        </w:rPr>
        <w:t xml:space="preserve">2018, Ministria e Infrastrukturës </w:t>
      </w:r>
      <w:r w:rsidR="00E45A3A" w:rsidRPr="00A6284F">
        <w:rPr>
          <w:rFonts w:eastAsia="Times New Roman"/>
          <w:color w:val="000000"/>
          <w:sz w:val="24"/>
          <w:lang w:val="sq-AL"/>
        </w:rPr>
        <w:t xml:space="preserve">edhe </w:t>
      </w:r>
      <w:r w:rsidRPr="00A6284F">
        <w:rPr>
          <w:rFonts w:eastAsia="Times New Roman"/>
          <w:color w:val="000000"/>
          <w:sz w:val="24"/>
          <w:lang w:val="sq-AL"/>
        </w:rPr>
        <w:t>zyrtarisht përuroi ndërtimin e rrugë</w:t>
      </w:r>
      <w:r w:rsidR="00E45A3A" w:rsidRPr="00A6284F">
        <w:rPr>
          <w:rFonts w:eastAsia="Times New Roman"/>
          <w:color w:val="000000"/>
          <w:sz w:val="24"/>
          <w:lang w:val="sq-AL"/>
        </w:rPr>
        <w:t>s</w:t>
      </w:r>
      <w:r w:rsidRPr="00A6284F">
        <w:rPr>
          <w:rFonts w:eastAsia="Times New Roman"/>
          <w:color w:val="000000"/>
          <w:sz w:val="24"/>
          <w:lang w:val="sq-AL"/>
        </w:rPr>
        <w:t xml:space="preserve"> Deçan-</w:t>
      </w:r>
      <w:proofErr w:type="spellStart"/>
      <w:r w:rsidRPr="00A6284F">
        <w:rPr>
          <w:rFonts w:eastAsia="Times New Roman"/>
          <w:color w:val="000000"/>
          <w:sz w:val="24"/>
          <w:lang w:val="sq-AL"/>
        </w:rPr>
        <w:t>Plav</w:t>
      </w:r>
      <w:proofErr w:type="spellEnd"/>
      <w:r w:rsidRPr="00A6284F">
        <w:rPr>
          <w:rFonts w:eastAsia="Times New Roman"/>
          <w:color w:val="000000"/>
          <w:sz w:val="24"/>
          <w:lang w:val="sq-AL"/>
        </w:rPr>
        <w:t xml:space="preserve"> (Mal i Zi) në zonën e veçantë të mbrojtur të Manastirit të Deçanit.</w:t>
      </w:r>
      <w:r w:rsidR="00E45A3A" w:rsidRPr="00A6284F">
        <w:rPr>
          <w:rFonts w:eastAsia="Times New Roman"/>
          <w:color w:val="000000"/>
          <w:sz w:val="24"/>
          <w:lang w:val="sq-AL"/>
        </w:rPr>
        <w:t xml:space="preserve"> </w:t>
      </w:r>
      <w:r w:rsidRPr="00A6284F">
        <w:rPr>
          <w:rFonts w:eastAsia="Times New Roman"/>
          <w:color w:val="000000"/>
          <w:sz w:val="24"/>
          <w:lang w:val="sq-AL"/>
        </w:rPr>
        <w:t>Kjo shkaktoi reagime nga bashkësia ndërkombëtare në Kosovë dhe Kisha Ortodokse Serbe, dhe krijoi mosbesim dhe dyshim për planet e ardhshme të ndërtimit të rrugëve brenda zonës. Punimet u ndërprenë në maj të vitit 2018 dhe autoritetet dhanë siguri se nuk do të bëhej asnjë punë tjetër pa konsultim paraprak me të gjithë anëtarët e Këshillit për Zbatim dhe Monitorim.</w:t>
      </w:r>
    </w:p>
    <w:p w:rsidR="00CE1051" w:rsidRPr="00A6284F" w:rsidRDefault="00CE1051" w:rsidP="00CE1051">
      <w:pPr>
        <w:spacing w:before="121"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Nevojitet vigjilencë e vazhdueshme për të mbrojtur zonën e veçantë të mbrojtur të Qendrës Historike të Prizrenit. Në qershor të vitit 2018, Prokuroria Themelore ngriti padi kundër pronarit të një shtëpie që ishte shkatërruar pavarësisht se ishte e shënuar si monument i mbrojtur.</w:t>
      </w:r>
    </w:p>
    <w:p w:rsidR="00CE1051" w:rsidRPr="00A6284F" w:rsidRDefault="00CE1051" w:rsidP="00CE1051">
      <w:pPr>
        <w:spacing w:before="131" w:after="15" w:line="273" w:lineRule="exact"/>
        <w:ind w:left="144"/>
        <w:textAlignment w:val="baseline"/>
        <w:rPr>
          <w:rFonts w:eastAsia="Times New Roman"/>
          <w:b/>
          <w:color w:val="000000"/>
          <w:spacing w:val="4"/>
          <w:sz w:val="24"/>
          <w:lang w:val="sq-AL"/>
        </w:rPr>
      </w:pPr>
      <w:r w:rsidRPr="00A6284F">
        <w:rPr>
          <w:rFonts w:eastAsia="Times New Roman"/>
          <w:b/>
          <w:color w:val="000000"/>
          <w:spacing w:val="4"/>
          <w:sz w:val="24"/>
          <w:lang w:val="sq-AL"/>
        </w:rPr>
        <w:t>2.2.2 Drejtësia, liria dhe siguria</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654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0A4761">
            <w:pPr>
              <w:spacing w:before="28"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w:t>
            </w:r>
            <w:r w:rsidRPr="00A6284F">
              <w:rPr>
                <w:rFonts w:eastAsia="Times New Roman"/>
                <w:b/>
                <w:color w:val="000000"/>
                <w:sz w:val="24"/>
                <w:lang w:val="sq-AL"/>
              </w:rPr>
              <w:t>fazë të hershme/ka një nivel të përgatitjes</w:t>
            </w:r>
            <w:r w:rsidRPr="00A6284F">
              <w:rPr>
                <w:rFonts w:eastAsia="Times New Roman"/>
                <w:color w:val="000000"/>
                <w:sz w:val="24"/>
                <w:lang w:val="sq-AL"/>
              </w:rPr>
              <w:t xml:space="preserve"> në këtë fushë. </w:t>
            </w:r>
            <w:r w:rsidRPr="00A6284F">
              <w:rPr>
                <w:rFonts w:eastAsia="Times New Roman"/>
                <w:b/>
                <w:color w:val="000000"/>
                <w:sz w:val="24"/>
                <w:lang w:val="sq-AL"/>
              </w:rPr>
              <w:t>Pak progres</w:t>
            </w:r>
            <w:r w:rsidRPr="00A6284F">
              <w:rPr>
                <w:rFonts w:eastAsia="Times New Roman"/>
                <w:color w:val="000000"/>
                <w:sz w:val="24"/>
                <w:lang w:val="sq-AL"/>
              </w:rPr>
              <w:t xml:space="preserve"> është bërë, përfshirë në luftën ndaj terrorizmit, ekstremizmin e dhunshëm dhe </w:t>
            </w:r>
            <w:proofErr w:type="spellStart"/>
            <w:r w:rsidRPr="00A6284F">
              <w:rPr>
                <w:rFonts w:eastAsia="Times New Roman"/>
                <w:color w:val="000000"/>
                <w:sz w:val="24"/>
                <w:lang w:val="sq-AL"/>
              </w:rPr>
              <w:t>radikalizimin</w:t>
            </w:r>
            <w:proofErr w:type="spellEnd"/>
            <w:r w:rsidRPr="00A6284F">
              <w:rPr>
                <w:rFonts w:eastAsia="Times New Roman"/>
                <w:color w:val="000000"/>
                <w:sz w:val="24"/>
                <w:lang w:val="sq-AL"/>
              </w:rPr>
              <w:t>. Miratimi i disa ligjeve të rëndësishme për luftën kundër krimit të organizuar ka shënuar një hap të rëndësishëm përpara. Përderisa pasuritë që ishin më të dyshimta u identifikuan dhe u ngrinë, nuk është bërë progres në drejtim të efikasitetit dhe efektivitetit të hetimeve financiare dhe sistemit të konfiskimit të pasurisë. Autoritetet vazhduan të bëjnë progres në menaxhimin e migracionit të rregullt dhe të parregullt.</w:t>
            </w:r>
          </w:p>
          <w:p w:rsidR="00CE1051" w:rsidRPr="00A6284F" w:rsidRDefault="00CE1051" w:rsidP="000A4761">
            <w:pPr>
              <w:spacing w:before="124"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 ka përmbushur pjesërisht rekomandimet e raportit të vitit 2018, gjegjësisht ato që kanë të bëjnë me ekstremizmin e dhunshëm, të dhënat për luftën kundër krimit të organizuar dhe legjislacionin që lidhet me konfiskimin.</w:t>
            </w:r>
            <w:r w:rsidR="00C12D8B" w:rsidRPr="00A6284F">
              <w:rPr>
                <w:rFonts w:eastAsia="Times New Roman"/>
                <w:color w:val="000000"/>
                <w:sz w:val="24"/>
                <w:lang w:val="sq-AL"/>
              </w:rPr>
              <w:t xml:space="preserve"> </w:t>
            </w:r>
            <w:r w:rsidRPr="00A6284F">
              <w:rPr>
                <w:rFonts w:eastAsia="Times New Roman"/>
                <w:color w:val="000000"/>
                <w:sz w:val="24"/>
                <w:lang w:val="sq-AL"/>
              </w:rPr>
              <w:t xml:space="preserve">Kosova duhet të vazhdojë </w:t>
            </w:r>
            <w:r w:rsidR="002E663E" w:rsidRPr="00A6284F">
              <w:rPr>
                <w:rFonts w:eastAsia="Times New Roman"/>
                <w:color w:val="000000"/>
                <w:sz w:val="24"/>
                <w:lang w:val="sq-AL"/>
              </w:rPr>
              <w:t xml:space="preserve">të </w:t>
            </w:r>
            <w:r w:rsidRPr="00A6284F">
              <w:rPr>
                <w:rFonts w:eastAsia="Times New Roman"/>
                <w:color w:val="000000"/>
                <w:sz w:val="24"/>
                <w:lang w:val="sq-AL"/>
              </w:rPr>
              <w:t>përmirësojë ecurinë e saj dhe gjatë vitit të ardhshëm, ajo në veçanti duhet të:</w:t>
            </w:r>
          </w:p>
          <w:p w:rsidR="00CE1051" w:rsidRPr="00A6284F" w:rsidRDefault="00CE1051" w:rsidP="000A4761">
            <w:pPr>
              <w:spacing w:before="140" w:line="275"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procedurat standarde të operimit mbi kryerjen e hetimeve financiare dhe masave që garantojnë se hetimet financiare kryhen automatikisht kur kemi të bëjmë me krim të organizuar, terrorizëm, pastrim të parave dhe raste të rënda të korrupsionit;</w:t>
            </w:r>
          </w:p>
          <w:p w:rsidR="00CE1051" w:rsidRPr="00A6284F" w:rsidRDefault="00CE1051" w:rsidP="000A4761">
            <w:pPr>
              <w:spacing w:before="141" w:line="275"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sigurojë që të gjitha rastet e krimit të organizuar mbulohen nga Ekipi i Përbashkët për përzgjedhjen dhe </w:t>
            </w:r>
            <w:proofErr w:type="spellStart"/>
            <w:r w:rsidRPr="00A6284F">
              <w:rPr>
                <w:rFonts w:eastAsia="Times New Roman"/>
                <w:color w:val="000000"/>
                <w:sz w:val="24"/>
                <w:lang w:val="sq-AL"/>
              </w:rPr>
              <w:t>targetimin</w:t>
            </w:r>
            <w:proofErr w:type="spellEnd"/>
            <w:r w:rsidRPr="00A6284F">
              <w:rPr>
                <w:rFonts w:eastAsia="Times New Roman"/>
                <w:color w:val="000000"/>
                <w:sz w:val="24"/>
                <w:lang w:val="sq-AL"/>
              </w:rPr>
              <w:t xml:space="preserve"> e krimeve të rënda;</w:t>
            </w:r>
          </w:p>
          <w:p w:rsidR="00CE1051" w:rsidRPr="00A6284F" w:rsidRDefault="00CE1051" w:rsidP="000A4761">
            <w:pPr>
              <w:spacing w:before="136" w:line="275"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vazhdojë zbatimin e programeve për </w:t>
            </w:r>
            <w:proofErr w:type="spellStart"/>
            <w:r w:rsidRPr="00A6284F">
              <w:rPr>
                <w:rFonts w:eastAsia="Times New Roman"/>
                <w:color w:val="000000"/>
                <w:sz w:val="24"/>
                <w:lang w:val="sq-AL"/>
              </w:rPr>
              <w:t>deradikalizimin</w:t>
            </w:r>
            <w:proofErr w:type="spellEnd"/>
            <w:r w:rsidRPr="00A6284F">
              <w:rPr>
                <w:rFonts w:eastAsia="Times New Roman"/>
                <w:color w:val="000000"/>
                <w:sz w:val="24"/>
                <w:lang w:val="sq-AL"/>
              </w:rPr>
              <w:t xml:space="preserve">, rehabilitimin dhe </w:t>
            </w:r>
            <w:proofErr w:type="spellStart"/>
            <w:r w:rsidRPr="00A6284F">
              <w:rPr>
                <w:rFonts w:eastAsia="Times New Roman"/>
                <w:color w:val="000000"/>
                <w:sz w:val="24"/>
                <w:lang w:val="sq-AL"/>
              </w:rPr>
              <w:t>riintegrimin</w:t>
            </w:r>
            <w:proofErr w:type="spellEnd"/>
            <w:r w:rsidRPr="00A6284F">
              <w:rPr>
                <w:rFonts w:eastAsia="Times New Roman"/>
                <w:color w:val="000000"/>
                <w:sz w:val="24"/>
                <w:lang w:val="sq-AL"/>
              </w:rPr>
              <w:t xml:space="preserve">, duke përfshirë edhe </w:t>
            </w:r>
            <w:proofErr w:type="spellStart"/>
            <w:r w:rsidRPr="00A6284F">
              <w:rPr>
                <w:rFonts w:eastAsia="Times New Roman"/>
                <w:color w:val="000000"/>
                <w:sz w:val="24"/>
                <w:lang w:val="sq-AL"/>
              </w:rPr>
              <w:t>operacionalizimin</w:t>
            </w:r>
            <w:proofErr w:type="spellEnd"/>
            <w:r w:rsidRPr="00A6284F">
              <w:rPr>
                <w:rFonts w:eastAsia="Times New Roman"/>
                <w:color w:val="000000"/>
                <w:sz w:val="24"/>
                <w:lang w:val="sq-AL"/>
              </w:rPr>
              <w:t xml:space="preserve"> e plotë të Divizionit të Riintegrimit;</w:t>
            </w:r>
          </w:p>
          <w:p w:rsidR="00CE1051" w:rsidRPr="00A6284F" w:rsidRDefault="00CE1051" w:rsidP="002E663E">
            <w:pPr>
              <w:spacing w:before="142" w:after="10" w:line="275" w:lineRule="exact"/>
              <w:ind w:left="504" w:right="144" w:hanging="360"/>
              <w:jc w:val="both"/>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002E663E" w:rsidRPr="00A6284F">
              <w:rPr>
                <w:rFonts w:eastAsia="Times New Roman"/>
                <w:color w:val="000000"/>
                <w:spacing w:val="-1"/>
                <w:sz w:val="24"/>
                <w:lang w:val="sq-AL"/>
              </w:rPr>
              <w:t xml:space="preserve">të </w:t>
            </w:r>
            <w:proofErr w:type="spellStart"/>
            <w:r w:rsidRPr="00A6284F">
              <w:rPr>
                <w:rFonts w:eastAsia="Times New Roman"/>
                <w:color w:val="000000"/>
                <w:spacing w:val="-1"/>
                <w:sz w:val="24"/>
                <w:lang w:val="sq-AL"/>
              </w:rPr>
              <w:t>funksionalizojë</w:t>
            </w:r>
            <w:proofErr w:type="spellEnd"/>
            <w:r w:rsidRPr="00A6284F">
              <w:rPr>
                <w:rFonts w:eastAsia="Times New Roman"/>
                <w:color w:val="000000"/>
                <w:spacing w:val="-1"/>
                <w:sz w:val="24"/>
                <w:lang w:val="sq-AL"/>
              </w:rPr>
              <w:t xml:space="preserve"> plotësisht Qendrën Kombëtare për Menaxhimin e Kufirit, me qëllim forcimin e bashkëpunimit dhe koordinimit ndërinstitucional dhe ndërkombëtar në fushën e migracionit.</w:t>
            </w:r>
          </w:p>
        </w:tc>
      </w:tr>
    </w:tbl>
    <w:p w:rsidR="00CE1051" w:rsidRPr="00A6284F" w:rsidRDefault="00CE1051" w:rsidP="00CE1051">
      <w:pPr>
        <w:spacing w:after="107" w:line="20" w:lineRule="exact"/>
        <w:rPr>
          <w:lang w:val="sq-AL"/>
        </w:rPr>
      </w:pPr>
    </w:p>
    <w:p w:rsidR="00CE1051" w:rsidRPr="00A6284F" w:rsidRDefault="00CE1051" w:rsidP="00CE1051">
      <w:pPr>
        <w:spacing w:before="3" w:after="124" w:line="273" w:lineRule="exact"/>
        <w:ind w:left="144"/>
        <w:textAlignment w:val="baseline"/>
        <w:rPr>
          <w:rFonts w:eastAsia="Times New Roman"/>
          <w:b/>
          <w:color w:val="000000"/>
          <w:sz w:val="24"/>
          <w:lang w:val="sq-AL"/>
        </w:rPr>
      </w:pPr>
      <w:r w:rsidRPr="00A6284F">
        <w:rPr>
          <w:rFonts w:eastAsia="Times New Roman"/>
          <w:b/>
          <w:color w:val="000000"/>
          <w:sz w:val="24"/>
          <w:lang w:val="sq-AL"/>
        </w:rPr>
        <w:t>Lufta kundër krimit të organizuar</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4C1ABC">
        <w:trPr>
          <w:trHeight w:hRule="exact" w:val="6956"/>
        </w:trPr>
        <w:tc>
          <w:tcPr>
            <w:tcW w:w="9360" w:type="dxa"/>
            <w:tcBorders>
              <w:top w:val="single" w:sz="5" w:space="0" w:color="000000"/>
              <w:left w:val="single" w:sz="5" w:space="0" w:color="000000"/>
              <w:bottom w:val="single" w:sz="5" w:space="0" w:color="000000"/>
              <w:right w:val="single" w:sz="5" w:space="0" w:color="000000"/>
            </w:tcBorders>
            <w:shd w:val="clear" w:color="F1F1F1" w:fill="F1F1F1"/>
          </w:tcPr>
          <w:p w:rsidR="00CE1051" w:rsidRPr="00A6284F" w:rsidRDefault="00CE1051" w:rsidP="000A4761">
            <w:pPr>
              <w:spacing w:before="5"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në </w:t>
            </w:r>
            <w:r w:rsidRPr="00A6284F">
              <w:rPr>
                <w:rFonts w:eastAsia="Times New Roman"/>
                <w:b/>
                <w:color w:val="000000"/>
                <w:sz w:val="24"/>
                <w:lang w:val="sq-AL"/>
              </w:rPr>
              <w:t>fazë të hershme</w:t>
            </w:r>
            <w:r w:rsidRPr="00A6284F">
              <w:rPr>
                <w:rFonts w:eastAsia="Times New Roman"/>
                <w:color w:val="000000"/>
                <w:sz w:val="24"/>
                <w:lang w:val="sq-AL"/>
              </w:rPr>
              <w:t xml:space="preserve"> në luftimin e krimit të organizuar. </w:t>
            </w:r>
            <w:r w:rsidRPr="00A6284F">
              <w:rPr>
                <w:rFonts w:eastAsia="Times New Roman"/>
                <w:b/>
                <w:color w:val="000000"/>
                <w:sz w:val="24"/>
                <w:lang w:val="sq-AL"/>
              </w:rPr>
              <w:t>Pak progres</w:t>
            </w:r>
            <w:r w:rsidRPr="00A6284F">
              <w:rPr>
                <w:rFonts w:eastAsia="Times New Roman"/>
                <w:color w:val="000000"/>
                <w:sz w:val="24"/>
                <w:lang w:val="sq-AL"/>
              </w:rPr>
              <w:t xml:space="preserve"> është bërë, veçanërisht nëpërmjet reformave të rëndësishme legjislative në fushën e sundimit të ligjit</w:t>
            </w:r>
            <w:r w:rsidRPr="00A6284F">
              <w:rPr>
                <w:rFonts w:eastAsia="Times New Roman"/>
                <w:color w:val="000000"/>
                <w:sz w:val="24"/>
                <w:lang w:val="sq-AL"/>
              </w:rPr>
              <w:br/>
              <w:t xml:space="preserve">(përfshirë Kodin Penal), në hetimin dhe ndjekjen e rasteve të nivelit të lartë dhe në ngrirjen paraprake të pasurisë. Konfiskimet përfundimtare të pasurive mbeten të ulëta. Ka ende hetime financiare dhe dënime të plotfuqishme. Nevojiten masa që të sigurohet mirë që të mos ketë ndërhyrje politike tek aktivitetet operative të organeve të zbatimit të ligjit dhe prokurorisë. Gjendja në veri të Kosovës, në lidhje me krimin e organizuar, përbën </w:t>
            </w:r>
            <w:r w:rsidR="002E663E" w:rsidRPr="00A6284F">
              <w:rPr>
                <w:rFonts w:eastAsia="Times New Roman"/>
                <w:color w:val="000000"/>
                <w:sz w:val="24"/>
                <w:lang w:val="sq-AL"/>
              </w:rPr>
              <w:t xml:space="preserve">sfidë të posaçme për agjencitë </w:t>
            </w:r>
            <w:r w:rsidRPr="00A6284F">
              <w:rPr>
                <w:rFonts w:eastAsia="Times New Roman"/>
                <w:color w:val="000000"/>
                <w:sz w:val="24"/>
                <w:lang w:val="sq-AL"/>
              </w:rPr>
              <w:t>zbatuese</w:t>
            </w:r>
            <w:r w:rsidR="002E663E" w:rsidRPr="00A6284F">
              <w:rPr>
                <w:rFonts w:eastAsia="Times New Roman"/>
                <w:color w:val="000000"/>
                <w:sz w:val="24"/>
                <w:lang w:val="sq-AL"/>
              </w:rPr>
              <w:t xml:space="preserve"> të ligjit</w:t>
            </w:r>
            <w:r w:rsidRPr="00A6284F">
              <w:rPr>
                <w:rFonts w:eastAsia="Times New Roman"/>
                <w:color w:val="000000"/>
                <w:sz w:val="24"/>
                <w:lang w:val="sq-AL"/>
              </w:rPr>
              <w:t>. Kosova ka ndjekur vetëm pjesërisht rekomandimet e raportit</w:t>
            </w:r>
            <w:r w:rsidR="004C1ABC" w:rsidRPr="00A6284F">
              <w:rPr>
                <w:rFonts w:eastAsia="Times New Roman"/>
                <w:color w:val="000000"/>
                <w:sz w:val="24"/>
                <w:lang w:val="sq-AL"/>
              </w:rPr>
              <w:t xml:space="preserve"> të vitit </w:t>
            </w:r>
            <w:r w:rsidRPr="00A6284F">
              <w:rPr>
                <w:rFonts w:eastAsia="Times New Roman"/>
                <w:color w:val="000000"/>
                <w:sz w:val="24"/>
                <w:lang w:val="sq-AL"/>
              </w:rPr>
              <w:t xml:space="preserve">2018, gjegjësisht tek regjistri i rasteve, trajnimi  dhe punësimi i prokurorëve dhe qasja e policisë së udhëhequr nga inteligjenca. Megjithatë, disa nga rekomandimet mbeten </w:t>
            </w:r>
            <w:proofErr w:type="spellStart"/>
            <w:r w:rsidRPr="00A6284F">
              <w:rPr>
                <w:rFonts w:eastAsia="Times New Roman"/>
                <w:color w:val="000000"/>
                <w:sz w:val="24"/>
                <w:lang w:val="sq-AL"/>
              </w:rPr>
              <w:t>valide</w:t>
            </w:r>
            <w:proofErr w:type="spellEnd"/>
            <w:r w:rsidRPr="00A6284F">
              <w:rPr>
                <w:rFonts w:eastAsia="Times New Roman"/>
                <w:color w:val="000000"/>
                <w:sz w:val="24"/>
                <w:lang w:val="sq-AL"/>
              </w:rPr>
              <w:t>, ndërsa të tjerat tani do të kërkojnë zbatim të fuqishëm.</w:t>
            </w:r>
          </w:p>
          <w:p w:rsidR="00CE1051" w:rsidRPr="00A6284F" w:rsidRDefault="00CE1051" w:rsidP="000A4761">
            <w:pPr>
              <w:spacing w:before="118" w:line="276" w:lineRule="exact"/>
              <w:ind w:left="144"/>
              <w:textAlignment w:val="baseline"/>
              <w:rPr>
                <w:rFonts w:eastAsia="Times New Roman"/>
                <w:color w:val="000000"/>
                <w:sz w:val="24"/>
                <w:lang w:val="sq-AL"/>
              </w:rPr>
            </w:pPr>
            <w:r w:rsidRPr="00A6284F">
              <w:rPr>
                <w:rFonts w:eastAsia="Times New Roman"/>
                <w:color w:val="000000"/>
                <w:sz w:val="24"/>
                <w:lang w:val="sq-AL"/>
              </w:rPr>
              <w:t>Në vitin vijues, Kosova duhet që posaçërisht të:</w:t>
            </w:r>
          </w:p>
          <w:p w:rsidR="00CE1051" w:rsidRPr="00A6284F" w:rsidRDefault="00CE1051" w:rsidP="000A4761">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proofErr w:type="spellStart"/>
            <w:r w:rsidRPr="00A6284F">
              <w:rPr>
                <w:rFonts w:eastAsia="Times New Roman"/>
                <w:color w:val="000000"/>
                <w:sz w:val="24"/>
                <w:lang w:val="sq-AL"/>
              </w:rPr>
              <w:t>prioritizojë</w:t>
            </w:r>
            <w:proofErr w:type="spellEnd"/>
            <w:r w:rsidRPr="00A6284F">
              <w:rPr>
                <w:rFonts w:eastAsia="Times New Roman"/>
                <w:color w:val="000000"/>
                <w:sz w:val="24"/>
                <w:lang w:val="sq-AL"/>
              </w:rPr>
              <w:t xml:space="preserve"> zbatimin e plotë të kornizës legjislative të rishikuar në fushën e sundimit të ligjit, duke përfshirë trajnimin dhe ngritjen e vetëdijes, për ta bërë atë një mjet efektiv për të luftuar krimin e organizuar;</w:t>
            </w:r>
          </w:p>
          <w:p w:rsidR="00CE1051" w:rsidRPr="00A6284F" w:rsidRDefault="00CE1051" w:rsidP="000A4761">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rrisë numrin e prokurorëve në Prokurorinë Speciale për të hetuar dhe ndjekur penalisht rastet e krimit të organizuar të nivelit të lartë dhe të ofrojë trajnime për përforcimin e kapaciteteve të tyre për të kryer hetime financiare, konfiskuar pasuri dhe mbrojtur </w:t>
            </w:r>
            <w:proofErr w:type="spellStart"/>
            <w:r w:rsidRPr="00A6284F">
              <w:rPr>
                <w:rFonts w:eastAsia="Times New Roman"/>
                <w:color w:val="000000"/>
                <w:sz w:val="24"/>
                <w:lang w:val="sq-AL"/>
              </w:rPr>
              <w:t>efektivisht</w:t>
            </w:r>
            <w:proofErr w:type="spellEnd"/>
            <w:r w:rsidRPr="00A6284F">
              <w:rPr>
                <w:rFonts w:eastAsia="Times New Roman"/>
                <w:color w:val="000000"/>
                <w:sz w:val="24"/>
                <w:lang w:val="sq-AL"/>
              </w:rPr>
              <w:t xml:space="preserve"> dëshmitarët;</w:t>
            </w:r>
          </w:p>
          <w:p w:rsidR="00CE1051" w:rsidRPr="00A6284F" w:rsidRDefault="00CE1051" w:rsidP="004C1ABC">
            <w:pPr>
              <w:spacing w:before="142" w:after="10"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zbatojë në mënyrë specifike qasjet e udhëhequra nga inteligjenca dhe </w:t>
            </w:r>
            <w:proofErr w:type="spellStart"/>
            <w:r w:rsidRPr="00A6284F">
              <w:rPr>
                <w:rFonts w:eastAsia="Times New Roman"/>
                <w:color w:val="000000"/>
                <w:sz w:val="24"/>
                <w:lang w:val="sq-AL"/>
              </w:rPr>
              <w:t>policimit</w:t>
            </w:r>
            <w:proofErr w:type="spellEnd"/>
            <w:r w:rsidRPr="00A6284F">
              <w:rPr>
                <w:rFonts w:eastAsia="Times New Roman"/>
                <w:color w:val="000000"/>
                <w:sz w:val="24"/>
                <w:lang w:val="sq-AL"/>
              </w:rPr>
              <w:t xml:space="preserve"> në komunitet, përfshirë raportimin më relevant të inteligjencës kriminale dhe përcaktimin e përmirësuar të detyrave brenda drejtorive të policisë, për të mundësuar </w:t>
            </w:r>
            <w:proofErr w:type="spellStart"/>
            <w:r w:rsidRPr="00A6284F">
              <w:rPr>
                <w:rFonts w:eastAsia="Times New Roman"/>
                <w:color w:val="000000"/>
                <w:sz w:val="24"/>
                <w:lang w:val="sq-AL"/>
              </w:rPr>
              <w:t>policim</w:t>
            </w:r>
            <w:proofErr w:type="spellEnd"/>
            <w:r w:rsidRPr="00A6284F">
              <w:rPr>
                <w:rFonts w:eastAsia="Times New Roman"/>
                <w:color w:val="000000"/>
                <w:sz w:val="24"/>
                <w:lang w:val="sq-AL"/>
              </w:rPr>
              <w:t xml:space="preserve"> më </w:t>
            </w:r>
            <w:proofErr w:type="spellStart"/>
            <w:r w:rsidRPr="00A6284F">
              <w:rPr>
                <w:rFonts w:eastAsia="Times New Roman"/>
                <w:color w:val="000000"/>
                <w:sz w:val="24"/>
                <w:lang w:val="sq-AL"/>
              </w:rPr>
              <w:t>proaktiv</w:t>
            </w:r>
            <w:proofErr w:type="spellEnd"/>
            <w:r w:rsidRPr="00A6284F">
              <w:rPr>
                <w:rFonts w:eastAsia="Times New Roman"/>
                <w:color w:val="000000"/>
                <w:sz w:val="24"/>
                <w:lang w:val="sq-AL"/>
              </w:rPr>
              <w:t>.</w:t>
            </w:r>
          </w:p>
        </w:tc>
      </w:tr>
    </w:tbl>
    <w:p w:rsidR="00CE1051" w:rsidRPr="00A6284F" w:rsidRDefault="00CE1051" w:rsidP="00CE1051">
      <w:pPr>
        <w:spacing w:after="102" w:line="20" w:lineRule="exact"/>
        <w:rPr>
          <w:lang w:val="sq-AL"/>
        </w:rPr>
      </w:pPr>
    </w:p>
    <w:p w:rsidR="00CE1051" w:rsidRPr="00A6284F" w:rsidRDefault="00CE1051" w:rsidP="00CE1051">
      <w:pPr>
        <w:spacing w:before="3"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Struktura institucionale dhe harmonizimi ligjor</w:t>
      </w:r>
    </w:p>
    <w:p w:rsidR="00CE1051" w:rsidRPr="00A6284F" w:rsidRDefault="00CE1051" w:rsidP="00CE1051">
      <w:pPr>
        <w:spacing w:before="116"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Institucionet</w:t>
      </w:r>
      <w:r w:rsidRPr="00A6284F">
        <w:rPr>
          <w:rFonts w:eastAsia="Times New Roman"/>
          <w:color w:val="000000"/>
          <w:sz w:val="24"/>
          <w:lang w:val="sq-AL"/>
        </w:rPr>
        <w:t xml:space="preserve"> kyçe në luftën kundër krimit të organizuar përfshijnë </w:t>
      </w:r>
      <w:r w:rsidR="004C1ABC" w:rsidRPr="00A6284F">
        <w:rPr>
          <w:rFonts w:eastAsia="Times New Roman"/>
          <w:b/>
          <w:color w:val="000000"/>
          <w:sz w:val="24"/>
          <w:lang w:val="sq-AL"/>
        </w:rPr>
        <w:t xml:space="preserve">Zyrën e </w:t>
      </w:r>
      <w:r w:rsidRPr="00A6284F">
        <w:rPr>
          <w:rFonts w:eastAsia="Times New Roman"/>
          <w:b/>
          <w:color w:val="000000"/>
          <w:sz w:val="24"/>
          <w:lang w:val="sq-AL"/>
        </w:rPr>
        <w:t>Prokurori</w:t>
      </w:r>
      <w:r w:rsidR="004C1ABC" w:rsidRPr="00A6284F">
        <w:rPr>
          <w:rFonts w:eastAsia="Times New Roman"/>
          <w:b/>
          <w:color w:val="000000"/>
          <w:sz w:val="24"/>
          <w:lang w:val="sq-AL"/>
        </w:rPr>
        <w:t>s</w:t>
      </w:r>
      <w:r w:rsidRPr="00A6284F">
        <w:rPr>
          <w:rFonts w:eastAsia="Times New Roman"/>
          <w:b/>
          <w:color w:val="000000"/>
          <w:sz w:val="24"/>
          <w:lang w:val="sq-AL"/>
        </w:rPr>
        <w:t>ë Speciale</w:t>
      </w:r>
      <w:r w:rsidRPr="00A6284F">
        <w:rPr>
          <w:rFonts w:eastAsia="Times New Roman"/>
          <w:color w:val="000000"/>
          <w:sz w:val="24"/>
          <w:lang w:val="sq-AL"/>
        </w:rPr>
        <w:t xml:space="preserve"> dhe departamentet e krimeve të rënda të Gjykatave Themelore të Kosovës. Një drejtori e krimit të organizuar (duke përfshirë një sektor të ri për hetimin e krimit </w:t>
      </w:r>
      <w:proofErr w:type="spellStart"/>
      <w:r w:rsidRPr="00A6284F">
        <w:rPr>
          <w:rFonts w:eastAsia="Times New Roman"/>
          <w:color w:val="000000"/>
          <w:sz w:val="24"/>
          <w:lang w:val="sq-AL"/>
        </w:rPr>
        <w:t>kibenetik</w:t>
      </w:r>
      <w:proofErr w:type="spellEnd"/>
      <w:r w:rsidRPr="00A6284F">
        <w:rPr>
          <w:rFonts w:eastAsia="Times New Roman"/>
          <w:color w:val="000000"/>
          <w:sz w:val="24"/>
          <w:lang w:val="sq-AL"/>
        </w:rPr>
        <w:t xml:space="preserve">) në selinë e policisë plotësohet nga njësitë e specializuara në nivel rajonal, dhe asistohet nga njësitë e mjekësisë ligjore dhe Agjencia e Kosovës për </w:t>
      </w:r>
      <w:proofErr w:type="spellStart"/>
      <w:r w:rsidRPr="00A6284F">
        <w:rPr>
          <w:rFonts w:eastAsia="Times New Roman"/>
          <w:color w:val="000000"/>
          <w:sz w:val="24"/>
          <w:lang w:val="sq-AL"/>
        </w:rPr>
        <w:t>Forenzikë</w:t>
      </w:r>
      <w:proofErr w:type="spellEnd"/>
      <w:r w:rsidRPr="00A6284F">
        <w:rPr>
          <w:rFonts w:eastAsia="Times New Roman"/>
          <w:color w:val="000000"/>
          <w:sz w:val="24"/>
          <w:lang w:val="sq-AL"/>
        </w:rPr>
        <w:t xml:space="preserve">. </w:t>
      </w:r>
      <w:r w:rsidR="00C854F6" w:rsidRPr="00A6284F">
        <w:rPr>
          <w:rFonts w:eastAsia="Times New Roman"/>
          <w:color w:val="000000"/>
          <w:sz w:val="24"/>
          <w:lang w:val="sq-AL"/>
        </w:rPr>
        <w:t xml:space="preserve">Janë gjithsej </w:t>
      </w:r>
      <w:r w:rsidRPr="00A6284F">
        <w:rPr>
          <w:rFonts w:eastAsia="Times New Roman"/>
          <w:color w:val="000000"/>
          <w:sz w:val="24"/>
          <w:lang w:val="sq-AL"/>
        </w:rPr>
        <w:t xml:space="preserve">436 </w:t>
      </w:r>
      <w:r w:rsidR="00C854F6" w:rsidRPr="00A6284F">
        <w:rPr>
          <w:rFonts w:eastAsia="Times New Roman"/>
          <w:color w:val="000000"/>
          <w:sz w:val="24"/>
          <w:lang w:val="sq-AL"/>
        </w:rPr>
        <w:t xml:space="preserve">zyrtar </w:t>
      </w:r>
      <w:r w:rsidRPr="00A6284F">
        <w:rPr>
          <w:rFonts w:eastAsia="Times New Roman"/>
          <w:color w:val="000000"/>
          <w:sz w:val="24"/>
          <w:lang w:val="sq-AL"/>
        </w:rPr>
        <w:t xml:space="preserve">të </w:t>
      </w:r>
      <w:r w:rsidRPr="00A6284F">
        <w:rPr>
          <w:rFonts w:eastAsia="Times New Roman"/>
          <w:b/>
          <w:color w:val="000000"/>
          <w:sz w:val="24"/>
          <w:lang w:val="sq-AL"/>
        </w:rPr>
        <w:t>Policisë së Kosovës</w:t>
      </w:r>
      <w:r w:rsidRPr="00A6284F">
        <w:rPr>
          <w:rFonts w:eastAsia="Times New Roman"/>
          <w:color w:val="000000"/>
          <w:sz w:val="24"/>
          <w:lang w:val="sq-AL"/>
        </w:rPr>
        <w:t xml:space="preserve"> për çdo 100,000 banorë, krahasuar me mesataren e BE-së prej 318 në vitin 2016</w:t>
      </w:r>
      <w:r w:rsidR="00C854F6" w:rsidRPr="00A6284F">
        <w:rPr>
          <w:rFonts w:eastAsia="Times New Roman"/>
          <w:color w:val="000000"/>
          <w:sz w:val="24"/>
          <w:lang w:val="sq-AL"/>
        </w:rPr>
        <w:t xml:space="preserve"> sipas </w:t>
      </w:r>
      <w:proofErr w:type="spellStart"/>
      <w:r w:rsidR="00C854F6" w:rsidRPr="00A6284F">
        <w:rPr>
          <w:rFonts w:eastAsia="Times New Roman"/>
          <w:color w:val="000000"/>
          <w:sz w:val="24"/>
          <w:lang w:val="sq-AL"/>
        </w:rPr>
        <w:t>Eurostat</w:t>
      </w:r>
      <w:proofErr w:type="spellEnd"/>
      <w:r w:rsidR="00C854F6" w:rsidRPr="00A6284F">
        <w:rPr>
          <w:rFonts w:eastAsia="Times New Roman"/>
          <w:color w:val="000000"/>
          <w:sz w:val="24"/>
          <w:lang w:val="sq-AL"/>
        </w:rPr>
        <w:t>-it</w:t>
      </w:r>
      <w:r w:rsidRPr="00A6284F">
        <w:rPr>
          <w:rFonts w:eastAsia="Times New Roman"/>
          <w:color w:val="000000"/>
          <w:sz w:val="24"/>
          <w:lang w:val="sq-AL"/>
        </w:rPr>
        <w:t>. Ata janë relativisht të trajnuar mirë dhe të pajisur, dhe kanë infrastrukturë moderne të TI-së. Akademia e Kosovës për Siguri Publike siguron një nivel të mirë të trajnimit fillestar dhe në shërbim për organet e policisë dhe të sigurisë publike siç janë shërbimet korrektuese ose doganore.</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Dogana e Kosovës, Njësia e Inteligjencës Financiare (NJIF) dhe administrata tatimore janë përgjegjëse për monitorimin dhe kontrollin e qarkullimit të brendshëm dhe ndërkufitar/kufirit të mallrave, materialeve dhe kapitalit që mund të përfshihen në çdo formë të krimit të organizuar. NJIF në mënyrë specifike ndihmon në analizimin dhe shpërndarjen e informatave mbi pastrimin e parave dhe financimin e terrorizmit. Ai gjithashtu ka kapacitetin për të ngrirë transaksionet e dyshimta financiare.</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Policia e Kosovës ka themeluar </w:t>
      </w:r>
      <w:r w:rsidRPr="00A6284F">
        <w:rPr>
          <w:rFonts w:eastAsia="Times New Roman"/>
          <w:b/>
          <w:color w:val="000000"/>
          <w:sz w:val="24"/>
          <w:lang w:val="sq-AL"/>
        </w:rPr>
        <w:t>Zyrën për Rikuperim të Aseteve</w:t>
      </w:r>
      <w:r w:rsidRPr="00A6284F">
        <w:rPr>
          <w:rFonts w:eastAsia="Times New Roman"/>
          <w:color w:val="000000"/>
          <w:sz w:val="24"/>
          <w:lang w:val="sq-AL"/>
        </w:rPr>
        <w:t xml:space="preserve"> brenda Drejtorisë për Hetimet e Krimeve Ekonomike. Zyra duhet të </w:t>
      </w:r>
      <w:proofErr w:type="spellStart"/>
      <w:r w:rsidRPr="00A6284F">
        <w:rPr>
          <w:rFonts w:eastAsia="Times New Roman"/>
          <w:color w:val="000000"/>
          <w:sz w:val="24"/>
          <w:lang w:val="sq-AL"/>
        </w:rPr>
        <w:t>funksionalizohet</w:t>
      </w:r>
      <w:proofErr w:type="spellEnd"/>
      <w:r w:rsidRPr="00A6284F">
        <w:rPr>
          <w:rFonts w:eastAsia="Times New Roman"/>
          <w:color w:val="000000"/>
          <w:sz w:val="24"/>
          <w:lang w:val="sq-AL"/>
        </w:rPr>
        <w:t xml:space="preserve"> plotësisht dhe të zhvillohet më tej nga të gjitha palët përgjegjëse, pasi që ka marrë kërkesa të kufizuara deri tani. Ekziston bashkëpunimi </w:t>
      </w:r>
      <w:proofErr w:type="spellStart"/>
      <w:r w:rsidRPr="00A6284F">
        <w:rPr>
          <w:rFonts w:eastAsia="Times New Roman"/>
          <w:color w:val="000000"/>
          <w:sz w:val="24"/>
          <w:lang w:val="sq-AL"/>
        </w:rPr>
        <w:t>operacional</w:t>
      </w:r>
      <w:proofErr w:type="spellEnd"/>
      <w:r w:rsidRPr="00A6284F">
        <w:rPr>
          <w:rFonts w:eastAsia="Times New Roman"/>
          <w:color w:val="000000"/>
          <w:sz w:val="24"/>
          <w:lang w:val="sq-AL"/>
        </w:rPr>
        <w:t xml:space="preserve"> midis policisë, shërbimeve tatimore dhe doganore përmes qasjes së ndërsjellë dhe ndërveprimit të bazave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Sidoqoftë, nevojitet qasje më e shpejtë dhe më e drejtpërdrejtë në bazat përkatëse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Ende ka nevojë për </w:t>
      </w:r>
      <w:r w:rsidRPr="00A6284F">
        <w:rPr>
          <w:rFonts w:eastAsia="Times New Roman"/>
          <w:b/>
          <w:color w:val="000000"/>
          <w:sz w:val="24"/>
          <w:lang w:val="sq-AL"/>
        </w:rPr>
        <w:t>bashkëpunim dhe koordinim</w:t>
      </w:r>
      <w:r w:rsidRPr="00A6284F">
        <w:rPr>
          <w:rFonts w:eastAsia="Times New Roman"/>
          <w:color w:val="000000"/>
          <w:sz w:val="24"/>
          <w:lang w:val="sq-AL"/>
        </w:rPr>
        <w:t xml:space="preserve"> më të mirë midis të gjitha institucioneve. Prokuroria Speciale mbetet lidhja më e dobët.</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Dispozitat e ligjit penal mbi krimin e organizuar janë gjerësisht në përputhje me standardet relevante evropiane. </w:t>
      </w:r>
      <w:r w:rsidRPr="00A6284F">
        <w:rPr>
          <w:rFonts w:eastAsia="Times New Roman"/>
          <w:b/>
          <w:color w:val="000000"/>
          <w:sz w:val="24"/>
          <w:lang w:val="sq-AL"/>
        </w:rPr>
        <w:t>Kodi Penal</w:t>
      </w:r>
      <w:r w:rsidRPr="00A6284F">
        <w:rPr>
          <w:rFonts w:eastAsia="Times New Roman"/>
          <w:color w:val="000000"/>
          <w:sz w:val="24"/>
          <w:lang w:val="sq-AL"/>
        </w:rPr>
        <w:t xml:space="preserve"> i miratuar rishtazi ka ndryshuar disa dispozita mbi krimin e organizuar. Tani ai përmban periudha të gjata kufizuese ligjore për krime të ndryshme të rënda dhe nivele të rritura të ndëshkimit për korrupsionin dhe shumë akte dhe vepra të krimit të organizuar. Rishikimi ka sjellë shumicën e dispozitave të kodit në përputhje me praktikat më të mira evropiane dhe me </w:t>
      </w:r>
      <w:r w:rsidRPr="00A6284F">
        <w:rPr>
          <w:rFonts w:eastAsia="Times New Roman"/>
          <w:i/>
          <w:color w:val="000000"/>
          <w:sz w:val="24"/>
          <w:lang w:val="sq-AL"/>
        </w:rPr>
        <w:t>acquis</w:t>
      </w:r>
      <w:r w:rsidRPr="00A6284F">
        <w:rPr>
          <w:rFonts w:eastAsia="Times New Roman"/>
          <w:color w:val="000000"/>
          <w:sz w:val="24"/>
          <w:lang w:val="sq-AL"/>
        </w:rPr>
        <w:t xml:space="preserve"> të BE-së. Ndonëse </w:t>
      </w:r>
      <w:r w:rsidRPr="00A6284F">
        <w:rPr>
          <w:rFonts w:eastAsia="Times New Roman"/>
          <w:b/>
          <w:color w:val="000000"/>
          <w:sz w:val="24"/>
          <w:lang w:val="sq-AL"/>
        </w:rPr>
        <w:t>Kodi i Procedurës Penale</w:t>
      </w:r>
      <w:r w:rsidRPr="00A6284F">
        <w:rPr>
          <w:rFonts w:eastAsia="Times New Roman"/>
          <w:color w:val="000000"/>
          <w:sz w:val="24"/>
          <w:lang w:val="sq-AL"/>
        </w:rPr>
        <w:t xml:space="preserve"> u rishikua dhe u miratua nga qeveria, ai ende nuk është miratuar nga Kuvendi. </w:t>
      </w:r>
      <w:r w:rsidR="00D8426B" w:rsidRPr="00A6284F">
        <w:rPr>
          <w:rFonts w:eastAsia="Times New Roman"/>
          <w:color w:val="000000"/>
          <w:sz w:val="24"/>
          <w:lang w:val="sq-AL"/>
        </w:rPr>
        <w:t>Draft</w:t>
      </w:r>
      <w:r w:rsidRPr="00A6284F">
        <w:rPr>
          <w:rFonts w:eastAsia="Times New Roman"/>
          <w:color w:val="000000"/>
          <w:sz w:val="24"/>
          <w:lang w:val="sq-AL"/>
        </w:rPr>
        <w:t xml:space="preserve"> Kodi i Procedurës Penale përfshin dispozita të rishikuara mbi kërkimin dhe konfiskimin, mbi </w:t>
      </w:r>
      <w:proofErr w:type="spellStart"/>
      <w:r w:rsidRPr="00A6284F">
        <w:rPr>
          <w:rFonts w:eastAsia="Times New Roman"/>
          <w:color w:val="000000"/>
          <w:sz w:val="24"/>
          <w:lang w:val="sq-AL"/>
        </w:rPr>
        <w:t>pranueshmërinë</w:t>
      </w:r>
      <w:proofErr w:type="spellEnd"/>
      <w:r w:rsidRPr="00A6284F">
        <w:rPr>
          <w:rFonts w:eastAsia="Times New Roman"/>
          <w:color w:val="000000"/>
          <w:sz w:val="24"/>
          <w:lang w:val="sq-AL"/>
        </w:rPr>
        <w:t xml:space="preserve"> e provave, lidhur me mosbalancimin midis mbrojtjes dhe ndjekjes penale në gjykim, mbi mundësitë e ndryshme të apelimit dhe mbi periudhën e caktuar kohore për hetimet në rastet e krimit të organizuar dhe të korrupsionit. Për reformat legjislative në fushën e sundimit të ligjit, shih </w:t>
      </w:r>
      <w:r w:rsidRPr="00A6284F">
        <w:rPr>
          <w:rFonts w:eastAsia="Times New Roman"/>
          <w:i/>
          <w:color w:val="000000"/>
          <w:sz w:val="24"/>
          <w:lang w:val="sq-AL"/>
        </w:rPr>
        <w:t>seksionin mbi luftën kundër korrupsionit.</w:t>
      </w:r>
    </w:p>
    <w:p w:rsidR="00CE1051" w:rsidRPr="00A6284F" w:rsidRDefault="00CE1051" w:rsidP="00CE1051">
      <w:pPr>
        <w:spacing w:before="122" w:line="276" w:lineRule="exact"/>
        <w:ind w:left="144" w:right="144"/>
        <w:jc w:val="both"/>
        <w:textAlignment w:val="baseline"/>
        <w:rPr>
          <w:rFonts w:eastAsia="Times New Roman"/>
          <w:color w:val="000000"/>
          <w:spacing w:val="-1"/>
          <w:sz w:val="24"/>
          <w:lang w:val="sq-AL"/>
        </w:rPr>
      </w:pPr>
      <w:r w:rsidRPr="00A6284F">
        <w:rPr>
          <w:rFonts w:eastAsia="Times New Roman"/>
          <w:b/>
          <w:color w:val="000000"/>
          <w:spacing w:val="-1"/>
          <w:sz w:val="24"/>
          <w:lang w:val="sq-AL"/>
        </w:rPr>
        <w:t xml:space="preserve">Ligji për </w:t>
      </w:r>
      <w:r w:rsidR="00D8426B" w:rsidRPr="00A6284F">
        <w:rPr>
          <w:rFonts w:eastAsia="Times New Roman"/>
          <w:b/>
          <w:color w:val="000000"/>
          <w:spacing w:val="-1"/>
          <w:sz w:val="24"/>
          <w:lang w:val="sq-AL"/>
        </w:rPr>
        <w:t>shpëlarjen</w:t>
      </w:r>
      <w:r w:rsidRPr="00A6284F">
        <w:rPr>
          <w:rFonts w:eastAsia="Times New Roman"/>
          <w:b/>
          <w:color w:val="000000"/>
          <w:spacing w:val="-1"/>
          <w:sz w:val="24"/>
          <w:lang w:val="sq-AL"/>
        </w:rPr>
        <w:t xml:space="preserve"> e parave dhe financimin e terrorizmit</w:t>
      </w:r>
      <w:r w:rsidRPr="00A6284F">
        <w:rPr>
          <w:rFonts w:eastAsia="Times New Roman"/>
          <w:color w:val="000000"/>
          <w:spacing w:val="-1"/>
          <w:sz w:val="24"/>
          <w:lang w:val="sq-AL"/>
        </w:rPr>
        <w:t xml:space="preserve"> nuk është plotësisht në përputhje me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të BE-së dhe standardet ndërkombëtare. Mangësitë kryesore në kornizën ligjore dhe institucionale mbeten; (i) paqartësia e përgjegjësisë së përbashkët mbikëqyrëse të sektorit financiar në mes të NJIF dhe Bankës Qendrore; (</w:t>
      </w:r>
      <w:proofErr w:type="spellStart"/>
      <w:r w:rsidRPr="00A6284F">
        <w:rPr>
          <w:rFonts w:eastAsia="Times New Roman"/>
          <w:color w:val="000000"/>
          <w:spacing w:val="-1"/>
          <w:sz w:val="24"/>
          <w:lang w:val="sq-AL"/>
        </w:rPr>
        <w:t>ii</w:t>
      </w:r>
      <w:proofErr w:type="spellEnd"/>
      <w:r w:rsidRPr="00A6284F">
        <w:rPr>
          <w:rFonts w:eastAsia="Times New Roman"/>
          <w:color w:val="000000"/>
          <w:spacing w:val="-1"/>
          <w:sz w:val="24"/>
          <w:lang w:val="sq-AL"/>
        </w:rPr>
        <w:t>) mungesa e sanksioneve të synuara financiare dhe masave për të siguruar privimin e plotë të pasurive të terroristëve; (</w:t>
      </w:r>
      <w:proofErr w:type="spellStart"/>
      <w:r w:rsidRPr="00A6284F">
        <w:rPr>
          <w:rFonts w:eastAsia="Times New Roman"/>
          <w:color w:val="000000"/>
          <w:spacing w:val="-1"/>
          <w:sz w:val="24"/>
          <w:lang w:val="sq-AL"/>
        </w:rPr>
        <w:t>iii</w:t>
      </w:r>
      <w:proofErr w:type="spellEnd"/>
      <w:r w:rsidRPr="00A6284F">
        <w:rPr>
          <w:rFonts w:eastAsia="Times New Roman"/>
          <w:color w:val="000000"/>
          <w:spacing w:val="-1"/>
          <w:sz w:val="24"/>
          <w:lang w:val="sq-AL"/>
        </w:rPr>
        <w:t>) mangësitë e konsiderueshme në lidhje me regjistrimin, monitorimin dhe mbikëqyrjen e OJQ-ve me qëllim luftimin e financimit të terrorizmit; (</w:t>
      </w:r>
      <w:proofErr w:type="spellStart"/>
      <w:r w:rsidRPr="00A6284F">
        <w:rPr>
          <w:rFonts w:eastAsia="Times New Roman"/>
          <w:color w:val="000000"/>
          <w:spacing w:val="-1"/>
          <w:sz w:val="24"/>
          <w:lang w:val="sq-AL"/>
        </w:rPr>
        <w:t>iv</w:t>
      </w:r>
      <w:proofErr w:type="spellEnd"/>
      <w:r w:rsidRPr="00A6284F">
        <w:rPr>
          <w:rFonts w:eastAsia="Times New Roman"/>
          <w:color w:val="000000"/>
          <w:spacing w:val="-1"/>
          <w:sz w:val="24"/>
          <w:lang w:val="sq-AL"/>
        </w:rPr>
        <w:t>) boshllëqet e dukshme në regjimin mbikëqyrës, në veçanti për sektorin jo-bankar; dhe (v) raportimi jo i barabartë dhe joefektiv i transaksioneve të dyshimta në të gjithë sektorët sa i përket masave parandaluese (</w:t>
      </w:r>
      <w:r w:rsidRPr="00A6284F">
        <w:rPr>
          <w:rFonts w:eastAsia="Times New Roman"/>
          <w:i/>
          <w:color w:val="000000"/>
          <w:spacing w:val="-1"/>
          <w:sz w:val="24"/>
          <w:lang w:val="sq-AL"/>
        </w:rPr>
        <w:t>shih gjithashtu seksionin për lëvizjen e lirë të kapitalit).</w:t>
      </w:r>
    </w:p>
    <w:p w:rsidR="00CE1051" w:rsidRPr="00A6284F" w:rsidRDefault="00CE1051" w:rsidP="00CE1051">
      <w:pPr>
        <w:spacing w:before="117"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Zbatimi i </w:t>
      </w:r>
      <w:r w:rsidRPr="00A6284F">
        <w:rPr>
          <w:rFonts w:eastAsia="Times New Roman"/>
          <w:b/>
          <w:color w:val="000000"/>
          <w:spacing w:val="1"/>
          <w:sz w:val="24"/>
          <w:lang w:val="sq-AL"/>
        </w:rPr>
        <w:t>Ligjit për përgjimin e telekomunikimeve</w:t>
      </w:r>
      <w:r w:rsidRPr="00A6284F">
        <w:rPr>
          <w:rFonts w:eastAsia="Times New Roman"/>
          <w:color w:val="000000"/>
          <w:spacing w:val="1"/>
          <w:sz w:val="24"/>
          <w:lang w:val="sq-AL"/>
        </w:rPr>
        <w:t xml:space="preserve">, i miratuar në maj të vitit 2015, është kompletuar përfundimisht në maj të vitit 2018, me instalimin e pajisjeve të fundit teknike. Megjithatë, mbetet e paqartë nëse të gjithë ofruesit e internetit janë të lidhur siç duhet me njësinë ndërlidhëse në Zyrën e Kryeprokurorit të Shtetit. Legjislacioni mbi </w:t>
      </w:r>
      <w:r w:rsidRPr="00A6284F">
        <w:rPr>
          <w:rFonts w:eastAsia="Times New Roman"/>
          <w:b/>
          <w:color w:val="000000"/>
          <w:spacing w:val="1"/>
          <w:sz w:val="24"/>
          <w:lang w:val="sq-AL"/>
        </w:rPr>
        <w:t xml:space="preserve">krimin </w:t>
      </w:r>
      <w:proofErr w:type="spellStart"/>
      <w:r w:rsidRPr="00A6284F">
        <w:rPr>
          <w:rFonts w:eastAsia="Times New Roman"/>
          <w:b/>
          <w:color w:val="000000"/>
          <w:spacing w:val="1"/>
          <w:sz w:val="24"/>
          <w:lang w:val="sq-AL"/>
        </w:rPr>
        <w:t>kibernetik</w:t>
      </w:r>
      <w:proofErr w:type="spellEnd"/>
      <w:r w:rsidRPr="00A6284F">
        <w:rPr>
          <w:rFonts w:eastAsia="Times New Roman"/>
          <w:color w:val="000000"/>
          <w:spacing w:val="1"/>
          <w:sz w:val="24"/>
          <w:lang w:val="sq-AL"/>
        </w:rPr>
        <w:t xml:space="preserve"> është përgjithësisht në përputhje me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të BE-së. Rishikimi i vazhdueshëm i Ligjit për parandalimin dhe luftimin e krimit </w:t>
      </w:r>
      <w:proofErr w:type="spellStart"/>
      <w:r w:rsidRPr="00A6284F">
        <w:rPr>
          <w:rFonts w:eastAsia="Times New Roman"/>
          <w:color w:val="000000"/>
          <w:spacing w:val="1"/>
          <w:sz w:val="24"/>
          <w:lang w:val="sq-AL"/>
        </w:rPr>
        <w:t>kibernetik</w:t>
      </w:r>
      <w:proofErr w:type="spellEnd"/>
      <w:r w:rsidRPr="00A6284F">
        <w:rPr>
          <w:rFonts w:eastAsia="Times New Roman"/>
          <w:color w:val="000000"/>
          <w:spacing w:val="1"/>
          <w:sz w:val="24"/>
          <w:lang w:val="sq-AL"/>
        </w:rPr>
        <w:t xml:space="preserve"> do të përfitonte nga ekspertët ndërkombëtarë në dispozicion për t'iu përgjigjur më mirë sfidave të krimit </w:t>
      </w:r>
      <w:proofErr w:type="spellStart"/>
      <w:r w:rsidRPr="00A6284F">
        <w:rPr>
          <w:rFonts w:eastAsia="Times New Roman"/>
          <w:color w:val="000000"/>
          <w:spacing w:val="1"/>
          <w:sz w:val="24"/>
          <w:lang w:val="sq-AL"/>
        </w:rPr>
        <w:t>kibernetik</w:t>
      </w:r>
      <w:proofErr w:type="spellEnd"/>
      <w:r w:rsidRPr="00A6284F">
        <w:rPr>
          <w:rFonts w:eastAsia="Times New Roman"/>
          <w:color w:val="000000"/>
          <w:spacing w:val="1"/>
          <w:sz w:val="24"/>
          <w:lang w:val="sq-AL"/>
        </w:rPr>
        <w:t xml:space="preserve"> që ndryshojnë shpejtë. Legjislacioni për </w:t>
      </w:r>
      <w:r w:rsidRPr="00A6284F">
        <w:rPr>
          <w:rFonts w:eastAsia="Times New Roman"/>
          <w:b/>
          <w:color w:val="000000"/>
          <w:spacing w:val="1"/>
          <w:sz w:val="24"/>
          <w:lang w:val="sq-AL"/>
        </w:rPr>
        <w:t>trafikimin e qenieve njerëzore</w:t>
      </w:r>
      <w:r w:rsidRPr="00A6284F">
        <w:rPr>
          <w:rFonts w:eastAsia="Times New Roman"/>
          <w:color w:val="000000"/>
          <w:spacing w:val="1"/>
          <w:sz w:val="24"/>
          <w:lang w:val="sq-AL"/>
        </w:rPr>
        <w:t xml:space="preserve"> është në përputhje me Direktivën relevante të BE-së, por zbatimi mund të përmirësohet.</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Strategjia dhe plani i veprimit 2018-2022 kundër krimit të organizuar</w:t>
      </w:r>
      <w:r w:rsidRPr="00A6284F">
        <w:rPr>
          <w:rFonts w:eastAsia="Times New Roman"/>
          <w:color w:val="000000"/>
          <w:sz w:val="24"/>
          <w:lang w:val="sq-AL"/>
        </w:rPr>
        <w:t xml:space="preserve"> janë kryesore për </w:t>
      </w:r>
      <w:r w:rsidRPr="00A6284F">
        <w:rPr>
          <w:rFonts w:eastAsia="Times New Roman"/>
          <w:b/>
          <w:color w:val="000000"/>
          <w:sz w:val="24"/>
          <w:lang w:val="sq-AL"/>
        </w:rPr>
        <w:t>kornizën strategjike</w:t>
      </w:r>
      <w:r w:rsidRPr="00A6284F">
        <w:rPr>
          <w:rFonts w:eastAsia="Times New Roman"/>
          <w:color w:val="000000"/>
          <w:sz w:val="24"/>
          <w:lang w:val="sq-AL"/>
        </w:rPr>
        <w:t xml:space="preserve"> mbi luftën kundër krimit të organizuar. Ekzistojnë strategji dhe plane veprimi shtesë për kontrollin e armëve; ekonominë joformale, pastrimin e parave dhe financimin e terrorizmit; terrorizmin; parandalimin e ekstremizmit të dhunshëm; trafikimin me qenie njerëzore; narkotikët; dhe sigurinë kibernetike.</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Policia e Kosovës ka prodhuar tre raporte të vlerësimit të kërcënimit nga krimet e rënda dhe krimi i organizuar (SOCTA) bazuar në metodologjinë e </w:t>
      </w:r>
      <w:proofErr w:type="spellStart"/>
      <w:r w:rsidRPr="00A6284F">
        <w:rPr>
          <w:rFonts w:eastAsia="Times New Roman"/>
          <w:color w:val="000000"/>
          <w:sz w:val="24"/>
          <w:lang w:val="sq-AL"/>
        </w:rPr>
        <w:t>Europolit</w:t>
      </w:r>
      <w:proofErr w:type="spellEnd"/>
      <w:r w:rsidRPr="00A6284F">
        <w:rPr>
          <w:rFonts w:eastAsia="Times New Roman"/>
          <w:color w:val="000000"/>
          <w:sz w:val="24"/>
          <w:lang w:val="sq-AL"/>
        </w:rPr>
        <w:t xml:space="preserve"> dhe harton raporte vjetore strategjike të vlerësimit të krimit. Është e rëndësishme që kërcënimet e identifikuara të përkthehen në prioritete </w:t>
      </w:r>
      <w:proofErr w:type="spellStart"/>
      <w:r w:rsidRPr="00A6284F">
        <w:rPr>
          <w:rFonts w:eastAsia="Times New Roman"/>
          <w:color w:val="000000"/>
          <w:sz w:val="24"/>
          <w:lang w:val="sq-AL"/>
        </w:rPr>
        <w:t>operacionale</w:t>
      </w:r>
      <w:proofErr w:type="spellEnd"/>
      <w:r w:rsidRPr="00A6284F">
        <w:rPr>
          <w:rFonts w:eastAsia="Times New Roman"/>
          <w:color w:val="000000"/>
          <w:sz w:val="24"/>
          <w:lang w:val="sq-AL"/>
        </w:rPr>
        <w:t xml:space="preserve"> të mbështetura me burime adekuate. Hartimi i SOCTA-s 2016-2018 në 2019 do të jetë një praktikë</w:t>
      </w:r>
      <w:r w:rsidR="00C94ECB" w:rsidRPr="00A6284F">
        <w:rPr>
          <w:rFonts w:eastAsia="Times New Roman"/>
          <w:color w:val="000000"/>
          <w:sz w:val="24"/>
          <w:lang w:val="sq-AL"/>
        </w:rPr>
        <w:t xml:space="preserve"> </w:t>
      </w:r>
      <w:r w:rsidRPr="00A6284F">
        <w:rPr>
          <w:rFonts w:eastAsia="Times New Roman"/>
          <w:color w:val="000000"/>
          <w:sz w:val="24"/>
          <w:lang w:val="sq-AL"/>
        </w:rPr>
        <w:t>e rëndësishme në këtë drejtim.</w:t>
      </w:r>
    </w:p>
    <w:p w:rsidR="00CE1051" w:rsidRPr="00A6284F" w:rsidRDefault="00CE1051" w:rsidP="00CE1051">
      <w:pPr>
        <w:spacing w:before="125"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Implementimi dhe kapaciteti zbatues</w:t>
      </w:r>
    </w:p>
    <w:p w:rsidR="00CE1051" w:rsidRPr="00A6284F" w:rsidRDefault="00CE1051" w:rsidP="00CE1051">
      <w:pPr>
        <w:spacing w:before="119"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regjistri i rasteve</w:t>
      </w:r>
      <w:r w:rsidRPr="00A6284F">
        <w:rPr>
          <w:rFonts w:eastAsia="Times New Roman"/>
          <w:color w:val="000000"/>
          <w:spacing w:val="-1"/>
          <w:sz w:val="24"/>
          <w:lang w:val="sq-AL"/>
        </w:rPr>
        <w:t xml:space="preserve"> në luftën kundër korrupsionit të nivelit të lartë dhe krimit të organizuar, mekanizmi elektronik i përcjelljes së rasteve</w:t>
      </w:r>
      <w:r w:rsidRPr="00A6284F">
        <w:rPr>
          <w:rFonts w:eastAsia="Times New Roman"/>
          <w:b/>
          <w:color w:val="000000"/>
          <w:spacing w:val="-1"/>
          <w:sz w:val="24"/>
          <w:lang w:val="sq-AL"/>
        </w:rPr>
        <w:t xml:space="preserve"> të profilit të lartë</w:t>
      </w:r>
      <w:r w:rsidRPr="00A6284F">
        <w:rPr>
          <w:rFonts w:eastAsia="Times New Roman"/>
          <w:color w:val="000000"/>
          <w:spacing w:val="-1"/>
          <w:sz w:val="24"/>
          <w:lang w:val="sq-AL"/>
        </w:rPr>
        <w:t>, duke</w:t>
      </w:r>
      <w:r w:rsidR="00C94ECB"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përfshirë krimin e organizuar, është funksional (shih luftën kundër korrupsionit). Deri në prill </w:t>
      </w:r>
      <w:r w:rsidR="00C94ECB" w:rsidRPr="00A6284F">
        <w:rPr>
          <w:rFonts w:eastAsia="Times New Roman"/>
          <w:color w:val="000000"/>
          <w:spacing w:val="-1"/>
          <w:sz w:val="24"/>
          <w:lang w:val="sq-AL"/>
        </w:rPr>
        <w:t xml:space="preserve">të vitit </w:t>
      </w:r>
      <w:r w:rsidRPr="00A6284F">
        <w:rPr>
          <w:rFonts w:eastAsia="Times New Roman"/>
          <w:color w:val="000000"/>
          <w:spacing w:val="-1"/>
          <w:sz w:val="24"/>
          <w:lang w:val="sq-AL"/>
        </w:rPr>
        <w:t xml:space="preserve">2019, gjithsej 51 raste janë përfshinë në regjistrin e rasteve. Deri tani janë ngritur 38 aktakuza (ndonëse dy aktakuza më vonë u bashkuan në një rast të vetëm). Prej tyre, 27 kanë qenë në lidhje me korrupsionin dhe 11 në lidhje me krimin e organizuar. Në total, për 9 raste janë marrë vendime përfundimtare, edhe pse asnjë nuk ka lidhje me krimin e organizuar. Në korrik të vitit 2018, Komisioni Evropian konfirmoi se Kosova ka përmbushur standardin në udhërrëfyesin e saj për liberalizimin e vizave për të forcuar regjistrin e rasteve në luftën kundër </w:t>
      </w:r>
      <w:r w:rsidRPr="00A6284F">
        <w:rPr>
          <w:rFonts w:eastAsia="Times New Roman"/>
          <w:color w:val="000000"/>
          <w:spacing w:val="-1"/>
          <w:sz w:val="24"/>
          <w:lang w:val="sq-AL"/>
        </w:rPr>
        <w:lastRenderedPageBreak/>
        <w:t>korrupsionit të nivelit të lartë dhe krimit të organizuar. Këto përpjekje duhet të vazhdojnë dhe Komisioni do të vazhdojë të monitorojë në mënyrë aktive zhvillimin e mëtejshëm të regjistrit të rasteve në të ardhmen.</w:t>
      </w:r>
    </w:p>
    <w:p w:rsidR="00CE1051" w:rsidRPr="00A6284F" w:rsidRDefault="00CE1051" w:rsidP="00CE1051">
      <w:pPr>
        <w:rPr>
          <w:lang w:val="sq-AL"/>
        </w:rPr>
      </w:pPr>
    </w:p>
    <w:p w:rsidR="00CE1051" w:rsidRPr="00A6284F" w:rsidRDefault="00CE1051" w:rsidP="00CE1051">
      <w:pPr>
        <w:spacing w:before="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Procedura standarde </w:t>
      </w:r>
      <w:r w:rsidR="00C94ECB" w:rsidRPr="00A6284F">
        <w:rPr>
          <w:rFonts w:eastAsia="Times New Roman"/>
          <w:color w:val="000000"/>
          <w:sz w:val="24"/>
          <w:lang w:val="sq-AL"/>
        </w:rPr>
        <w:t xml:space="preserve">e </w:t>
      </w:r>
      <w:r w:rsidRPr="00A6284F">
        <w:rPr>
          <w:rFonts w:eastAsia="Times New Roman"/>
          <w:color w:val="000000"/>
          <w:sz w:val="24"/>
          <w:lang w:val="sq-AL"/>
        </w:rPr>
        <w:t>oper</w:t>
      </w:r>
      <w:r w:rsidR="00C94ECB" w:rsidRPr="00A6284F">
        <w:rPr>
          <w:rFonts w:eastAsia="Times New Roman"/>
          <w:color w:val="000000"/>
          <w:sz w:val="24"/>
          <w:lang w:val="sq-AL"/>
        </w:rPr>
        <w:t xml:space="preserve">imit </w:t>
      </w:r>
      <w:r w:rsidRPr="00A6284F">
        <w:rPr>
          <w:rFonts w:eastAsia="Times New Roman"/>
          <w:color w:val="000000"/>
          <w:sz w:val="24"/>
          <w:lang w:val="sq-AL"/>
        </w:rPr>
        <w:t xml:space="preserve">në lidhje me rastet në regjistrin e rasteve duhet të rishikohet për të siguruar që të gjitha rastet e nivelit të lartë të korrupsionit dhe krimit të organizuar janë të mbuluara nga Ekipi i Përbashkët për përzgjedhjen dhe </w:t>
      </w:r>
      <w:proofErr w:type="spellStart"/>
      <w:r w:rsidRPr="00A6284F">
        <w:rPr>
          <w:rFonts w:eastAsia="Times New Roman"/>
          <w:color w:val="000000"/>
          <w:sz w:val="24"/>
          <w:lang w:val="sq-AL"/>
        </w:rPr>
        <w:t>targetimin</w:t>
      </w:r>
      <w:proofErr w:type="spellEnd"/>
      <w:r w:rsidRPr="00A6284F">
        <w:rPr>
          <w:rFonts w:eastAsia="Times New Roman"/>
          <w:color w:val="000000"/>
          <w:sz w:val="24"/>
          <w:lang w:val="sq-AL"/>
        </w:rPr>
        <w:t xml:space="preserve"> e krimeve të rënda (përtej rasteve të </w:t>
      </w:r>
      <w:proofErr w:type="spellStart"/>
      <w:r w:rsidRPr="00A6284F">
        <w:rPr>
          <w:rFonts w:eastAsia="Times New Roman"/>
          <w:color w:val="000000"/>
          <w:sz w:val="24"/>
          <w:lang w:val="sq-AL"/>
        </w:rPr>
        <w:t>prioritizuara</w:t>
      </w:r>
      <w:proofErr w:type="spellEnd"/>
      <w:r w:rsidRPr="00A6284F">
        <w:rPr>
          <w:rFonts w:eastAsia="Times New Roman"/>
          <w:color w:val="000000"/>
          <w:sz w:val="24"/>
          <w:lang w:val="sq-AL"/>
        </w:rPr>
        <w:t xml:space="preserve"> për standardin për liberalizimin e vizave) në një regjistër gjithëpërfshirës dhe të përgjithshëm të rasteve.</w:t>
      </w:r>
    </w:p>
    <w:p w:rsidR="00CE1051" w:rsidRPr="00A6284F" w:rsidRDefault="00CE1051" w:rsidP="00CE1051">
      <w:pPr>
        <w:spacing w:before="120"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Gjykatat dhe prokuroria nuk mund të sigurojnë të dhëna të konsoliduara për numrin e përgjithshëm të aktakuzave dhe vendimeve përfundimtare për akuzën për "krim të organizuar" siç përcaktohet në Konventën e Kombeve të Bashkuara kundër Krimit të Organizuar Ndërkombëtar. Sa i përket </w:t>
      </w:r>
      <w:r w:rsidRPr="00A6284F">
        <w:rPr>
          <w:rFonts w:eastAsia="Times New Roman"/>
          <w:b/>
          <w:color w:val="000000"/>
          <w:spacing w:val="1"/>
          <w:sz w:val="24"/>
          <w:lang w:val="sq-AL"/>
        </w:rPr>
        <w:t>rasteve të lidhura me krimin e organizuar</w:t>
      </w:r>
      <w:r w:rsidRPr="00A6284F">
        <w:rPr>
          <w:rFonts w:eastAsia="Times New Roman"/>
          <w:color w:val="000000"/>
          <w:spacing w:val="1"/>
          <w:sz w:val="24"/>
          <w:lang w:val="sq-AL"/>
        </w:rPr>
        <w:t xml:space="preserve"> që aktualisht nuk janë përfshirë në </w:t>
      </w:r>
      <w:r w:rsidR="00E13619" w:rsidRPr="00A6284F">
        <w:rPr>
          <w:rFonts w:eastAsia="Times New Roman"/>
          <w:color w:val="000000"/>
          <w:spacing w:val="1"/>
          <w:sz w:val="24"/>
          <w:lang w:val="sq-AL"/>
        </w:rPr>
        <w:t>regjistrin e rasteve</w:t>
      </w:r>
      <w:r w:rsidRPr="00A6284F">
        <w:rPr>
          <w:rFonts w:eastAsia="Times New Roman"/>
          <w:color w:val="000000"/>
          <w:spacing w:val="1"/>
          <w:sz w:val="24"/>
          <w:lang w:val="sq-AL"/>
        </w:rPr>
        <w:t xml:space="preserve">, në periudhën raportuese janë ngritur aktakuza për 71 persona dhe 4 janë shpallur fajtorë në lidhje me trafikimin me qenie njerëzore. Gjithashtu, 15 persona u paditën dhe 5 u shpallën fajtorë për trafikim armësh dhe 11 u paditën dhe 4 u shpallën fajtorë për pastrim parash. Vetëm një pjesë e gjitha rasteve që përfshijnë trafikim me qenie njerëzore, trafikim me armë dhe pastrim </w:t>
      </w:r>
      <w:r w:rsidR="00E13619"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parave përfshijnë po ashtu akuza për krim të organizuar. Policia dhe prokurorët duhet të jenë më </w:t>
      </w:r>
      <w:proofErr w:type="spellStart"/>
      <w:r w:rsidRPr="00A6284F">
        <w:rPr>
          <w:rFonts w:eastAsia="Times New Roman"/>
          <w:color w:val="000000"/>
          <w:spacing w:val="1"/>
          <w:sz w:val="24"/>
          <w:lang w:val="sq-AL"/>
        </w:rPr>
        <w:t>proaktiv</w:t>
      </w:r>
      <w:proofErr w:type="spellEnd"/>
      <w:r w:rsidRPr="00A6284F">
        <w:rPr>
          <w:rFonts w:eastAsia="Times New Roman"/>
          <w:color w:val="000000"/>
          <w:spacing w:val="1"/>
          <w:sz w:val="24"/>
          <w:lang w:val="sq-AL"/>
        </w:rPr>
        <w:t xml:space="preserve"> në hetimin dhe ndjekjen penale të grupeve apo organizatave potenciale </w:t>
      </w:r>
      <w:r w:rsidR="00096A39" w:rsidRPr="00A6284F">
        <w:rPr>
          <w:rFonts w:eastAsia="Times New Roman"/>
          <w:color w:val="000000"/>
          <w:spacing w:val="1"/>
          <w:sz w:val="24"/>
          <w:lang w:val="sq-AL"/>
        </w:rPr>
        <w:t xml:space="preserve">të krimit të organizuar </w:t>
      </w:r>
      <w:r w:rsidRPr="00A6284F">
        <w:rPr>
          <w:rFonts w:eastAsia="Times New Roman"/>
          <w:color w:val="000000"/>
          <w:spacing w:val="1"/>
          <w:sz w:val="24"/>
          <w:lang w:val="sq-AL"/>
        </w:rPr>
        <w:t>që shtrihen pas autorëve fillestarë të krimit. Nevojiten përpjekje të mëtejshme për të rritur numrin e dënimeve përfundimtare për krimin e organizuar dhe rastet e lidhura me krimin e organizuar.</w:t>
      </w:r>
    </w:p>
    <w:p w:rsidR="00CE1051" w:rsidRPr="00A6284F" w:rsidRDefault="00CE1051" w:rsidP="00CE1051">
      <w:pPr>
        <w:spacing w:before="119"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Kapaciteti i policisë për luftimin e krimit të organizuar është në nivel të mirë. Megjithatë, policia është ende objekt i korrupsionit dhe presionit politik, gjë që pengon hetimin e krimit të organizuar. </w:t>
      </w:r>
      <w:proofErr w:type="spellStart"/>
      <w:r w:rsidRPr="00A6284F">
        <w:rPr>
          <w:rFonts w:eastAsia="Times New Roman"/>
          <w:b/>
          <w:color w:val="000000"/>
          <w:sz w:val="24"/>
          <w:lang w:val="sq-AL"/>
        </w:rPr>
        <w:t>Policimi</w:t>
      </w:r>
      <w:proofErr w:type="spellEnd"/>
      <w:r w:rsidRPr="00A6284F">
        <w:rPr>
          <w:rFonts w:eastAsia="Times New Roman"/>
          <w:b/>
          <w:color w:val="000000"/>
          <w:sz w:val="24"/>
          <w:lang w:val="sq-AL"/>
        </w:rPr>
        <w:t xml:space="preserve"> i udhëhequr nga inteligjenca</w:t>
      </w:r>
      <w:r w:rsidRPr="00A6284F">
        <w:rPr>
          <w:rFonts w:eastAsia="Times New Roman"/>
          <w:color w:val="000000"/>
          <w:sz w:val="24"/>
          <w:lang w:val="sq-AL"/>
        </w:rPr>
        <w:t xml:space="preserve"> mbetet në nivel të dobët të zbatimit. Një strategji e re në këtë fushë po hartohet për 2019-2023 dhe do të miratohet së shpejti. Sistemi Informativ i Policisë së Kosovës (vegël e re analitike për të ndihmuar në hetimin e krimit të organizuar) ende nuk shfrytëzohet plotësisht. Ka nevojë për më shumë seanca të trajnimeve të specializuara për të gjitha institucionet e angazhuara në luftim të krimit të organizuar - më kompleks - si dhe ka nevojë për bashkëpunim më të afërt ndërkombëtar. Prokuroria Speciale duhet të përforcohet (</w:t>
      </w:r>
      <w:r w:rsidRPr="00A6284F">
        <w:rPr>
          <w:rFonts w:eastAsia="Times New Roman"/>
          <w:i/>
          <w:color w:val="000000"/>
          <w:sz w:val="24"/>
          <w:lang w:val="sq-AL"/>
        </w:rPr>
        <w:t>shih seksionin mbi funksionimin e gjyqësorit dhe luftën kundër korrupsionit).</w:t>
      </w:r>
    </w:p>
    <w:p w:rsidR="00CE1051" w:rsidRPr="00A6284F" w:rsidRDefault="00CE1051" w:rsidP="00CE1051">
      <w:pPr>
        <w:spacing w:before="121"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rregullisht </w:t>
      </w:r>
      <w:r w:rsidR="008C558E" w:rsidRPr="00A6284F">
        <w:rPr>
          <w:rFonts w:eastAsia="Times New Roman"/>
          <w:b/>
          <w:color w:val="000000"/>
          <w:spacing w:val="-1"/>
          <w:sz w:val="24"/>
          <w:lang w:val="sq-AL"/>
        </w:rPr>
        <w:t>sh</w:t>
      </w:r>
      <w:r w:rsidRPr="00A6284F">
        <w:rPr>
          <w:rFonts w:eastAsia="Times New Roman"/>
          <w:b/>
          <w:color w:val="000000"/>
          <w:spacing w:val="-1"/>
          <w:sz w:val="24"/>
          <w:lang w:val="sq-AL"/>
        </w:rPr>
        <w:t>këmben informata</w:t>
      </w:r>
      <w:r w:rsidRPr="00A6284F">
        <w:rPr>
          <w:rFonts w:eastAsia="Times New Roman"/>
          <w:color w:val="000000"/>
          <w:spacing w:val="-1"/>
          <w:sz w:val="24"/>
          <w:lang w:val="sq-AL"/>
        </w:rPr>
        <w:t xml:space="preserve"> me </w:t>
      </w:r>
      <w:proofErr w:type="spellStart"/>
      <w:r w:rsidRPr="00A6284F">
        <w:rPr>
          <w:rFonts w:eastAsia="Times New Roman"/>
          <w:color w:val="000000"/>
          <w:spacing w:val="-1"/>
          <w:sz w:val="24"/>
          <w:lang w:val="sq-AL"/>
        </w:rPr>
        <w:t>Europol</w:t>
      </w:r>
      <w:proofErr w:type="spellEnd"/>
      <w:r w:rsidRPr="00A6284F">
        <w:rPr>
          <w:rFonts w:eastAsia="Times New Roman"/>
          <w:color w:val="000000"/>
          <w:spacing w:val="-1"/>
          <w:sz w:val="24"/>
          <w:lang w:val="sq-AL"/>
        </w:rPr>
        <w:t xml:space="preserve">-in dhe Interpol-in përmes EULEX-it apo Misionit të Kombeve të Bashkuara për Administratë të Përkohshme në Kosovë (UNMIK). Aplikimi i Kosovës për anëtarësim në Interpol u refuzua në takimin e Asamblesë së Përgjithshme në nëntor </w:t>
      </w:r>
      <w:r w:rsidR="00716711" w:rsidRPr="00A6284F">
        <w:rPr>
          <w:rFonts w:eastAsia="Times New Roman"/>
          <w:color w:val="000000"/>
          <w:spacing w:val="-1"/>
          <w:sz w:val="24"/>
          <w:lang w:val="sq-AL"/>
        </w:rPr>
        <w:t xml:space="preserve">të vitit </w:t>
      </w:r>
      <w:r w:rsidRPr="00A6284F">
        <w:rPr>
          <w:rFonts w:eastAsia="Times New Roman"/>
          <w:color w:val="000000"/>
          <w:spacing w:val="-1"/>
          <w:sz w:val="24"/>
          <w:lang w:val="sq-AL"/>
        </w:rPr>
        <w:t xml:space="preserve">2018. Një marrëveshje pune lidhur me bashkëpunimin strategjik me </w:t>
      </w:r>
      <w:proofErr w:type="spellStart"/>
      <w:r w:rsidRPr="00A6284F">
        <w:rPr>
          <w:rFonts w:eastAsia="Times New Roman"/>
          <w:color w:val="000000"/>
          <w:spacing w:val="-1"/>
          <w:sz w:val="24"/>
          <w:lang w:val="sq-AL"/>
        </w:rPr>
        <w:t>Europol</w:t>
      </w:r>
      <w:proofErr w:type="spellEnd"/>
      <w:r w:rsidRPr="00A6284F">
        <w:rPr>
          <w:rFonts w:eastAsia="Times New Roman"/>
          <w:color w:val="000000"/>
          <w:spacing w:val="-1"/>
          <w:sz w:val="24"/>
          <w:lang w:val="sq-AL"/>
        </w:rPr>
        <w:t xml:space="preserve"> është duke u negociuar. Policia e Kosovës mori pjesë në operacione të përbashkëta me shtetet anëtare të BE-së nën Platformën </w:t>
      </w:r>
      <w:r w:rsidR="00B01C30" w:rsidRPr="00A6284F">
        <w:rPr>
          <w:rFonts w:eastAsia="Times New Roman"/>
          <w:color w:val="000000"/>
          <w:spacing w:val="-1"/>
          <w:sz w:val="24"/>
          <w:lang w:val="sq-AL"/>
        </w:rPr>
        <w:t>Shumë-Disiplinore</w:t>
      </w:r>
      <w:r w:rsidRPr="00A6284F">
        <w:rPr>
          <w:rFonts w:eastAsia="Times New Roman"/>
          <w:color w:val="000000"/>
          <w:spacing w:val="-1"/>
          <w:sz w:val="24"/>
          <w:lang w:val="sq-AL"/>
        </w:rPr>
        <w:t xml:space="preserve"> Evropiane Kundër Kërcënimeve Kriminale (EMPACT), duke përfshirë aktivitetet </w:t>
      </w:r>
      <w:proofErr w:type="spellStart"/>
      <w:r w:rsidRPr="00A6284F">
        <w:rPr>
          <w:rFonts w:eastAsia="Times New Roman"/>
          <w:color w:val="000000"/>
          <w:spacing w:val="-1"/>
          <w:sz w:val="24"/>
          <w:lang w:val="sq-AL"/>
        </w:rPr>
        <w:t>operacionale</w:t>
      </w:r>
      <w:proofErr w:type="spellEnd"/>
      <w:r w:rsidRPr="00A6284F">
        <w:rPr>
          <w:rFonts w:eastAsia="Times New Roman"/>
          <w:color w:val="000000"/>
          <w:spacing w:val="-1"/>
          <w:sz w:val="24"/>
          <w:lang w:val="sq-AL"/>
        </w:rPr>
        <w:t xml:space="preserve"> që lidhen me kontrabandën e emigrantëve dhe armët e zjarrit. Policia e Kosovës bashkëpunon në baza bilaterale me disa shtete anëtare të BE-së. Kosova ka përfunduar 74 marrëveshje të bashkëpunimit policor, duke përfshirë 18 vende, një numër agjencish të BE-së dhe organizata ndërkombëtare.</w:t>
      </w:r>
    </w:p>
    <w:p w:rsidR="00CE1051" w:rsidRPr="00A6284F" w:rsidRDefault="00CE1051" w:rsidP="00CE1051">
      <w:pPr>
        <w:spacing w:before="116" w:line="277"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Mungesa e besimit vazhdon të frenojë zbatimin efektiv të </w:t>
      </w:r>
      <w:r w:rsidRPr="00A6284F">
        <w:rPr>
          <w:rFonts w:eastAsia="Times New Roman"/>
          <w:b/>
          <w:color w:val="000000"/>
          <w:sz w:val="24"/>
          <w:lang w:val="sq-AL"/>
        </w:rPr>
        <w:t>mekanizmave për mbrojtjen e dëshmitarëve</w:t>
      </w:r>
      <w:r w:rsidRPr="00A6284F">
        <w:rPr>
          <w:rFonts w:eastAsia="Times New Roman"/>
          <w:color w:val="000000"/>
          <w:sz w:val="24"/>
          <w:lang w:val="sq-AL"/>
        </w:rPr>
        <w:t xml:space="preserve">. Bashkëpunimi rajonal dhe ndërkombëtar duhet përmirësuar, me më shumë marrëveshje për vendosjen e dëshmitarëve jashtë vendit dhe shkëmbimin e informacionit. Prokurorët dhe gjyqtarët kanë nevojë për më shumë trajnime mbi mënyrat e </w:t>
      </w:r>
      <w:r w:rsidR="00B01C30" w:rsidRPr="00A6284F">
        <w:rPr>
          <w:rFonts w:eastAsia="Times New Roman"/>
          <w:color w:val="000000"/>
          <w:sz w:val="24"/>
          <w:lang w:val="sq-AL"/>
        </w:rPr>
        <w:t>mbrojtjes</w:t>
      </w:r>
      <w:r w:rsidRPr="00A6284F">
        <w:rPr>
          <w:rFonts w:eastAsia="Times New Roman"/>
          <w:color w:val="000000"/>
          <w:sz w:val="24"/>
          <w:lang w:val="sq-AL"/>
        </w:rPr>
        <w:t xml:space="preserve"> së dëshmitarëve në mënyrë efektive.</w:t>
      </w:r>
    </w:p>
    <w:p w:rsidR="00CE1051" w:rsidRPr="00A6284F" w:rsidRDefault="00CE1051" w:rsidP="0095243C">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Lufta kundër </w:t>
      </w:r>
      <w:r w:rsidRPr="00A6284F">
        <w:rPr>
          <w:rFonts w:eastAsia="Times New Roman"/>
          <w:b/>
          <w:color w:val="000000"/>
          <w:sz w:val="24"/>
          <w:lang w:val="sq-AL"/>
        </w:rPr>
        <w:t>pastrimit të parave dhe financimit të terrorizmit</w:t>
      </w:r>
      <w:r w:rsidRPr="00A6284F">
        <w:rPr>
          <w:rFonts w:eastAsia="Times New Roman"/>
          <w:color w:val="000000"/>
          <w:sz w:val="24"/>
          <w:lang w:val="sq-AL"/>
        </w:rPr>
        <w:t xml:space="preserve"> nuk është mjaftueshëm efikase për të prodhuar rezultate bindëse. Pastrimi i parave shpesh nuk ndiqet penalisht si një krim i pavarur, por në lidhje me veprat penale të tjera, gjë që pengon përparimin në këtë fushë. </w:t>
      </w:r>
      <w:r w:rsidRPr="00A6284F">
        <w:rPr>
          <w:rFonts w:eastAsia="Times New Roman"/>
          <w:color w:val="000000"/>
          <w:sz w:val="24"/>
          <w:lang w:val="sq-AL"/>
        </w:rPr>
        <w:lastRenderedPageBreak/>
        <w:t xml:space="preserve">Hetimet financiare nuk janë efektive dhe nuk kryhen në mënyrë sistematike paralelisht me procedurën penale në rastet e korrupsionit dhe krimit të organizuar. Bashkëpunimi dhe koordinimi ndërkulturor duhet të përmirësohen ndjeshëm. Autoritetet e Kosovës duhet të përcjellin dhe të zbatojnë rekomandimet e raporteve të fundit të ekspertëve (njëri i bazuar në </w:t>
      </w:r>
      <w:proofErr w:type="spellStart"/>
      <w:r w:rsidRPr="00A6284F">
        <w:rPr>
          <w:rFonts w:eastAsia="Times New Roman"/>
          <w:color w:val="000000"/>
          <w:sz w:val="24"/>
          <w:lang w:val="sq-AL"/>
        </w:rPr>
        <w:t>Task</w:t>
      </w:r>
      <w:proofErr w:type="spellEnd"/>
      <w:r w:rsidRPr="00A6284F">
        <w:rPr>
          <w:rFonts w:eastAsia="Times New Roman"/>
          <w:color w:val="000000"/>
          <w:sz w:val="24"/>
          <w:lang w:val="sq-AL"/>
        </w:rPr>
        <w:t xml:space="preserve"> Forcën për Veprim Financiar (TFVF) dhe Komitetin e Ekspertëve mbi Vlerësimin e Masave kundër Pastrimit të Parave dhe Financimit të Terrorizmit (MONEYVAL); tjetri i bazuar në standardet e Grupit të Shteteve kundër Korrupsionit (GRECO).</w:t>
      </w:r>
      <w:r w:rsidR="0095243C" w:rsidRPr="00A6284F">
        <w:rPr>
          <w:rFonts w:eastAsia="Times New Roman"/>
          <w:color w:val="000000"/>
          <w:sz w:val="24"/>
          <w:lang w:val="sq-AL"/>
        </w:rPr>
        <w:t xml:space="preserve"> </w:t>
      </w:r>
      <w:r w:rsidRPr="00A6284F">
        <w:rPr>
          <w:rFonts w:eastAsia="Times New Roman"/>
          <w:color w:val="000000"/>
          <w:sz w:val="24"/>
          <w:lang w:val="sq-AL"/>
        </w:rPr>
        <w:t xml:space="preserve">Në periudhën raportuese, vlera totale e </w:t>
      </w:r>
      <w:r w:rsidRPr="00A6284F">
        <w:rPr>
          <w:rFonts w:eastAsia="Times New Roman"/>
          <w:b/>
          <w:color w:val="000000"/>
          <w:sz w:val="24"/>
          <w:lang w:val="sq-AL"/>
        </w:rPr>
        <w:t>konfiskimeve paraprake të pasurisë</w:t>
      </w:r>
      <w:r w:rsidRPr="00A6284F">
        <w:rPr>
          <w:rFonts w:eastAsia="Times New Roman"/>
          <w:color w:val="000000"/>
          <w:sz w:val="24"/>
          <w:lang w:val="sq-AL"/>
        </w:rPr>
        <w:t xml:space="preserve"> u rrit në gati 28 milionë </w:t>
      </w:r>
      <w:r w:rsidR="0095243C" w:rsidRPr="00A6284F">
        <w:rPr>
          <w:rFonts w:eastAsia="Times New Roman"/>
          <w:color w:val="000000"/>
          <w:sz w:val="24"/>
          <w:lang w:val="sq-AL"/>
        </w:rPr>
        <w:t xml:space="preserve">euro </w:t>
      </w:r>
      <w:r w:rsidRPr="00A6284F">
        <w:rPr>
          <w:rFonts w:eastAsia="Times New Roman"/>
          <w:color w:val="000000"/>
          <w:sz w:val="24"/>
          <w:lang w:val="sq-AL"/>
        </w:rPr>
        <w:t xml:space="preserve">(krahasuar me 10.9 milionë </w:t>
      </w:r>
      <w:r w:rsidR="0095243C" w:rsidRPr="00A6284F">
        <w:rPr>
          <w:rFonts w:eastAsia="Times New Roman"/>
          <w:color w:val="000000"/>
          <w:sz w:val="24"/>
          <w:lang w:val="sq-AL"/>
        </w:rPr>
        <w:t xml:space="preserve">euro </w:t>
      </w:r>
      <w:r w:rsidRPr="00A6284F">
        <w:rPr>
          <w:rFonts w:eastAsia="Times New Roman"/>
          <w:color w:val="000000"/>
          <w:sz w:val="24"/>
          <w:lang w:val="sq-AL"/>
        </w:rPr>
        <w:t xml:space="preserve">në 2017), ndërsa vlera e </w:t>
      </w:r>
      <w:r w:rsidR="0095243C" w:rsidRPr="00A6284F">
        <w:rPr>
          <w:rFonts w:eastAsia="Times New Roman"/>
          <w:color w:val="000000"/>
          <w:sz w:val="24"/>
          <w:lang w:val="sq-AL"/>
        </w:rPr>
        <w:t xml:space="preserve">konfiskimeve finale të </w:t>
      </w:r>
      <w:r w:rsidRPr="00A6284F">
        <w:rPr>
          <w:rFonts w:eastAsia="Times New Roman"/>
          <w:color w:val="000000"/>
          <w:sz w:val="24"/>
          <w:lang w:val="sq-AL"/>
        </w:rPr>
        <w:t xml:space="preserve">pasurisë arriti </w:t>
      </w:r>
      <w:r w:rsidR="0095243C" w:rsidRPr="00A6284F">
        <w:rPr>
          <w:rFonts w:eastAsia="Times New Roman"/>
          <w:color w:val="000000"/>
          <w:sz w:val="24"/>
          <w:lang w:val="sq-AL"/>
        </w:rPr>
        <w:t>në</w:t>
      </w:r>
      <w:r w:rsidRPr="00A6284F">
        <w:rPr>
          <w:rFonts w:eastAsia="Times New Roman"/>
          <w:color w:val="000000"/>
          <w:sz w:val="24"/>
          <w:lang w:val="sq-AL"/>
        </w:rPr>
        <w:t xml:space="preserve"> 49</w:t>
      </w:r>
      <w:r w:rsidR="0095243C" w:rsidRPr="00A6284F">
        <w:rPr>
          <w:rFonts w:eastAsia="Times New Roman"/>
          <w:color w:val="000000"/>
          <w:sz w:val="24"/>
          <w:lang w:val="sq-AL"/>
        </w:rPr>
        <w:t>,</w:t>
      </w:r>
      <w:r w:rsidRPr="00A6284F">
        <w:rPr>
          <w:rFonts w:eastAsia="Times New Roman"/>
          <w:color w:val="000000"/>
          <w:sz w:val="24"/>
          <w:lang w:val="sq-AL"/>
        </w:rPr>
        <w:t xml:space="preserve">394 </w:t>
      </w:r>
      <w:r w:rsidR="0095243C" w:rsidRPr="00A6284F">
        <w:rPr>
          <w:rFonts w:eastAsia="Times New Roman"/>
          <w:color w:val="000000"/>
          <w:sz w:val="24"/>
          <w:lang w:val="sq-AL"/>
        </w:rPr>
        <w:t xml:space="preserve">euro </w:t>
      </w:r>
      <w:r w:rsidRPr="00A6284F">
        <w:rPr>
          <w:rFonts w:eastAsia="Times New Roman"/>
          <w:color w:val="000000"/>
          <w:sz w:val="24"/>
          <w:lang w:val="sq-AL"/>
        </w:rPr>
        <w:t xml:space="preserve">(krahasuar me 700.000 </w:t>
      </w:r>
      <w:r w:rsidR="0095243C" w:rsidRPr="00A6284F">
        <w:rPr>
          <w:rFonts w:eastAsia="Times New Roman"/>
          <w:color w:val="000000"/>
          <w:sz w:val="24"/>
          <w:lang w:val="sq-AL"/>
        </w:rPr>
        <w:t xml:space="preserve">euro </w:t>
      </w:r>
      <w:r w:rsidRPr="00A6284F">
        <w:rPr>
          <w:rFonts w:eastAsia="Times New Roman"/>
          <w:color w:val="000000"/>
          <w:sz w:val="24"/>
          <w:lang w:val="sq-AL"/>
        </w:rPr>
        <w:t xml:space="preserve">në vitin 2017). Konfiskimi i pasurisë kriminale duhet të bëhet prioritet strategjik në luftën kundër krimit të organizuar, terrorizmit dhe korrupsionit të nivelit të lartë në Kosovë. Miratimi i Kodit Penal të rishikuar, rishikimi në pritje i Kodit të Procedurës Penale dhe veçanërisht miratimi i Ligjit për kompetencat e zgjeruara për konfiskim, janë hapa të rëndësishëm për rrugën përpara për mjetet e Kosovës për ngrirje, menaxhimin dhe konfiskimin e pasurive kriminale, me kusht që ligjet të zbatohen në mënyrë efektive. Ligji për kompetencat e zgjeruara për konfiskim e harmonizon Kosovën me Direktivën e BE-së për ngrirje dhe konfiskim. Ai u ofron prokurorëve vegla të thjeshta dhe të fuqishme për të konfiskuar pasuri pa qenë nevoja për t'i lidhur ato drejtpërdrejt me ndonjë vepër penale. Ligji i ri </w:t>
      </w:r>
      <w:r w:rsidR="00193CBB" w:rsidRPr="00A6284F">
        <w:rPr>
          <w:rFonts w:eastAsia="Times New Roman"/>
          <w:color w:val="000000"/>
          <w:sz w:val="24"/>
          <w:lang w:val="sq-AL"/>
        </w:rPr>
        <w:t xml:space="preserve">e </w:t>
      </w:r>
      <w:r w:rsidRPr="00A6284F">
        <w:rPr>
          <w:rFonts w:eastAsia="Times New Roman"/>
          <w:color w:val="000000"/>
          <w:sz w:val="24"/>
          <w:lang w:val="sq-AL"/>
        </w:rPr>
        <w:t xml:space="preserve">shfuqizon barrën e provës, duke lejuar konfiskimin e pasurisë së fituar në mënyrë të paligjshme dhe të transferuar tek personat e tretë dhe </w:t>
      </w:r>
      <w:r w:rsidR="00193CBB" w:rsidRPr="00A6284F">
        <w:rPr>
          <w:rFonts w:eastAsia="Times New Roman"/>
          <w:color w:val="000000"/>
          <w:sz w:val="24"/>
          <w:lang w:val="sq-AL"/>
        </w:rPr>
        <w:t xml:space="preserve">prezanton </w:t>
      </w:r>
      <w:r w:rsidRPr="00A6284F">
        <w:rPr>
          <w:rFonts w:eastAsia="Times New Roman"/>
          <w:color w:val="000000"/>
          <w:sz w:val="24"/>
          <w:lang w:val="sq-AL"/>
        </w:rPr>
        <w:t xml:space="preserve">kompetencat e zgjeruara të hetimit për qëllime konfiskimi, duke përfshirë edhe </w:t>
      </w:r>
      <w:r w:rsidR="00193CBB" w:rsidRPr="00A6284F">
        <w:rPr>
          <w:rFonts w:eastAsia="Times New Roman"/>
          <w:color w:val="000000"/>
          <w:sz w:val="24"/>
          <w:lang w:val="sq-AL"/>
        </w:rPr>
        <w:t>“</w:t>
      </w:r>
      <w:r w:rsidRPr="00A6284F">
        <w:rPr>
          <w:rFonts w:eastAsia="Times New Roman"/>
          <w:color w:val="000000"/>
          <w:sz w:val="24"/>
          <w:lang w:val="sq-AL"/>
        </w:rPr>
        <w:t>urdhrat për zbulim</w:t>
      </w:r>
      <w:r w:rsidR="00193CBB" w:rsidRPr="00A6284F">
        <w:rPr>
          <w:rFonts w:eastAsia="Times New Roman"/>
          <w:color w:val="000000"/>
          <w:sz w:val="24"/>
          <w:lang w:val="sq-AL"/>
        </w:rPr>
        <w:t>”</w:t>
      </w:r>
      <w:r w:rsidRPr="00A6284F">
        <w:rPr>
          <w:rFonts w:eastAsia="Times New Roman"/>
          <w:color w:val="000000"/>
          <w:sz w:val="24"/>
          <w:lang w:val="sq-AL"/>
        </w:rPr>
        <w:t xml:space="preserve">. </w:t>
      </w:r>
      <w:r w:rsidR="00193CBB" w:rsidRPr="00A6284F">
        <w:rPr>
          <w:rFonts w:eastAsia="Times New Roman"/>
          <w:color w:val="000000"/>
          <w:sz w:val="24"/>
          <w:lang w:val="sq-AL"/>
        </w:rPr>
        <w:t>Tani, k</w:t>
      </w:r>
      <w:r w:rsidRPr="00A6284F">
        <w:rPr>
          <w:rFonts w:eastAsia="Times New Roman"/>
          <w:color w:val="000000"/>
          <w:sz w:val="24"/>
          <w:lang w:val="sq-AL"/>
        </w:rPr>
        <w:t xml:space="preserve">orniza ligjore e rishikuar duhet të zbatohet siç duhet për të dhënë rezultate. Vëmendje e veçantë duhet t'i kushtohet krijimit të një fondi të konfiskimit të pasurive, i cili do t'i </w:t>
      </w:r>
      <w:proofErr w:type="spellStart"/>
      <w:r w:rsidRPr="00A6284F">
        <w:rPr>
          <w:rFonts w:eastAsia="Times New Roman"/>
          <w:color w:val="000000"/>
          <w:sz w:val="24"/>
          <w:lang w:val="sq-AL"/>
        </w:rPr>
        <w:t>alokonte</w:t>
      </w:r>
      <w:proofErr w:type="spellEnd"/>
      <w:r w:rsidRPr="00A6284F">
        <w:rPr>
          <w:rFonts w:eastAsia="Times New Roman"/>
          <w:color w:val="000000"/>
          <w:sz w:val="24"/>
          <w:lang w:val="sq-AL"/>
        </w:rPr>
        <w:t xml:space="preserve"> fondet e konfiskuara pjesërisht për zbatimin e ligjit dhe pjesërisht për projektet për ripërdorim social.</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trafikimit të armëve</w:t>
      </w:r>
      <w:r w:rsidRPr="00A6284F">
        <w:rPr>
          <w:rFonts w:eastAsia="Times New Roman"/>
          <w:color w:val="000000"/>
          <w:sz w:val="24"/>
          <w:lang w:val="sq-AL"/>
        </w:rPr>
        <w:t xml:space="preserve">, Kosova </w:t>
      </w:r>
      <w:r w:rsidR="00193CBB" w:rsidRPr="00A6284F">
        <w:rPr>
          <w:rFonts w:eastAsia="Times New Roman"/>
          <w:color w:val="000000"/>
          <w:sz w:val="24"/>
          <w:lang w:val="sq-AL"/>
        </w:rPr>
        <w:t xml:space="preserve">është duke </w:t>
      </w:r>
      <w:r w:rsidRPr="00A6284F">
        <w:rPr>
          <w:rFonts w:eastAsia="Times New Roman"/>
          <w:color w:val="000000"/>
          <w:sz w:val="24"/>
          <w:lang w:val="sq-AL"/>
        </w:rPr>
        <w:t>zbat</w:t>
      </w:r>
      <w:r w:rsidR="00193CBB" w:rsidRPr="00A6284F">
        <w:rPr>
          <w:rFonts w:eastAsia="Times New Roman"/>
          <w:color w:val="000000"/>
          <w:sz w:val="24"/>
          <w:lang w:val="sq-AL"/>
        </w:rPr>
        <w:t xml:space="preserve">uar </w:t>
      </w:r>
      <w:r w:rsidRPr="00A6284F">
        <w:rPr>
          <w:rFonts w:eastAsia="Times New Roman"/>
          <w:color w:val="000000"/>
          <w:sz w:val="24"/>
          <w:lang w:val="sq-AL"/>
        </w:rPr>
        <w:t xml:space="preserve">strategjinë e saj dhe Ligjin për legalizimin dhe dorëzimin e armëve, municionit dhe mjeteve eksplozive. Është duke u zhvilluar një fushatë legalizimi për armët e vogla dhe të lehta. Ministria e Punëve të Brendshme ka një bazë të dhënash në të cilën regjistron të gjitha armët e importuara në Kosovë (këto shënohen në arritje). Kosova ka nënshkruar udhërrëfyesin për një zgjidhje të qëndrueshme të posedimit të paligjshëm, keqpërdorimit dhe trafikimit të armëve të vogla dhe të lehta dhe municioneve të tyre në Ballkanin Perëndimor, në kuadrin e Procesit të Berlinit dhe ka paraqitur planin e saj të veprimit brenda kësaj kornize. Pika </w:t>
      </w:r>
      <w:r w:rsidR="00B01C30" w:rsidRPr="00A6284F">
        <w:rPr>
          <w:rFonts w:eastAsia="Times New Roman"/>
          <w:color w:val="000000"/>
          <w:sz w:val="24"/>
          <w:lang w:val="sq-AL"/>
        </w:rPr>
        <w:t xml:space="preserve">kontaktuese për </w:t>
      </w:r>
      <w:r w:rsidRPr="00A6284F">
        <w:rPr>
          <w:rFonts w:eastAsia="Times New Roman"/>
          <w:color w:val="000000"/>
          <w:sz w:val="24"/>
          <w:lang w:val="sq-AL"/>
        </w:rPr>
        <w:t>armë</w:t>
      </w:r>
      <w:r w:rsidR="00B01C30" w:rsidRPr="00A6284F">
        <w:rPr>
          <w:rFonts w:eastAsia="Times New Roman"/>
          <w:color w:val="000000"/>
          <w:sz w:val="24"/>
          <w:lang w:val="sq-AL"/>
        </w:rPr>
        <w:t>t</w:t>
      </w:r>
      <w:r w:rsidRPr="00A6284F">
        <w:rPr>
          <w:rFonts w:eastAsia="Times New Roman"/>
          <w:color w:val="000000"/>
          <w:sz w:val="24"/>
          <w:lang w:val="sq-AL"/>
        </w:rPr>
        <w:t xml:space="preserve"> </w:t>
      </w:r>
      <w:r w:rsidR="00B01C30" w:rsidRPr="00A6284F">
        <w:rPr>
          <w:rFonts w:eastAsia="Times New Roman"/>
          <w:color w:val="000000"/>
          <w:sz w:val="24"/>
          <w:lang w:val="sq-AL"/>
        </w:rPr>
        <w:t>e</w:t>
      </w:r>
      <w:r w:rsidRPr="00A6284F">
        <w:rPr>
          <w:rFonts w:eastAsia="Times New Roman"/>
          <w:color w:val="000000"/>
          <w:sz w:val="24"/>
          <w:lang w:val="sq-AL"/>
        </w:rPr>
        <w:t xml:space="preserve"> zjarrit në Policinë e Kosovës është plotësisht funksionale dhe mund të konsiderohet si shembull i një praktike të mirë rajonale. Përfshirja e grupeve të armatosura në kontrabandën e armëve është shqetësim serioz. Kosova është përmirësuar ndjeshëm në luftën kundër trafikut të armëve të zjarrit, jo vetëm nëpërmjet hetimit normal, por edhe përmes punës së mjekësisë ligjore.</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mbetet një vend origjine, </w:t>
      </w:r>
      <w:r w:rsidR="00B01C30" w:rsidRPr="00A6284F">
        <w:rPr>
          <w:rFonts w:eastAsia="Times New Roman"/>
          <w:color w:val="000000"/>
          <w:sz w:val="24"/>
          <w:lang w:val="sq-AL"/>
        </w:rPr>
        <w:t>transiti</w:t>
      </w:r>
      <w:r w:rsidRPr="00A6284F">
        <w:rPr>
          <w:rFonts w:eastAsia="Times New Roman"/>
          <w:color w:val="000000"/>
          <w:sz w:val="24"/>
          <w:lang w:val="sq-AL"/>
        </w:rPr>
        <w:t xml:space="preserve"> dhe </w:t>
      </w:r>
      <w:proofErr w:type="spellStart"/>
      <w:r w:rsidRPr="00A6284F">
        <w:rPr>
          <w:rFonts w:eastAsia="Times New Roman"/>
          <w:color w:val="000000"/>
          <w:sz w:val="24"/>
          <w:lang w:val="sq-AL"/>
        </w:rPr>
        <w:t>destinacioni</w:t>
      </w:r>
      <w:proofErr w:type="spellEnd"/>
      <w:r w:rsidRPr="00A6284F">
        <w:rPr>
          <w:rFonts w:eastAsia="Times New Roman"/>
          <w:color w:val="000000"/>
          <w:sz w:val="24"/>
          <w:lang w:val="sq-AL"/>
        </w:rPr>
        <w:t xml:space="preserve"> i viktimave të </w:t>
      </w:r>
      <w:r w:rsidRPr="00A6284F">
        <w:rPr>
          <w:rFonts w:eastAsia="Times New Roman"/>
          <w:b/>
          <w:color w:val="000000"/>
          <w:sz w:val="24"/>
          <w:lang w:val="sq-AL"/>
        </w:rPr>
        <w:t>trafikimit të qenieve njerëzore</w:t>
      </w:r>
      <w:r w:rsidRPr="00A6284F">
        <w:rPr>
          <w:rFonts w:eastAsia="Times New Roman"/>
          <w:color w:val="000000"/>
          <w:sz w:val="24"/>
          <w:lang w:val="sq-AL"/>
        </w:rPr>
        <w:t>, veçanërisht për shfrytëzimin seksual. Në vitin 2018 u identifikuan 13 viktima femra d</w:t>
      </w:r>
      <w:r w:rsidR="00112778" w:rsidRPr="00A6284F">
        <w:rPr>
          <w:rFonts w:eastAsia="Times New Roman"/>
          <w:color w:val="000000"/>
          <w:sz w:val="24"/>
          <w:lang w:val="sq-AL"/>
        </w:rPr>
        <w:t xml:space="preserve">he 1 viktimë mashkull;  17 </w:t>
      </w:r>
      <w:r w:rsidRPr="00A6284F">
        <w:rPr>
          <w:rFonts w:eastAsia="Times New Roman"/>
          <w:color w:val="000000"/>
          <w:sz w:val="24"/>
          <w:lang w:val="sq-AL"/>
        </w:rPr>
        <w:t xml:space="preserve">ishin nën </w:t>
      </w:r>
      <w:r w:rsidR="001C2D40" w:rsidRPr="00A6284F">
        <w:rPr>
          <w:rFonts w:eastAsia="Times New Roman"/>
          <w:color w:val="000000"/>
          <w:sz w:val="24"/>
          <w:lang w:val="sq-AL"/>
        </w:rPr>
        <w:t xml:space="preserve">dhe 1 mbi </w:t>
      </w:r>
      <w:r w:rsidRPr="00A6284F">
        <w:rPr>
          <w:rFonts w:eastAsia="Times New Roman"/>
          <w:color w:val="000000"/>
          <w:sz w:val="24"/>
          <w:lang w:val="sq-AL"/>
        </w:rPr>
        <w:t>moshën 18 vjeçare.</w:t>
      </w:r>
    </w:p>
    <w:p w:rsidR="00CE1051" w:rsidRPr="00A6284F" w:rsidRDefault="00CE1051" w:rsidP="00CE1051">
      <w:pPr>
        <w:spacing w:before="12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Përderisa hapat e parë janë ndërmarrë, pritet që si përgjigje më efektive të kemi zbatim të ligjit që fokusohet në zbulimin, </w:t>
      </w:r>
      <w:proofErr w:type="spellStart"/>
      <w:r w:rsidRPr="00A6284F">
        <w:rPr>
          <w:rFonts w:eastAsia="Times New Roman"/>
          <w:color w:val="000000"/>
          <w:sz w:val="24"/>
          <w:lang w:val="sq-AL"/>
        </w:rPr>
        <w:t>gjurmueshmërinë</w:t>
      </w:r>
      <w:proofErr w:type="spellEnd"/>
      <w:r w:rsidRPr="00A6284F">
        <w:rPr>
          <w:rFonts w:eastAsia="Times New Roman"/>
          <w:color w:val="000000"/>
          <w:sz w:val="24"/>
          <w:lang w:val="sq-AL"/>
        </w:rPr>
        <w:t xml:space="preserve"> dhe ndjekjen penale të </w:t>
      </w:r>
      <w:r w:rsidRPr="00A6284F">
        <w:rPr>
          <w:rFonts w:eastAsia="Times New Roman"/>
          <w:b/>
          <w:color w:val="000000"/>
          <w:sz w:val="24"/>
          <w:lang w:val="sq-AL"/>
        </w:rPr>
        <w:t>kriminelëve kibernetikë</w:t>
      </w:r>
      <w:r w:rsidRPr="00A6284F">
        <w:rPr>
          <w:rFonts w:eastAsia="Times New Roman"/>
          <w:color w:val="000000"/>
          <w:sz w:val="24"/>
          <w:lang w:val="sq-AL"/>
        </w:rPr>
        <w:t xml:space="preserve">. </w:t>
      </w:r>
      <w:r w:rsidRPr="00A6284F">
        <w:rPr>
          <w:rFonts w:eastAsia="Times New Roman"/>
          <w:b/>
          <w:color w:val="000000"/>
          <w:sz w:val="24"/>
          <w:lang w:val="sq-AL"/>
        </w:rPr>
        <w:t xml:space="preserve">Kontrabanda e cigareve dhe duhanit </w:t>
      </w:r>
      <w:r w:rsidRPr="00A6284F">
        <w:rPr>
          <w:rFonts w:eastAsia="Times New Roman"/>
          <w:color w:val="000000"/>
          <w:sz w:val="24"/>
          <w:lang w:val="sq-AL"/>
        </w:rPr>
        <w:t>në Kosovë mbetet në nivele relativisht të ulëta.</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Luftimi </w:t>
      </w:r>
      <w:proofErr w:type="spellStart"/>
      <w:r w:rsidRPr="00A6284F">
        <w:rPr>
          <w:rFonts w:eastAsia="Times New Roman"/>
          <w:color w:val="000000"/>
          <w:sz w:val="24"/>
          <w:lang w:val="sq-AL"/>
        </w:rPr>
        <w:t>proaktiv</w:t>
      </w:r>
      <w:proofErr w:type="spellEnd"/>
      <w:r w:rsidRPr="00A6284F">
        <w:rPr>
          <w:rFonts w:eastAsia="Times New Roman"/>
          <w:color w:val="000000"/>
          <w:sz w:val="24"/>
          <w:lang w:val="sq-AL"/>
        </w:rPr>
        <w:t xml:space="preserve"> i krimit të organizuar dhe korrupsionit mbetet thelbësor për të luftuar infiltrimin kriminal të sistemeve politike, ligjore dhe ekonomike.</w:t>
      </w:r>
    </w:p>
    <w:p w:rsidR="001C2D40" w:rsidRPr="00A6284F" w:rsidRDefault="00CE1051" w:rsidP="00CE1051">
      <w:pPr>
        <w:spacing w:before="8" w:line="393" w:lineRule="exact"/>
        <w:ind w:left="144"/>
        <w:textAlignment w:val="baseline"/>
        <w:rPr>
          <w:rFonts w:eastAsia="Times New Roman"/>
          <w:color w:val="000000"/>
          <w:sz w:val="24"/>
          <w:u w:val="single"/>
          <w:lang w:val="sq-AL"/>
        </w:rPr>
      </w:pPr>
      <w:r w:rsidRPr="00A6284F">
        <w:rPr>
          <w:rFonts w:eastAsia="Times New Roman"/>
          <w:b/>
          <w:color w:val="000000"/>
          <w:sz w:val="24"/>
          <w:lang w:val="sq-AL"/>
        </w:rPr>
        <w:t xml:space="preserve">Bashkëpunimi në fushën e drogave </w:t>
      </w:r>
      <w:r w:rsidRPr="00A6284F">
        <w:rPr>
          <w:rFonts w:eastAsia="Times New Roman"/>
          <w:b/>
          <w:color w:val="000000"/>
          <w:sz w:val="24"/>
          <w:lang w:val="sq-AL"/>
        </w:rPr>
        <w:br/>
      </w:r>
    </w:p>
    <w:p w:rsidR="001C2D40" w:rsidRPr="00A6284F" w:rsidRDefault="001C2D40" w:rsidP="00CE1051">
      <w:pPr>
        <w:spacing w:before="8" w:line="393" w:lineRule="exact"/>
        <w:ind w:left="144"/>
        <w:textAlignment w:val="baseline"/>
        <w:rPr>
          <w:rFonts w:eastAsia="Times New Roman"/>
          <w:color w:val="000000"/>
          <w:sz w:val="24"/>
          <w:u w:val="single"/>
          <w:lang w:val="sq-AL"/>
        </w:rPr>
      </w:pPr>
    </w:p>
    <w:p w:rsidR="00CE1051" w:rsidRPr="00A6284F" w:rsidRDefault="00CE1051" w:rsidP="00CE1051">
      <w:pPr>
        <w:spacing w:before="8" w:line="393" w:lineRule="exact"/>
        <w:ind w:left="144"/>
        <w:textAlignment w:val="baseline"/>
        <w:rPr>
          <w:rFonts w:eastAsia="Times New Roman"/>
          <w:b/>
          <w:color w:val="000000"/>
          <w:sz w:val="24"/>
          <w:lang w:val="sq-AL"/>
        </w:rPr>
      </w:pPr>
      <w:r w:rsidRPr="00A6284F">
        <w:rPr>
          <w:rFonts w:eastAsia="Times New Roman"/>
          <w:color w:val="000000"/>
          <w:sz w:val="24"/>
          <w:u w:val="single"/>
          <w:lang w:val="sq-AL"/>
        </w:rPr>
        <w:lastRenderedPageBreak/>
        <w:t xml:space="preserve">Struktura institucionale dhe harmonizimi ligjor </w:t>
      </w:r>
    </w:p>
    <w:p w:rsidR="00CE1051" w:rsidRPr="00A6284F" w:rsidRDefault="00CE1051" w:rsidP="00AE58C8">
      <w:pPr>
        <w:spacing w:before="118" w:line="276" w:lineRule="exact"/>
        <w:ind w:right="144"/>
        <w:jc w:val="both"/>
        <w:textAlignment w:val="baseline"/>
        <w:rPr>
          <w:rFonts w:eastAsia="Times New Roman"/>
          <w:color w:val="000000"/>
          <w:sz w:val="24"/>
          <w:lang w:val="sq-AL"/>
        </w:rPr>
      </w:pPr>
      <w:r w:rsidRPr="00A6284F">
        <w:rPr>
          <w:rFonts w:eastAsia="Times New Roman"/>
          <w:color w:val="000000"/>
          <w:sz w:val="24"/>
          <w:lang w:val="sq-AL"/>
        </w:rPr>
        <w:t xml:space="preserve">Ligji i vitit 2007 për barnat narkotike, substancat </w:t>
      </w:r>
      <w:proofErr w:type="spellStart"/>
      <w:r w:rsidRPr="00A6284F">
        <w:rPr>
          <w:rFonts w:eastAsia="Times New Roman"/>
          <w:color w:val="000000"/>
          <w:sz w:val="24"/>
          <w:lang w:val="sq-AL"/>
        </w:rPr>
        <w:t>psikotrope</w:t>
      </w:r>
      <w:proofErr w:type="spellEnd"/>
      <w:r w:rsidRPr="00A6284F">
        <w:rPr>
          <w:rFonts w:eastAsia="Times New Roman"/>
          <w:color w:val="000000"/>
          <w:sz w:val="24"/>
          <w:lang w:val="sq-AL"/>
        </w:rPr>
        <w:t xml:space="preserve"> dhe </w:t>
      </w:r>
      <w:proofErr w:type="spellStart"/>
      <w:r w:rsidRPr="00A6284F">
        <w:rPr>
          <w:rFonts w:eastAsia="Times New Roman"/>
          <w:color w:val="000000"/>
          <w:sz w:val="24"/>
          <w:lang w:val="sq-AL"/>
        </w:rPr>
        <w:t>prekursorët</w:t>
      </w:r>
      <w:proofErr w:type="spellEnd"/>
      <w:r w:rsidR="00D62BBF" w:rsidRPr="00A6284F">
        <w:rPr>
          <w:rFonts w:eastAsia="Times New Roman"/>
          <w:color w:val="000000"/>
          <w:sz w:val="24"/>
          <w:lang w:val="sq-AL"/>
        </w:rPr>
        <w:t xml:space="preserve"> i</w:t>
      </w:r>
      <w:r w:rsidRPr="00A6284F">
        <w:rPr>
          <w:rFonts w:eastAsia="Times New Roman"/>
          <w:color w:val="000000"/>
          <w:sz w:val="24"/>
          <w:lang w:val="sq-AL"/>
        </w:rPr>
        <w:t xml:space="preserve"> rregullon politikat e Kosovës që kanë të bëjnë me drogën. Ligji është në rishikim për t'u harmonizuar me legjislacionin më të ri të BE-së. Veprat penale të lidhura me drogën mbulohen kryesisht nga Kodi Penal. Korniza ligjore e Kosovës është gjerësisht në përputhje me legjislacionin evropian, por zbatimi mbetet në nivel të dobët. </w:t>
      </w:r>
      <w:r w:rsidR="00D62BBF" w:rsidRPr="00A6284F">
        <w:rPr>
          <w:rFonts w:eastAsia="Times New Roman"/>
          <w:color w:val="000000"/>
          <w:sz w:val="24"/>
          <w:lang w:val="sq-AL"/>
        </w:rPr>
        <w:t>Është miratuar s</w:t>
      </w:r>
      <w:r w:rsidRPr="00A6284F">
        <w:rPr>
          <w:rFonts w:eastAsia="Times New Roman"/>
          <w:color w:val="000000"/>
          <w:sz w:val="24"/>
          <w:lang w:val="sq-AL"/>
        </w:rPr>
        <w:t xml:space="preserve">trategjia dhe plani i ri i veprimit 2018-2022 </w:t>
      </w:r>
      <w:r w:rsidR="00D62BBF" w:rsidRPr="00A6284F">
        <w:rPr>
          <w:rFonts w:eastAsia="Times New Roman"/>
          <w:color w:val="000000"/>
          <w:sz w:val="24"/>
          <w:lang w:val="sq-AL"/>
        </w:rPr>
        <w:t xml:space="preserve">si </w:t>
      </w:r>
      <w:r w:rsidRPr="00A6284F">
        <w:rPr>
          <w:rFonts w:eastAsia="Times New Roman"/>
          <w:color w:val="000000"/>
          <w:sz w:val="24"/>
          <w:lang w:val="sq-AL"/>
        </w:rPr>
        <w:t xml:space="preserve">dhe </w:t>
      </w:r>
      <w:r w:rsidR="00D62BBF" w:rsidRPr="00A6284F">
        <w:rPr>
          <w:rFonts w:eastAsia="Times New Roman"/>
          <w:color w:val="000000"/>
          <w:sz w:val="24"/>
          <w:lang w:val="sq-AL"/>
        </w:rPr>
        <w:t xml:space="preserve">ekziston </w:t>
      </w:r>
      <w:r w:rsidRPr="00A6284F">
        <w:rPr>
          <w:rFonts w:eastAsia="Times New Roman"/>
          <w:color w:val="000000"/>
          <w:sz w:val="24"/>
          <w:lang w:val="sq-AL"/>
        </w:rPr>
        <w:t>buxheti për mekaniz</w:t>
      </w:r>
      <w:r w:rsidR="00D62BBF" w:rsidRPr="00A6284F">
        <w:rPr>
          <w:rFonts w:eastAsia="Times New Roman"/>
          <w:color w:val="000000"/>
          <w:sz w:val="24"/>
          <w:lang w:val="sq-AL"/>
        </w:rPr>
        <w:t xml:space="preserve">min </w:t>
      </w:r>
      <w:r w:rsidRPr="00A6284F">
        <w:rPr>
          <w:rFonts w:eastAsia="Times New Roman"/>
          <w:color w:val="000000"/>
          <w:sz w:val="24"/>
          <w:lang w:val="sq-AL"/>
        </w:rPr>
        <w:t>koordin</w:t>
      </w:r>
      <w:r w:rsidR="00D62BBF" w:rsidRPr="00A6284F">
        <w:rPr>
          <w:rFonts w:eastAsia="Times New Roman"/>
          <w:color w:val="000000"/>
          <w:sz w:val="24"/>
          <w:lang w:val="sq-AL"/>
        </w:rPr>
        <w:t xml:space="preserve">ues </w:t>
      </w:r>
      <w:r w:rsidRPr="00A6284F">
        <w:rPr>
          <w:rFonts w:eastAsia="Times New Roman"/>
          <w:color w:val="000000"/>
          <w:sz w:val="24"/>
          <w:lang w:val="sq-AL"/>
        </w:rPr>
        <w:t>për parandal</w:t>
      </w:r>
      <w:r w:rsidR="00D62BBF" w:rsidRPr="00A6284F">
        <w:rPr>
          <w:rFonts w:eastAsia="Times New Roman"/>
          <w:color w:val="000000"/>
          <w:sz w:val="24"/>
          <w:lang w:val="sq-AL"/>
        </w:rPr>
        <w:t xml:space="preserve">imin </w:t>
      </w:r>
      <w:r w:rsidRPr="00A6284F">
        <w:rPr>
          <w:rFonts w:eastAsia="Times New Roman"/>
          <w:color w:val="000000"/>
          <w:sz w:val="24"/>
          <w:lang w:val="sq-AL"/>
        </w:rPr>
        <w:t xml:space="preserve">dhe </w:t>
      </w:r>
      <w:r w:rsidR="00D62BBF" w:rsidRPr="00A6284F">
        <w:rPr>
          <w:rFonts w:eastAsia="Times New Roman"/>
          <w:color w:val="000000"/>
          <w:sz w:val="24"/>
          <w:lang w:val="sq-AL"/>
        </w:rPr>
        <w:t xml:space="preserve">luftimin e </w:t>
      </w:r>
      <w:r w:rsidRPr="00A6284F">
        <w:rPr>
          <w:rFonts w:eastAsia="Times New Roman"/>
          <w:color w:val="000000"/>
          <w:sz w:val="24"/>
          <w:lang w:val="sq-AL"/>
        </w:rPr>
        <w:t>trafikimi</w:t>
      </w:r>
      <w:r w:rsidR="00D62BBF" w:rsidRPr="00A6284F">
        <w:rPr>
          <w:rFonts w:eastAsia="Times New Roman"/>
          <w:color w:val="000000"/>
          <w:sz w:val="24"/>
          <w:lang w:val="sq-AL"/>
        </w:rPr>
        <w:t>t</w:t>
      </w:r>
      <w:r w:rsidRPr="00A6284F">
        <w:rPr>
          <w:rFonts w:eastAsia="Times New Roman"/>
          <w:color w:val="000000"/>
          <w:sz w:val="24"/>
          <w:lang w:val="sq-AL"/>
        </w:rPr>
        <w:t xml:space="preserve"> </w:t>
      </w:r>
      <w:r w:rsidR="00D62BBF" w:rsidRPr="00A6284F">
        <w:rPr>
          <w:rFonts w:eastAsia="Times New Roman"/>
          <w:color w:val="000000"/>
          <w:sz w:val="24"/>
          <w:lang w:val="sq-AL"/>
        </w:rPr>
        <w:t xml:space="preserve">të </w:t>
      </w:r>
      <w:r w:rsidRPr="00A6284F">
        <w:rPr>
          <w:rFonts w:eastAsia="Times New Roman"/>
          <w:color w:val="000000"/>
          <w:sz w:val="24"/>
          <w:lang w:val="sq-AL"/>
        </w:rPr>
        <w:t>drogës dhe abuzimi</w:t>
      </w:r>
      <w:r w:rsidR="00D62BBF" w:rsidRPr="00A6284F">
        <w:rPr>
          <w:rFonts w:eastAsia="Times New Roman"/>
          <w:color w:val="000000"/>
          <w:sz w:val="24"/>
          <w:lang w:val="sq-AL"/>
        </w:rPr>
        <w:t>t</w:t>
      </w:r>
      <w:r w:rsidRPr="00A6284F">
        <w:rPr>
          <w:rFonts w:eastAsia="Times New Roman"/>
          <w:color w:val="000000"/>
          <w:sz w:val="24"/>
          <w:lang w:val="sq-AL"/>
        </w:rPr>
        <w:t xml:space="preserve"> </w:t>
      </w:r>
      <w:r w:rsidR="00D62BBF" w:rsidRPr="00A6284F">
        <w:rPr>
          <w:rFonts w:eastAsia="Times New Roman"/>
          <w:color w:val="000000"/>
          <w:sz w:val="24"/>
          <w:lang w:val="sq-AL"/>
        </w:rPr>
        <w:t xml:space="preserve">të </w:t>
      </w:r>
      <w:proofErr w:type="spellStart"/>
      <w:r w:rsidRPr="00A6284F">
        <w:rPr>
          <w:rFonts w:eastAsia="Times New Roman"/>
          <w:color w:val="000000"/>
          <w:sz w:val="24"/>
          <w:lang w:val="sq-AL"/>
        </w:rPr>
        <w:t>prekursorëve</w:t>
      </w:r>
      <w:proofErr w:type="spellEnd"/>
      <w:r w:rsidRPr="00A6284F">
        <w:rPr>
          <w:rFonts w:eastAsia="Times New Roman"/>
          <w:color w:val="000000"/>
          <w:sz w:val="24"/>
          <w:lang w:val="sq-AL"/>
        </w:rPr>
        <w:t xml:space="preserve">. Në përputhje me strategjinë e re, në periudhën raportuese u themelua një Observator Nacional për Droga, ndonëse burimet e tij mbeten të kufizuara. Pozita e udhëheqësit të Observatorit ka qenë e </w:t>
      </w:r>
      <w:r w:rsidR="00D62BBF" w:rsidRPr="00A6284F">
        <w:rPr>
          <w:rFonts w:eastAsia="Times New Roman"/>
          <w:color w:val="000000"/>
          <w:sz w:val="24"/>
          <w:lang w:val="sq-AL"/>
        </w:rPr>
        <w:t>paplotësuar</w:t>
      </w:r>
      <w:r w:rsidRPr="00A6284F">
        <w:rPr>
          <w:rFonts w:eastAsia="Times New Roman"/>
          <w:color w:val="000000"/>
          <w:sz w:val="24"/>
          <w:lang w:val="sq-AL"/>
        </w:rPr>
        <w:t xml:space="preserve"> që nga fundi i vitit 2018. Kosova duhet që formalisht të themelojë një sistem të paralajmërimit të hershëm për të ecur më tutje me dy pikat e kontaktit tashmë të vendosura. Duhet të sigurohet mbledhja e qëndrueshme dhe rutinore</w:t>
      </w:r>
      <w:r w:rsidR="00D62BBF" w:rsidRPr="00A6284F">
        <w:rPr>
          <w:rFonts w:eastAsia="Times New Roman"/>
          <w:color w:val="000000"/>
          <w:sz w:val="24"/>
          <w:lang w:val="sq-AL"/>
        </w:rPr>
        <w:t xml:space="preserve"> </w:t>
      </w:r>
      <w:r w:rsidRPr="00A6284F">
        <w:rPr>
          <w:rFonts w:eastAsia="Times New Roman"/>
          <w:color w:val="000000"/>
          <w:sz w:val="24"/>
          <w:lang w:val="sq-AL"/>
        </w:rPr>
        <w:t>e të dhënave.</w:t>
      </w:r>
    </w:p>
    <w:p w:rsidR="00AE58C8" w:rsidRPr="00A6284F" w:rsidRDefault="00AE58C8" w:rsidP="00AE58C8">
      <w:pPr>
        <w:spacing w:before="121" w:line="274" w:lineRule="exact"/>
        <w:textAlignment w:val="baseline"/>
        <w:rPr>
          <w:rFonts w:eastAsia="Times New Roman"/>
          <w:color w:val="000000"/>
          <w:sz w:val="24"/>
          <w:u w:val="single"/>
          <w:lang w:val="sq-AL"/>
        </w:rPr>
      </w:pPr>
    </w:p>
    <w:p w:rsidR="00CE1051" w:rsidRPr="00A6284F" w:rsidRDefault="00CE1051" w:rsidP="00AE58C8">
      <w:pPr>
        <w:spacing w:before="121" w:line="274" w:lineRule="exact"/>
        <w:textAlignment w:val="baseline"/>
        <w:rPr>
          <w:rFonts w:eastAsia="Times New Roman"/>
          <w:color w:val="000000"/>
          <w:sz w:val="24"/>
          <w:u w:val="single"/>
          <w:lang w:val="sq-AL"/>
        </w:rPr>
      </w:pPr>
      <w:r w:rsidRPr="00A6284F">
        <w:rPr>
          <w:rFonts w:eastAsia="Times New Roman"/>
          <w:color w:val="000000"/>
          <w:sz w:val="24"/>
          <w:u w:val="single"/>
          <w:lang w:val="sq-AL"/>
        </w:rPr>
        <w:t>Implementimi</w:t>
      </w:r>
      <w:r w:rsidR="00D62BBF" w:rsidRPr="00A6284F">
        <w:rPr>
          <w:rFonts w:eastAsia="Times New Roman"/>
          <w:color w:val="000000"/>
          <w:sz w:val="24"/>
          <w:u w:val="single"/>
          <w:lang w:val="sq-AL"/>
        </w:rPr>
        <w:t xml:space="preserve"> </w:t>
      </w:r>
      <w:r w:rsidRPr="00A6284F">
        <w:rPr>
          <w:rFonts w:eastAsia="Times New Roman"/>
          <w:color w:val="000000"/>
          <w:sz w:val="24"/>
          <w:u w:val="single"/>
          <w:lang w:val="sq-AL"/>
        </w:rPr>
        <w:t>dhe</w:t>
      </w:r>
      <w:r w:rsidR="00D62BBF" w:rsidRPr="00A6284F">
        <w:rPr>
          <w:rFonts w:eastAsia="Times New Roman"/>
          <w:color w:val="000000"/>
          <w:sz w:val="24"/>
          <w:u w:val="single"/>
          <w:lang w:val="sq-AL"/>
        </w:rPr>
        <w:t xml:space="preserve"> </w:t>
      </w:r>
      <w:r w:rsidRPr="00A6284F">
        <w:rPr>
          <w:rFonts w:eastAsia="Times New Roman"/>
          <w:color w:val="000000"/>
          <w:sz w:val="24"/>
          <w:u w:val="single"/>
          <w:lang w:val="sq-AL"/>
        </w:rPr>
        <w:t>kapaciteti</w:t>
      </w:r>
      <w:r w:rsidR="00D62BBF" w:rsidRPr="00A6284F">
        <w:rPr>
          <w:rFonts w:eastAsia="Times New Roman"/>
          <w:color w:val="000000"/>
          <w:sz w:val="24"/>
          <w:u w:val="single"/>
          <w:lang w:val="sq-AL"/>
        </w:rPr>
        <w:t xml:space="preserve"> z</w:t>
      </w:r>
      <w:r w:rsidRPr="00A6284F">
        <w:rPr>
          <w:rFonts w:eastAsia="Times New Roman"/>
          <w:color w:val="000000"/>
          <w:sz w:val="24"/>
          <w:u w:val="single"/>
          <w:lang w:val="sq-AL"/>
        </w:rPr>
        <w:t>batues</w:t>
      </w:r>
    </w:p>
    <w:p w:rsidR="00CE1051" w:rsidRPr="00A6284F" w:rsidRDefault="00CE1051" w:rsidP="00CE1051">
      <w:pPr>
        <w:spacing w:before="119"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vazhdon të jetë një vend grumbullimi dhe </w:t>
      </w:r>
      <w:r w:rsidR="00B01C30" w:rsidRPr="00A6284F">
        <w:rPr>
          <w:rFonts w:eastAsia="Times New Roman"/>
          <w:color w:val="000000"/>
          <w:spacing w:val="1"/>
          <w:sz w:val="24"/>
          <w:lang w:val="sq-AL"/>
        </w:rPr>
        <w:t>transiti</w:t>
      </w:r>
      <w:r w:rsidRPr="00A6284F">
        <w:rPr>
          <w:rFonts w:eastAsia="Times New Roman"/>
          <w:color w:val="000000"/>
          <w:spacing w:val="1"/>
          <w:sz w:val="24"/>
          <w:lang w:val="sq-AL"/>
        </w:rPr>
        <w:t xml:space="preserve"> për heroinë dhe kanabis. Rreth 800 kilogramë </w:t>
      </w:r>
      <w:proofErr w:type="spellStart"/>
      <w:r w:rsidRPr="00A6284F">
        <w:rPr>
          <w:rFonts w:eastAsia="Times New Roman"/>
          <w:color w:val="000000"/>
          <w:spacing w:val="1"/>
          <w:sz w:val="24"/>
          <w:lang w:val="sq-AL"/>
        </w:rPr>
        <w:t>marihuanë</w:t>
      </w:r>
      <w:proofErr w:type="spellEnd"/>
      <w:r w:rsidRPr="00A6284F">
        <w:rPr>
          <w:rFonts w:eastAsia="Times New Roman"/>
          <w:color w:val="000000"/>
          <w:spacing w:val="1"/>
          <w:sz w:val="24"/>
          <w:lang w:val="sq-AL"/>
        </w:rPr>
        <w:t xml:space="preserve">, 120 kg heroinë dhe 1 kg kokainë janë konfiskuar në vitin 2018.Ndërsa konfiskimet e </w:t>
      </w:r>
      <w:proofErr w:type="spellStart"/>
      <w:r w:rsidRPr="00A6284F">
        <w:rPr>
          <w:rFonts w:eastAsia="Times New Roman"/>
          <w:color w:val="000000"/>
          <w:spacing w:val="1"/>
          <w:sz w:val="24"/>
          <w:lang w:val="sq-AL"/>
        </w:rPr>
        <w:t>marihuanës</w:t>
      </w:r>
      <w:proofErr w:type="spellEnd"/>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kanë rënë ndjeshëm në krahasim me periudhën e mëparshme raportuese, sasia e heroinës së konfiskuar është rritur ndjeshëm, kryesisht për shkak të një operacioni të vetëm policor në dhjetor </w:t>
      </w:r>
      <w:r w:rsidR="006A48D5" w:rsidRPr="00A6284F">
        <w:rPr>
          <w:rFonts w:eastAsia="Times New Roman"/>
          <w:color w:val="000000"/>
          <w:spacing w:val="1"/>
          <w:sz w:val="24"/>
          <w:lang w:val="sq-AL"/>
        </w:rPr>
        <w:t xml:space="preserve">të vitit </w:t>
      </w:r>
      <w:r w:rsidRPr="00A6284F">
        <w:rPr>
          <w:rFonts w:eastAsia="Times New Roman"/>
          <w:color w:val="000000"/>
          <w:spacing w:val="1"/>
          <w:sz w:val="24"/>
          <w:lang w:val="sq-AL"/>
        </w:rPr>
        <w:t>2018, përmes të cilit</w:t>
      </w:r>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u kapën 113 kg. Në përgjithësi, konfiskimet e drogës mbeten të ulëta. Grupet e krimit të organizuar (kryesisht shqipfolës) vazhdojnë të luajnë një rol dominues në trafikun e heroinës dhe kokainës në shkallë të gjerë,</w:t>
      </w:r>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si dhe në </w:t>
      </w:r>
      <w:proofErr w:type="spellStart"/>
      <w:r w:rsidR="006A48D5" w:rsidRPr="00A6284F">
        <w:rPr>
          <w:rFonts w:eastAsia="Times New Roman"/>
          <w:color w:val="000000"/>
          <w:spacing w:val="1"/>
          <w:sz w:val="24"/>
          <w:lang w:val="sq-AL"/>
        </w:rPr>
        <w:t>distribuimin</w:t>
      </w:r>
      <w:proofErr w:type="spellEnd"/>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e tyre </w:t>
      </w:r>
      <w:r w:rsidR="006A48D5" w:rsidRPr="00A6284F">
        <w:rPr>
          <w:rFonts w:eastAsia="Times New Roman"/>
          <w:color w:val="000000"/>
          <w:spacing w:val="1"/>
          <w:sz w:val="24"/>
          <w:lang w:val="sq-AL"/>
        </w:rPr>
        <w:t xml:space="preserve">pasues në </w:t>
      </w:r>
      <w:r w:rsidRPr="00A6284F">
        <w:rPr>
          <w:rFonts w:eastAsia="Times New Roman"/>
          <w:color w:val="000000"/>
          <w:spacing w:val="1"/>
          <w:sz w:val="24"/>
          <w:lang w:val="sq-AL"/>
        </w:rPr>
        <w:t>BE.</w:t>
      </w:r>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Janë bërë përparime në rritjen e burimeve policore dhe forcimin e bashkëpunimit ndërinstitucional dhe ndërkombëtar. Kosova duhet të intensifikojë edhe më tej identifikimin dhe shpërbërjen e grupeve të krimit të organizuar që trafikojnë drogë nga territori i saj ose përmes tij, si dhe të trajtojë të ardhurat nga krimi që </w:t>
      </w:r>
      <w:r w:rsidR="006A48D5" w:rsidRPr="00A6284F">
        <w:rPr>
          <w:rFonts w:eastAsia="Times New Roman"/>
          <w:color w:val="000000"/>
          <w:spacing w:val="1"/>
          <w:sz w:val="24"/>
          <w:lang w:val="sq-AL"/>
        </w:rPr>
        <w:t xml:space="preserve">shpëlahen </w:t>
      </w:r>
      <w:r w:rsidRPr="00A6284F">
        <w:rPr>
          <w:rFonts w:eastAsia="Times New Roman"/>
          <w:color w:val="000000"/>
          <w:spacing w:val="1"/>
          <w:sz w:val="24"/>
          <w:lang w:val="sq-AL"/>
        </w:rPr>
        <w:t>në territorin e saj.</w:t>
      </w:r>
      <w:r w:rsidR="006A48D5"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Prokuroria edhe më tutje vazhdon të ketë mungesë stafi dhe </w:t>
      </w:r>
      <w:r w:rsidR="006A48D5" w:rsidRPr="00A6284F">
        <w:rPr>
          <w:rFonts w:eastAsia="Times New Roman"/>
          <w:color w:val="000000"/>
          <w:spacing w:val="1"/>
          <w:sz w:val="24"/>
          <w:lang w:val="sq-AL"/>
        </w:rPr>
        <w:t xml:space="preserve">nuk është e </w:t>
      </w:r>
      <w:r w:rsidRPr="00A6284F">
        <w:rPr>
          <w:rFonts w:eastAsia="Times New Roman"/>
          <w:color w:val="000000"/>
          <w:spacing w:val="1"/>
          <w:sz w:val="24"/>
          <w:lang w:val="sq-AL"/>
        </w:rPr>
        <w:t>trajnuar mjaftueshëm për të trajtuar me efikasitet veprat që lidhen me drogën. Në periudhën raportuese, 2.564 raste (</w:t>
      </w:r>
      <w:r w:rsidR="00235219" w:rsidRPr="00A6284F">
        <w:rPr>
          <w:rFonts w:eastAsia="Times New Roman"/>
          <w:color w:val="000000"/>
          <w:spacing w:val="1"/>
          <w:sz w:val="24"/>
          <w:lang w:val="sq-AL"/>
        </w:rPr>
        <w:t>që përfshinin</w:t>
      </w:r>
      <w:r w:rsidRPr="00A6284F">
        <w:rPr>
          <w:rFonts w:eastAsia="Times New Roman"/>
          <w:color w:val="000000"/>
          <w:spacing w:val="1"/>
          <w:sz w:val="24"/>
          <w:lang w:val="sq-AL"/>
        </w:rPr>
        <w:t xml:space="preserve"> 3.394 persona)</w:t>
      </w:r>
      <w:r w:rsidR="00235219" w:rsidRPr="00A6284F">
        <w:rPr>
          <w:rFonts w:eastAsia="Times New Roman"/>
          <w:color w:val="000000"/>
          <w:spacing w:val="1"/>
          <w:sz w:val="24"/>
          <w:lang w:val="sq-AL"/>
        </w:rPr>
        <w:t xml:space="preserve"> </w:t>
      </w:r>
      <w:r w:rsidRPr="00A6284F">
        <w:rPr>
          <w:rFonts w:eastAsia="Times New Roman"/>
          <w:color w:val="000000"/>
          <w:spacing w:val="1"/>
          <w:sz w:val="24"/>
          <w:lang w:val="sq-AL"/>
        </w:rPr>
        <w:t>që kanë të bëjnë me drogë kanë qenë në procedurë e sipër, janë zgjidhur 1.614 raste (</w:t>
      </w:r>
      <w:r w:rsidR="00235219" w:rsidRPr="00A6284F">
        <w:rPr>
          <w:rFonts w:eastAsia="Times New Roman"/>
          <w:color w:val="000000"/>
          <w:spacing w:val="1"/>
          <w:sz w:val="24"/>
          <w:lang w:val="sq-AL"/>
        </w:rPr>
        <w:t xml:space="preserve">që përfshinin </w:t>
      </w:r>
      <w:r w:rsidRPr="00A6284F">
        <w:rPr>
          <w:rFonts w:eastAsia="Times New Roman"/>
          <w:color w:val="000000"/>
          <w:spacing w:val="1"/>
          <w:sz w:val="24"/>
          <w:lang w:val="sq-AL"/>
        </w:rPr>
        <w:t xml:space="preserve">2.065 </w:t>
      </w:r>
      <w:r w:rsidR="00235219" w:rsidRPr="00A6284F">
        <w:rPr>
          <w:rFonts w:eastAsia="Times New Roman"/>
          <w:color w:val="000000"/>
          <w:spacing w:val="1"/>
          <w:sz w:val="24"/>
          <w:lang w:val="sq-AL"/>
        </w:rPr>
        <w:t>persona</w:t>
      </w:r>
      <w:r w:rsidRPr="00A6284F">
        <w:rPr>
          <w:rFonts w:eastAsia="Times New Roman"/>
          <w:color w:val="000000"/>
          <w:spacing w:val="1"/>
          <w:sz w:val="24"/>
          <w:lang w:val="sq-AL"/>
        </w:rPr>
        <w:t>), ndërsa 385 persona janë shpallur fajtorë nga gjykatat. Drogat e konfiskuara që kanë qenë në pritje të shkatërrimit janë</w:t>
      </w:r>
      <w:r w:rsidR="00235219" w:rsidRPr="00A6284F">
        <w:rPr>
          <w:rFonts w:eastAsia="Times New Roman"/>
          <w:color w:val="000000"/>
          <w:spacing w:val="1"/>
          <w:sz w:val="24"/>
          <w:lang w:val="sq-AL"/>
        </w:rPr>
        <w:t xml:space="preserve"> </w:t>
      </w:r>
      <w:r w:rsidRPr="00A6284F">
        <w:rPr>
          <w:rFonts w:eastAsia="Times New Roman"/>
          <w:color w:val="000000"/>
          <w:spacing w:val="1"/>
          <w:sz w:val="24"/>
          <w:lang w:val="sq-AL"/>
        </w:rPr>
        <w:t>magazinuar në vend të</w:t>
      </w:r>
      <w:r w:rsidR="00235219"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sigurt, edhe pse duhet të hartohet një protokoll për trajtimin, ruajtjen dhe shkatërrimin e </w:t>
      </w:r>
      <w:proofErr w:type="spellStart"/>
      <w:r w:rsidRPr="00A6284F">
        <w:rPr>
          <w:rFonts w:eastAsia="Times New Roman"/>
          <w:color w:val="000000"/>
          <w:spacing w:val="1"/>
          <w:sz w:val="24"/>
          <w:lang w:val="sq-AL"/>
        </w:rPr>
        <w:t>prekursorëve</w:t>
      </w:r>
      <w:proofErr w:type="spellEnd"/>
      <w:r w:rsidRPr="00A6284F">
        <w:rPr>
          <w:rFonts w:eastAsia="Times New Roman"/>
          <w:color w:val="000000"/>
          <w:spacing w:val="1"/>
          <w:sz w:val="24"/>
          <w:lang w:val="sq-AL"/>
        </w:rPr>
        <w:t xml:space="preserve"> të drogës.</w:t>
      </w:r>
    </w:p>
    <w:p w:rsidR="00CE1051" w:rsidRPr="00A6284F" w:rsidRDefault="00235219" w:rsidP="00CE1051">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Duhet</w:t>
      </w:r>
      <w:r w:rsidR="00CE1051" w:rsidRPr="00A6284F">
        <w:rPr>
          <w:rFonts w:eastAsia="Times New Roman"/>
          <w:color w:val="000000"/>
          <w:sz w:val="24"/>
          <w:lang w:val="sq-AL"/>
        </w:rPr>
        <w:t xml:space="preserve"> të intensifikohen aktivitetet edukative dhe ndërgjegjësimi publik </w:t>
      </w:r>
      <w:r w:rsidRPr="00A6284F">
        <w:rPr>
          <w:rFonts w:eastAsia="Times New Roman"/>
          <w:color w:val="000000"/>
          <w:sz w:val="24"/>
          <w:lang w:val="sq-AL"/>
        </w:rPr>
        <w:t>në lidhje me</w:t>
      </w:r>
      <w:r w:rsidR="00CE1051" w:rsidRPr="00A6284F">
        <w:rPr>
          <w:rFonts w:eastAsia="Times New Roman"/>
          <w:color w:val="000000"/>
          <w:sz w:val="24"/>
          <w:lang w:val="sq-AL"/>
        </w:rPr>
        <w:t xml:space="preserve"> pasojat e abuzimit të drogës. Policët, zyrtarët për siguri në bashkësi dhe mësuesit vazhdojnë të marrin trajnim për rreziqet që rrjedhin nga abuzimi me drogat. </w:t>
      </w:r>
      <w:r w:rsidRPr="00A6284F">
        <w:rPr>
          <w:rFonts w:eastAsia="Times New Roman"/>
          <w:color w:val="000000"/>
          <w:sz w:val="24"/>
          <w:lang w:val="sq-AL"/>
        </w:rPr>
        <w:t>Gjithashtu, ofrohen</w:t>
      </w:r>
      <w:r w:rsidR="00CE1051" w:rsidRPr="00A6284F">
        <w:rPr>
          <w:rFonts w:eastAsia="Times New Roman"/>
          <w:color w:val="000000"/>
          <w:sz w:val="24"/>
          <w:lang w:val="sq-AL"/>
        </w:rPr>
        <w:t xml:space="preserve"> trajtim</w:t>
      </w:r>
      <w:r w:rsidRPr="00A6284F">
        <w:rPr>
          <w:rFonts w:eastAsia="Times New Roman"/>
          <w:color w:val="000000"/>
          <w:sz w:val="24"/>
          <w:lang w:val="sq-AL"/>
        </w:rPr>
        <w:t>e</w:t>
      </w:r>
      <w:r w:rsidR="00CE1051" w:rsidRPr="00A6284F">
        <w:rPr>
          <w:rFonts w:eastAsia="Times New Roman"/>
          <w:color w:val="000000"/>
          <w:sz w:val="24"/>
          <w:lang w:val="sq-AL"/>
        </w:rPr>
        <w:t xml:space="preserve"> ndaj</w:t>
      </w:r>
      <w:r w:rsidRPr="00A6284F">
        <w:rPr>
          <w:rFonts w:eastAsia="Times New Roman"/>
          <w:color w:val="000000"/>
          <w:sz w:val="24"/>
          <w:lang w:val="sq-AL"/>
        </w:rPr>
        <w:t xml:space="preserve"> </w:t>
      </w:r>
      <w:r w:rsidR="00CE1051" w:rsidRPr="00A6284F">
        <w:rPr>
          <w:rFonts w:eastAsia="Times New Roman"/>
          <w:color w:val="000000"/>
          <w:sz w:val="24"/>
          <w:lang w:val="sq-AL"/>
        </w:rPr>
        <w:t xml:space="preserve">varësisë dhe terapia me metadon. </w:t>
      </w:r>
    </w:p>
    <w:p w:rsidR="00CE1051" w:rsidRPr="00A6284F" w:rsidRDefault="00CE1051" w:rsidP="00CE105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Kosova vazhdon të bashkëpunojë me Qendrën Evropiane </w:t>
      </w:r>
      <w:r w:rsidR="00235219" w:rsidRPr="00A6284F">
        <w:rPr>
          <w:rFonts w:eastAsia="Times New Roman"/>
          <w:color w:val="000000"/>
          <w:sz w:val="24"/>
          <w:lang w:val="sq-AL"/>
        </w:rPr>
        <w:t>p</w:t>
      </w:r>
      <w:r w:rsidRPr="00A6284F">
        <w:rPr>
          <w:rFonts w:eastAsia="Times New Roman"/>
          <w:color w:val="000000"/>
          <w:sz w:val="24"/>
          <w:lang w:val="sq-AL"/>
        </w:rPr>
        <w:t>ë</w:t>
      </w:r>
      <w:r w:rsidR="00235219" w:rsidRPr="00A6284F">
        <w:rPr>
          <w:rFonts w:eastAsia="Times New Roman"/>
          <w:color w:val="000000"/>
          <w:sz w:val="24"/>
          <w:lang w:val="sq-AL"/>
        </w:rPr>
        <w:t>r</w:t>
      </w:r>
      <w:r w:rsidRPr="00A6284F">
        <w:rPr>
          <w:rFonts w:eastAsia="Times New Roman"/>
          <w:color w:val="000000"/>
          <w:sz w:val="24"/>
          <w:lang w:val="sq-AL"/>
        </w:rPr>
        <w:t xml:space="preserve"> Monitorimi</w:t>
      </w:r>
      <w:r w:rsidR="00235219" w:rsidRPr="00A6284F">
        <w:rPr>
          <w:rFonts w:eastAsia="Times New Roman"/>
          <w:color w:val="000000"/>
          <w:sz w:val="24"/>
          <w:lang w:val="sq-AL"/>
        </w:rPr>
        <w:t>n</w:t>
      </w:r>
      <w:r w:rsidRPr="00A6284F">
        <w:rPr>
          <w:rFonts w:eastAsia="Times New Roman"/>
          <w:color w:val="000000"/>
          <w:sz w:val="24"/>
          <w:lang w:val="sq-AL"/>
        </w:rPr>
        <w:t xml:space="preserve"> </w:t>
      </w:r>
      <w:r w:rsidR="00235219" w:rsidRPr="00A6284F">
        <w:rPr>
          <w:rFonts w:eastAsia="Times New Roman"/>
          <w:color w:val="000000"/>
          <w:sz w:val="24"/>
          <w:lang w:val="sq-AL"/>
        </w:rPr>
        <w:t>e</w:t>
      </w:r>
      <w:r w:rsidRPr="00A6284F">
        <w:rPr>
          <w:rFonts w:eastAsia="Times New Roman"/>
          <w:color w:val="000000"/>
          <w:sz w:val="24"/>
          <w:lang w:val="sq-AL"/>
        </w:rPr>
        <w:t xml:space="preserve"> Drogë</w:t>
      </w:r>
      <w:r w:rsidR="00235219" w:rsidRPr="00A6284F">
        <w:rPr>
          <w:rFonts w:eastAsia="Times New Roman"/>
          <w:color w:val="000000"/>
          <w:sz w:val="24"/>
          <w:lang w:val="sq-AL"/>
        </w:rPr>
        <w:t>s</w:t>
      </w:r>
      <w:r w:rsidRPr="00A6284F">
        <w:rPr>
          <w:rFonts w:eastAsia="Times New Roman"/>
          <w:color w:val="000000"/>
          <w:sz w:val="24"/>
          <w:lang w:val="sq-AL"/>
        </w:rPr>
        <w:t xml:space="preserve"> dhe Varësi</w:t>
      </w:r>
      <w:r w:rsidR="00235219" w:rsidRPr="00A6284F">
        <w:rPr>
          <w:rFonts w:eastAsia="Times New Roman"/>
          <w:color w:val="000000"/>
          <w:sz w:val="24"/>
          <w:lang w:val="sq-AL"/>
        </w:rPr>
        <w:t>s</w:t>
      </w:r>
      <w:r w:rsidRPr="00A6284F">
        <w:rPr>
          <w:rFonts w:eastAsia="Times New Roman"/>
          <w:color w:val="000000"/>
          <w:sz w:val="24"/>
          <w:lang w:val="sq-AL"/>
        </w:rPr>
        <w:t xml:space="preserve">ë </w:t>
      </w:r>
      <w:r w:rsidR="00235219" w:rsidRPr="00A6284F">
        <w:rPr>
          <w:rFonts w:eastAsia="Times New Roman"/>
          <w:color w:val="000000"/>
          <w:sz w:val="24"/>
          <w:lang w:val="sq-AL"/>
        </w:rPr>
        <w:t>ndaj</w:t>
      </w:r>
      <w:r w:rsidRPr="00A6284F">
        <w:rPr>
          <w:rFonts w:eastAsia="Times New Roman"/>
          <w:color w:val="000000"/>
          <w:sz w:val="24"/>
          <w:lang w:val="sq-AL"/>
        </w:rPr>
        <w:t xml:space="preserve"> Droga</w:t>
      </w:r>
      <w:r w:rsidR="00235219" w:rsidRPr="00A6284F">
        <w:rPr>
          <w:rFonts w:eastAsia="Times New Roman"/>
          <w:color w:val="000000"/>
          <w:sz w:val="24"/>
          <w:lang w:val="sq-AL"/>
        </w:rPr>
        <w:t>ve</w:t>
      </w:r>
      <w:r w:rsidRPr="00A6284F">
        <w:rPr>
          <w:rFonts w:eastAsia="Times New Roman"/>
          <w:color w:val="000000"/>
          <w:sz w:val="24"/>
          <w:lang w:val="sq-AL"/>
        </w:rPr>
        <w:t xml:space="preserve"> </w:t>
      </w:r>
      <w:r w:rsidR="00235219" w:rsidRPr="00A6284F">
        <w:rPr>
          <w:rFonts w:eastAsia="Times New Roman"/>
          <w:color w:val="000000"/>
          <w:sz w:val="24"/>
          <w:lang w:val="sq-AL"/>
        </w:rPr>
        <w:t xml:space="preserve">si </w:t>
      </w:r>
      <w:r w:rsidRPr="00A6284F">
        <w:rPr>
          <w:rFonts w:eastAsia="Times New Roman"/>
          <w:color w:val="000000"/>
          <w:sz w:val="24"/>
          <w:lang w:val="sq-AL"/>
        </w:rPr>
        <w:t xml:space="preserve">dhe </w:t>
      </w:r>
      <w:r w:rsidR="00235219" w:rsidRPr="00A6284F">
        <w:rPr>
          <w:rFonts w:eastAsia="Times New Roman"/>
          <w:color w:val="000000"/>
          <w:sz w:val="24"/>
          <w:lang w:val="sq-AL"/>
        </w:rPr>
        <w:t xml:space="preserve">i jep </w:t>
      </w:r>
      <w:r w:rsidRPr="00A6284F">
        <w:rPr>
          <w:rFonts w:eastAsia="Times New Roman"/>
          <w:color w:val="000000"/>
          <w:sz w:val="24"/>
          <w:lang w:val="sq-AL"/>
        </w:rPr>
        <w:t>raporte të rregullta nëpërmjet personit të caktuar për kontakt. Në fund të vitit 2018, Kosova ka paraqitur një kërkesë për të nënshkruar marrëveshjet e punës me këtë Qendër. Kosova do të përfitonte nga përfshirja e shtuar në Ciklin e Politikave të BE-së.</w:t>
      </w:r>
    </w:p>
    <w:p w:rsidR="00CE1051" w:rsidRPr="00A6284F" w:rsidRDefault="00CE1051" w:rsidP="00CE1051">
      <w:pPr>
        <w:spacing w:before="126" w:line="274" w:lineRule="exact"/>
        <w:ind w:left="72"/>
        <w:textAlignment w:val="baseline"/>
        <w:rPr>
          <w:rFonts w:eastAsia="Times New Roman"/>
          <w:b/>
          <w:color w:val="000000"/>
          <w:sz w:val="24"/>
          <w:lang w:val="sq-AL"/>
        </w:rPr>
      </w:pPr>
      <w:r w:rsidRPr="00A6284F">
        <w:rPr>
          <w:rFonts w:eastAsia="Times New Roman"/>
          <w:b/>
          <w:color w:val="000000"/>
          <w:sz w:val="24"/>
          <w:lang w:val="sq-AL"/>
        </w:rPr>
        <w:t xml:space="preserve">Lufta </w:t>
      </w:r>
      <w:r w:rsidR="00A25931" w:rsidRPr="00A6284F">
        <w:rPr>
          <w:rFonts w:eastAsia="Times New Roman"/>
          <w:b/>
          <w:color w:val="000000"/>
          <w:sz w:val="24"/>
          <w:lang w:val="sq-AL"/>
        </w:rPr>
        <w:t>ndaj</w:t>
      </w:r>
      <w:r w:rsidRPr="00A6284F">
        <w:rPr>
          <w:rFonts w:eastAsia="Times New Roman"/>
          <w:b/>
          <w:color w:val="000000"/>
          <w:sz w:val="24"/>
          <w:lang w:val="sq-AL"/>
        </w:rPr>
        <w:t xml:space="preserve"> terrorizmit</w:t>
      </w:r>
    </w:p>
    <w:p w:rsidR="00CE1051" w:rsidRPr="00A6284F" w:rsidRDefault="00CE1051" w:rsidP="00CE1051">
      <w:pPr>
        <w:spacing w:before="119"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Struktura institucionale dhe harmonizimi ligjor</w:t>
      </w:r>
    </w:p>
    <w:p w:rsidR="00CE1051" w:rsidRPr="00A6284F" w:rsidRDefault="00CE1051" w:rsidP="00CE1051">
      <w:pPr>
        <w:spacing w:before="118" w:line="276"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Institucionet</w:t>
      </w:r>
      <w:r w:rsidRPr="00A6284F">
        <w:rPr>
          <w:rFonts w:eastAsia="Times New Roman"/>
          <w:color w:val="000000"/>
          <w:sz w:val="24"/>
          <w:lang w:val="sq-AL"/>
        </w:rPr>
        <w:t xml:space="preserve"> kryesore të </w:t>
      </w:r>
      <w:r w:rsidR="00A25931" w:rsidRPr="00A6284F">
        <w:rPr>
          <w:rFonts w:eastAsia="Times New Roman"/>
          <w:color w:val="000000"/>
          <w:sz w:val="24"/>
          <w:lang w:val="sq-AL"/>
        </w:rPr>
        <w:t>angazhuara</w:t>
      </w:r>
      <w:r w:rsidRPr="00A6284F">
        <w:rPr>
          <w:rFonts w:eastAsia="Times New Roman"/>
          <w:color w:val="000000"/>
          <w:sz w:val="24"/>
          <w:lang w:val="sq-AL"/>
        </w:rPr>
        <w:t xml:space="preserve"> në luftën kundër terrorizmit janë: Zyra e Kryeministrit, Ministria e Punëve të Brendshme, Ministria e Drejtësisë dhe ajo e Punëve të Jashtme, Policia, Agjencia e Inteligjencës së Kosovës, Njësia e Inteligjencës Financiare (NJIF) dhe Shërbimi i Prokurorisë, duke përfshirë Prokurorinë Speciale. Ministri i Punëve të Brendshme, si Koordinator për Luftimin e Terrorizmit (LT), është përgjegjës për zhvillimin e politikave dhe </w:t>
      </w:r>
      <w:r w:rsidRPr="00A6284F">
        <w:rPr>
          <w:rFonts w:eastAsia="Times New Roman"/>
          <w:color w:val="000000"/>
          <w:sz w:val="24"/>
          <w:lang w:val="sq-AL"/>
        </w:rPr>
        <w:lastRenderedPageBreak/>
        <w:t>strategjive për të luftuar terrorizmin, vlerësimin e inteligjencës strategjike si dhe për sigurimin e koordinimit. Koordinatori Nacional për Luftimin e Ekstremizmit të Dhunshëm (LEDH) punon në Zyrën e Kryeministrit.</w:t>
      </w:r>
    </w:p>
    <w:p w:rsidR="00CE1051" w:rsidRPr="00A6284F" w:rsidRDefault="00CE1051" w:rsidP="00CE1051">
      <w:pPr>
        <w:spacing w:before="121" w:line="276"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NJIF</w:t>
      </w:r>
      <w:r w:rsidRPr="00A6284F">
        <w:rPr>
          <w:rFonts w:eastAsia="Times New Roman"/>
          <w:color w:val="000000"/>
          <w:sz w:val="24"/>
          <w:lang w:val="sq-AL"/>
        </w:rPr>
        <w:t xml:space="preserve"> është pjesë thelbësore e sistemit për luftimin e financimit të terrorizmit. Megjithatë, personeli dhe burimet e saj duhet të rriten si dhe u duhet dhënë trajnim i duhur për të trajtuar këtë fenomen në mënyrë efektive. Gjatë periudhës raportuese, autoritetet e Kosovës krijuan një </w:t>
      </w:r>
      <w:r w:rsidRPr="00A6284F">
        <w:rPr>
          <w:rFonts w:eastAsia="Times New Roman"/>
          <w:b/>
          <w:color w:val="000000"/>
          <w:sz w:val="24"/>
          <w:lang w:val="sq-AL"/>
        </w:rPr>
        <w:t>Komision Ndërinstitucional</w:t>
      </w:r>
      <w:r w:rsidRPr="00A6284F">
        <w:rPr>
          <w:rFonts w:eastAsia="Times New Roman"/>
          <w:color w:val="000000"/>
          <w:sz w:val="24"/>
          <w:lang w:val="sq-AL"/>
        </w:rPr>
        <w:t xml:space="preserve"> për trajtimin e ekstremizmit të dhunshëm. Ky Komision merret ekskluzivisht me rastet e luftëtarëve terroristë </w:t>
      </w:r>
      <w:r w:rsidR="00A25931" w:rsidRPr="00A6284F">
        <w:rPr>
          <w:rFonts w:eastAsia="Times New Roman"/>
          <w:color w:val="000000"/>
          <w:sz w:val="24"/>
          <w:lang w:val="sq-AL"/>
        </w:rPr>
        <w:t xml:space="preserve">në vende të huaja si </w:t>
      </w:r>
      <w:r w:rsidRPr="00A6284F">
        <w:rPr>
          <w:rFonts w:eastAsia="Times New Roman"/>
          <w:color w:val="000000"/>
          <w:sz w:val="24"/>
          <w:lang w:val="sq-AL"/>
        </w:rPr>
        <w:t>dhe me të kthyerit që nuk kanë qenë luftëtarë (gratë, fëmijët dhe të moshuarit). Kosova ka shprehur interes në kthimin e qytetarëve të saj jo luftëtarë nga zona e konfliktit në Siri/Irak dhe ka kryer një operacion për kthimin e tyre në prill të vitit 2019.</w:t>
      </w:r>
    </w:p>
    <w:p w:rsidR="00CE1051" w:rsidRPr="00A6284F" w:rsidRDefault="00CE1051" w:rsidP="00CE1051">
      <w:pPr>
        <w:spacing w:before="19"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Korniza ligjore</w:t>
      </w:r>
      <w:r w:rsidRPr="00A6284F">
        <w:rPr>
          <w:rFonts w:eastAsia="Times New Roman"/>
          <w:color w:val="000000"/>
          <w:sz w:val="24"/>
          <w:lang w:val="sq-AL"/>
        </w:rPr>
        <w:t xml:space="preserve"> e Kosovës është kryesisht në përputhje me </w:t>
      </w:r>
      <w:r w:rsidRPr="00A6284F">
        <w:rPr>
          <w:rFonts w:eastAsia="Times New Roman"/>
          <w:i/>
          <w:color w:val="000000"/>
          <w:sz w:val="24"/>
          <w:lang w:val="sq-AL"/>
        </w:rPr>
        <w:t>acquis</w:t>
      </w:r>
      <w:r w:rsidRPr="00A6284F">
        <w:rPr>
          <w:rFonts w:eastAsia="Times New Roman"/>
          <w:color w:val="000000"/>
          <w:sz w:val="24"/>
          <w:lang w:val="sq-AL"/>
        </w:rPr>
        <w:t xml:space="preserve"> të BE-së dhe instrumentet ndërkombëtare kundër terrorizmit. Kosova ka ligje që </w:t>
      </w:r>
      <w:proofErr w:type="spellStart"/>
      <w:r w:rsidRPr="00A6284F">
        <w:rPr>
          <w:rFonts w:eastAsia="Times New Roman"/>
          <w:color w:val="000000"/>
          <w:sz w:val="24"/>
          <w:lang w:val="sq-AL"/>
        </w:rPr>
        <w:t>kriminalizojnë</w:t>
      </w:r>
      <w:proofErr w:type="spellEnd"/>
      <w:r w:rsidRPr="00A6284F">
        <w:rPr>
          <w:rFonts w:eastAsia="Times New Roman"/>
          <w:color w:val="000000"/>
          <w:sz w:val="24"/>
          <w:lang w:val="sq-AL"/>
        </w:rPr>
        <w:t xml:space="preserve"> fenomenin e luftëtarëve</w:t>
      </w:r>
      <w:r w:rsidR="00D52204" w:rsidRPr="00A6284F">
        <w:rPr>
          <w:rFonts w:eastAsia="Times New Roman"/>
          <w:color w:val="000000"/>
          <w:sz w:val="24"/>
          <w:lang w:val="sq-AL"/>
        </w:rPr>
        <w:t xml:space="preserve"> terrorist në vende të huaja</w:t>
      </w:r>
      <w:r w:rsidRPr="00A6284F">
        <w:rPr>
          <w:rFonts w:eastAsia="Times New Roman"/>
          <w:color w:val="000000"/>
          <w:sz w:val="24"/>
          <w:lang w:val="sq-AL"/>
        </w:rPr>
        <w:t xml:space="preserve"> në përputhje me Rezolutën e Këshillit të Sigurimit të OKB-së 2178 (2014). Vepra e financimit të terrorizmit përfshihet në Ligjin për luftimin e pastrimit të parave dhe financimin e terrorizmit. Megjithatë, Ligji ende nuk është plotësisht në përputhje me standardet e BE-së dhe ato ndërkombëtare.</w:t>
      </w:r>
    </w:p>
    <w:p w:rsidR="00CE1051" w:rsidRPr="00A6284F" w:rsidRDefault="00CE1051" w:rsidP="00D52204">
      <w:pPr>
        <w:spacing w:before="123"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Kosova ka</w:t>
      </w:r>
      <w:r w:rsidRPr="00A6284F">
        <w:rPr>
          <w:rFonts w:eastAsia="Times New Roman"/>
          <w:b/>
          <w:color w:val="000000"/>
          <w:sz w:val="24"/>
          <w:lang w:val="sq-AL"/>
        </w:rPr>
        <w:t xml:space="preserve"> një strategji dhe plan veprimi kundër terrorizmit (2018-2023) dhe një strategji dhe plan veprimi për parandalimin e ekstremizmit dhe </w:t>
      </w:r>
      <w:proofErr w:type="spellStart"/>
      <w:r w:rsidRPr="00A6284F">
        <w:rPr>
          <w:rFonts w:eastAsia="Times New Roman"/>
          <w:b/>
          <w:color w:val="000000"/>
          <w:sz w:val="24"/>
          <w:lang w:val="sq-AL"/>
        </w:rPr>
        <w:t>radikalizimit</w:t>
      </w:r>
      <w:proofErr w:type="spellEnd"/>
      <w:r w:rsidRPr="00A6284F">
        <w:rPr>
          <w:rFonts w:eastAsia="Times New Roman"/>
          <w:b/>
          <w:color w:val="000000"/>
          <w:sz w:val="24"/>
          <w:lang w:val="sq-AL"/>
        </w:rPr>
        <w:t xml:space="preserve"> të dhunshëm që shpie në terrorizëm (2015-2020)</w:t>
      </w:r>
      <w:r w:rsidRPr="00A6284F">
        <w:rPr>
          <w:rFonts w:eastAsia="Times New Roman"/>
          <w:color w:val="000000"/>
          <w:sz w:val="24"/>
          <w:lang w:val="sq-AL"/>
        </w:rPr>
        <w:t>.</w:t>
      </w:r>
      <w:r w:rsidR="00D52204" w:rsidRPr="00A6284F">
        <w:rPr>
          <w:rFonts w:eastAsia="Times New Roman"/>
          <w:color w:val="000000"/>
          <w:sz w:val="24"/>
          <w:lang w:val="sq-AL"/>
        </w:rPr>
        <w:t xml:space="preserve"> </w:t>
      </w:r>
      <w:r w:rsidRPr="00A6284F">
        <w:rPr>
          <w:rFonts w:eastAsia="Times New Roman"/>
          <w:color w:val="000000"/>
          <w:sz w:val="24"/>
          <w:lang w:val="sq-AL"/>
        </w:rPr>
        <w:t xml:space="preserve">Strategjia kundër terrorizmit është në përputhje me strategjinë e Bashkimit Evropian kundër terrorizmit. Qeverisja në fushën LT/LEDH është tejet komplekse, ku strategjitë </w:t>
      </w:r>
      <w:r w:rsidR="00D52204" w:rsidRPr="00A6284F">
        <w:rPr>
          <w:rFonts w:eastAsia="Times New Roman"/>
          <w:color w:val="000000"/>
          <w:sz w:val="24"/>
          <w:lang w:val="sq-AL"/>
        </w:rPr>
        <w:t xml:space="preserve">për </w:t>
      </w:r>
      <w:r w:rsidRPr="00A6284F">
        <w:rPr>
          <w:rFonts w:eastAsia="Times New Roman"/>
          <w:color w:val="000000"/>
          <w:sz w:val="24"/>
          <w:lang w:val="sq-AL"/>
        </w:rPr>
        <w:t>LT/LEDH</w:t>
      </w:r>
      <w:r w:rsidR="00D52204" w:rsidRPr="00A6284F">
        <w:rPr>
          <w:rFonts w:eastAsia="Times New Roman"/>
          <w:color w:val="000000"/>
          <w:sz w:val="24"/>
          <w:lang w:val="sq-AL"/>
        </w:rPr>
        <w:t xml:space="preserve"> </w:t>
      </w:r>
      <w:r w:rsidRPr="00A6284F">
        <w:rPr>
          <w:rFonts w:eastAsia="Times New Roman"/>
          <w:color w:val="000000"/>
          <w:sz w:val="24"/>
          <w:lang w:val="sq-AL"/>
        </w:rPr>
        <w:t>mbulohen nga organe të ndryshme, të cilat do të mund të kishin komunikim më të mirë me njëri-tjetrin. Kohët e fundit autoritetet ndërmorën</w:t>
      </w:r>
      <w:r w:rsidR="00D52204" w:rsidRPr="00A6284F">
        <w:rPr>
          <w:rFonts w:eastAsia="Times New Roman"/>
          <w:color w:val="000000"/>
          <w:sz w:val="24"/>
          <w:lang w:val="sq-AL"/>
        </w:rPr>
        <w:t xml:space="preserve"> </w:t>
      </w:r>
      <w:r w:rsidRPr="00A6284F">
        <w:rPr>
          <w:rFonts w:eastAsia="Times New Roman"/>
          <w:color w:val="000000"/>
          <w:sz w:val="24"/>
          <w:lang w:val="sq-AL"/>
        </w:rPr>
        <w:t xml:space="preserve">një hap pozitiv, duke caktuar një koordinator të vetëm për LT/LEDH për të mbikëqyrur shpërndarjen dhe zbatimin në të dyja fushat. Në planin afatgjatë, mund të merret parasysh bashkimi i të dyja strategjive në një strategji të vetme. Po ashtu duhet të finalizohet dhe të miratohet një </w:t>
      </w:r>
      <w:r w:rsidRPr="00A6284F">
        <w:rPr>
          <w:rFonts w:eastAsia="Times New Roman"/>
          <w:b/>
          <w:color w:val="000000"/>
          <w:sz w:val="24"/>
          <w:lang w:val="sq-AL"/>
        </w:rPr>
        <w:t>strategji e komunikimit</w:t>
      </w:r>
      <w:r w:rsidR="00D52204" w:rsidRPr="00A6284F">
        <w:rPr>
          <w:rFonts w:eastAsia="Times New Roman"/>
          <w:b/>
          <w:color w:val="000000"/>
          <w:sz w:val="24"/>
          <w:lang w:val="sq-AL"/>
        </w:rPr>
        <w:t xml:space="preserve"> </w:t>
      </w:r>
      <w:r w:rsidRPr="00A6284F">
        <w:rPr>
          <w:rFonts w:eastAsia="Times New Roman"/>
          <w:color w:val="000000"/>
          <w:sz w:val="24"/>
          <w:lang w:val="sq-AL"/>
        </w:rPr>
        <w:t>në mënyrë që të rritet ndërgjegjësimi dhe të fitohet mbështetje më e gjerë nga akterët në mbarë shoqërinë.</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Autoritetet e Kosovës dhe BE-ja nënshkruan </w:t>
      </w:r>
      <w:r w:rsidRPr="00A6284F">
        <w:rPr>
          <w:rFonts w:eastAsia="Times New Roman"/>
          <w:b/>
          <w:color w:val="000000"/>
          <w:sz w:val="24"/>
          <w:lang w:val="sq-AL"/>
        </w:rPr>
        <w:t>planin e përbashkët të veprimit</w:t>
      </w:r>
      <w:r w:rsidRPr="00A6284F">
        <w:rPr>
          <w:rFonts w:eastAsia="Times New Roman"/>
          <w:color w:val="000000"/>
          <w:sz w:val="24"/>
          <w:lang w:val="sq-AL"/>
        </w:rPr>
        <w:t xml:space="preserve"> kundër terrorizmit për Ballkanin Perëndimor në tetor të vitit 2018. BE-ja dhe Kosova tani do të ndjekin veprimet prioritare në mënyrë bilaterale.</w:t>
      </w:r>
    </w:p>
    <w:p w:rsidR="00CE1051" w:rsidRPr="00A6284F" w:rsidRDefault="00CE1051" w:rsidP="00CE1051">
      <w:pPr>
        <w:spacing w:before="126"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Implementimi</w:t>
      </w:r>
      <w:r w:rsidR="00D52204" w:rsidRPr="00A6284F">
        <w:rPr>
          <w:rFonts w:eastAsia="Times New Roman"/>
          <w:color w:val="000000"/>
          <w:sz w:val="24"/>
          <w:u w:val="single"/>
          <w:lang w:val="sq-AL"/>
        </w:rPr>
        <w:t xml:space="preserve"> </w:t>
      </w:r>
      <w:r w:rsidRPr="00A6284F">
        <w:rPr>
          <w:rFonts w:eastAsia="Times New Roman"/>
          <w:color w:val="000000"/>
          <w:sz w:val="24"/>
          <w:u w:val="single"/>
          <w:lang w:val="sq-AL"/>
        </w:rPr>
        <w:t>dhe</w:t>
      </w:r>
      <w:r w:rsidR="00D52204" w:rsidRPr="00A6284F">
        <w:rPr>
          <w:rFonts w:eastAsia="Times New Roman"/>
          <w:color w:val="000000"/>
          <w:sz w:val="24"/>
          <w:u w:val="single"/>
          <w:lang w:val="sq-AL"/>
        </w:rPr>
        <w:t xml:space="preserve"> </w:t>
      </w:r>
      <w:r w:rsidRPr="00A6284F">
        <w:rPr>
          <w:rFonts w:eastAsia="Times New Roman"/>
          <w:color w:val="000000"/>
          <w:sz w:val="24"/>
          <w:u w:val="single"/>
          <w:lang w:val="sq-AL"/>
        </w:rPr>
        <w:t>kapaciteti</w:t>
      </w:r>
      <w:r w:rsidR="00D52204" w:rsidRPr="00A6284F">
        <w:rPr>
          <w:rFonts w:eastAsia="Times New Roman"/>
          <w:color w:val="000000"/>
          <w:sz w:val="24"/>
          <w:u w:val="single"/>
          <w:lang w:val="sq-AL"/>
        </w:rPr>
        <w:t xml:space="preserve"> </w:t>
      </w:r>
      <w:r w:rsidRPr="00A6284F">
        <w:rPr>
          <w:rFonts w:eastAsia="Times New Roman"/>
          <w:color w:val="000000"/>
          <w:sz w:val="24"/>
          <w:u w:val="single"/>
          <w:lang w:val="sq-AL"/>
        </w:rPr>
        <w:t>zbatues</w:t>
      </w:r>
    </w:p>
    <w:p w:rsidR="00CE1051" w:rsidRPr="00A6284F" w:rsidRDefault="00CE1051" w:rsidP="00CE105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ka rritur më tej përpjekjet e saj për të luftuar terrorizmin, duke përfshirë masat për të parandaluar ekstremizmin e dhunshëm. Që nga viti 2016, nuk ka pasur raste të reja të raportuara të qytetarëve të Kosovës që udhëtojnë në konflikte në Siri apo Irak si </w:t>
      </w:r>
      <w:r w:rsidRPr="00A6284F">
        <w:rPr>
          <w:rFonts w:eastAsia="Times New Roman"/>
          <w:b/>
          <w:color w:val="000000"/>
          <w:spacing w:val="1"/>
          <w:sz w:val="24"/>
          <w:lang w:val="sq-AL"/>
        </w:rPr>
        <w:t>luftëtarë të huaj terroristë</w:t>
      </w:r>
      <w:r w:rsidRPr="00A6284F">
        <w:rPr>
          <w:rFonts w:eastAsia="Times New Roman"/>
          <w:color w:val="000000"/>
          <w:spacing w:val="1"/>
          <w:sz w:val="24"/>
          <w:lang w:val="sq-AL"/>
        </w:rPr>
        <w:t>. Që nga viti 2012 deri më sot, rreth 355 qytetarë të Kosovës (256 burra, 52 gra dhe 47 fëmijë) u nisën për në zonat e konfliktit në Lindjen e Mesme, kryesisht si luftëtarë terroristë. 71 fëmijë kanë lindur në zonën e konfliktit.</w:t>
      </w:r>
      <w:r w:rsidR="002C49A8"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Janë kthyer 242 qytetarë të Kosovës (124 burra, 38 gra, 80 fëmijë), 96 kanë vdekur (91 të vrarë, ndërsa 5 kanë vdekur nga shkaqe të tjera natyrore) dhe 97 kanë mbetur në atë zonë (47 burra, 8 gra, 42 fëmijë). Nga 242 të kthyer, 110 prej tyre (4 burra, 32 gra dhe 74 fëmijë) u kthyen nga zona e konfliktit në një operacion të organizuar nga qeveria në prill </w:t>
      </w:r>
      <w:r w:rsidR="002C49A8" w:rsidRPr="00A6284F">
        <w:rPr>
          <w:rFonts w:eastAsia="Times New Roman"/>
          <w:color w:val="000000"/>
          <w:spacing w:val="1"/>
          <w:sz w:val="24"/>
          <w:lang w:val="sq-AL"/>
        </w:rPr>
        <w:t xml:space="preserve">të vitit </w:t>
      </w:r>
      <w:r w:rsidRPr="00A6284F">
        <w:rPr>
          <w:rFonts w:eastAsia="Times New Roman"/>
          <w:color w:val="000000"/>
          <w:spacing w:val="1"/>
          <w:sz w:val="24"/>
          <w:lang w:val="sq-AL"/>
        </w:rPr>
        <w:t xml:space="preserve">2019. </w:t>
      </w:r>
      <w:r w:rsidRPr="00A6284F">
        <w:rPr>
          <w:rFonts w:eastAsia="Times New Roman"/>
          <w:b/>
          <w:color w:val="000000"/>
          <w:spacing w:val="1"/>
          <w:sz w:val="24"/>
          <w:lang w:val="sq-AL"/>
        </w:rPr>
        <w:t xml:space="preserve">Institucionet e zbatimit të ligjit dhe institucionet gjyqësore </w:t>
      </w:r>
      <w:r w:rsidRPr="00A6284F">
        <w:rPr>
          <w:rFonts w:eastAsia="Times New Roman"/>
          <w:color w:val="000000"/>
          <w:spacing w:val="1"/>
          <w:sz w:val="24"/>
          <w:lang w:val="sq-AL"/>
        </w:rPr>
        <w:t>të Kosovës vazhdojnë të reagojnë fuqishëm ndaj terrorizmit. Policia ka arrestuar një numër të konsiderueshëm njerëzish që u ishin bashkuar grupeve terroriste që nga viti 2012. Një numër i konsiderueshëm i rasteve përfunduan me dënime. Në periudhën raportuese, Drejtoria Kundër Terrorizmit e Policisë së Kosovës ka iniciuar 4 raste të reja për veprat penale në lidhje me terrorizmin dhe ka arrestuar 12 të dyshuar në 5 operacione të ndara, duke përfshirë 6 të arrestuar si rezultat i hetimeve të përbashkëta disamujore me autoritetet belge dhe gjermane.</w:t>
      </w:r>
      <w:r w:rsidR="002C49A8" w:rsidRPr="00A6284F">
        <w:rPr>
          <w:rFonts w:eastAsia="Times New Roman"/>
          <w:color w:val="000000"/>
          <w:spacing w:val="1"/>
          <w:sz w:val="24"/>
          <w:lang w:val="sq-AL"/>
        </w:rPr>
        <w:t xml:space="preserve"> </w:t>
      </w:r>
      <w:r w:rsidRPr="00A6284F">
        <w:rPr>
          <w:rFonts w:eastAsia="Times New Roman"/>
          <w:color w:val="000000"/>
          <w:spacing w:val="1"/>
          <w:sz w:val="24"/>
          <w:lang w:val="sq-AL"/>
        </w:rPr>
        <w:t>Në vitin 2018, në 6 raste të terrorizmit u arritën vendime përfundimtare gjyqësore (4 përfunduan me dënime dhe 2 me lirim). Duhet të shqyrtohet seriozisht</w:t>
      </w:r>
      <w:r w:rsidR="002C49A8"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krijimi i një Qendre të Përbashkët të Vlerësimit të Kërcënimeve, ku do </w:t>
      </w:r>
      <w:r w:rsidRPr="00A6284F">
        <w:rPr>
          <w:rFonts w:eastAsia="Times New Roman"/>
          <w:color w:val="000000"/>
          <w:spacing w:val="1"/>
          <w:sz w:val="24"/>
          <w:lang w:val="sq-AL"/>
        </w:rPr>
        <w:lastRenderedPageBreak/>
        <w:t>të përfshihej një sistem i klasifikimit të niveleve të kërcënimit, me qëllim që të gjitha agjencitë dhe publiku të informohen më mirë dhe të rrisin gatishmërinë e reagimit, duke përfshirë edhe mbrojtjen e infrastrukturës kyçe.</w:t>
      </w:r>
      <w:r w:rsidR="002C49A8" w:rsidRPr="00A6284F">
        <w:rPr>
          <w:rFonts w:eastAsia="Times New Roman"/>
          <w:color w:val="000000"/>
          <w:spacing w:val="1"/>
          <w:sz w:val="24"/>
          <w:lang w:val="sq-AL"/>
        </w:rPr>
        <w:t xml:space="preserve"> </w:t>
      </w:r>
      <w:r w:rsidRPr="00A6284F">
        <w:rPr>
          <w:rFonts w:eastAsia="Times New Roman"/>
          <w:b/>
          <w:color w:val="000000"/>
          <w:spacing w:val="1"/>
          <w:sz w:val="24"/>
          <w:lang w:val="sq-AL"/>
        </w:rPr>
        <w:t xml:space="preserve">Lufta kundër </w:t>
      </w:r>
      <w:r w:rsidR="002C49A8" w:rsidRPr="00A6284F">
        <w:rPr>
          <w:rFonts w:eastAsia="Times New Roman"/>
          <w:b/>
          <w:color w:val="000000"/>
          <w:spacing w:val="1"/>
          <w:sz w:val="24"/>
          <w:lang w:val="sq-AL"/>
        </w:rPr>
        <w:t>shpëlarjes</w:t>
      </w:r>
      <w:r w:rsidRPr="00A6284F">
        <w:rPr>
          <w:rFonts w:eastAsia="Times New Roman"/>
          <w:b/>
          <w:color w:val="000000"/>
          <w:spacing w:val="1"/>
          <w:sz w:val="24"/>
          <w:lang w:val="sq-AL"/>
        </w:rPr>
        <w:t xml:space="preserve"> të parave dhe financimit të terrorizmit</w:t>
      </w:r>
      <w:r w:rsidRPr="00A6284F">
        <w:rPr>
          <w:rFonts w:eastAsia="Times New Roman"/>
          <w:color w:val="000000"/>
          <w:spacing w:val="1"/>
          <w:sz w:val="24"/>
          <w:lang w:val="sq-AL"/>
        </w:rPr>
        <w:t xml:space="preserve"> nuk është mjaftueshëm efektive për të prodhuar rezultate bindëse (</w:t>
      </w:r>
      <w:r w:rsidRPr="00A6284F">
        <w:rPr>
          <w:rFonts w:eastAsia="Times New Roman"/>
          <w:i/>
          <w:color w:val="000000"/>
          <w:spacing w:val="1"/>
          <w:sz w:val="24"/>
          <w:lang w:val="sq-AL"/>
        </w:rPr>
        <w:t>shih pjesën për luftën kundër krimit të organizuar</w:t>
      </w:r>
      <w:r w:rsidRPr="00A6284F">
        <w:rPr>
          <w:rFonts w:eastAsia="Times New Roman"/>
          <w:color w:val="000000"/>
          <w:spacing w:val="1"/>
          <w:sz w:val="24"/>
          <w:lang w:val="sq-AL"/>
        </w:rPr>
        <w:t>)</w:t>
      </w:r>
      <w:r w:rsidRPr="00A6284F">
        <w:rPr>
          <w:rFonts w:eastAsia="Times New Roman"/>
          <w:i/>
          <w:color w:val="000000"/>
          <w:spacing w:val="1"/>
          <w:sz w:val="24"/>
          <w:lang w:val="sq-AL"/>
        </w:rPr>
        <w:t>.</w:t>
      </w:r>
    </w:p>
    <w:p w:rsidR="00CE1051" w:rsidRPr="00A6284F" w:rsidRDefault="00CE1051" w:rsidP="00CE105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Përkundër këtyre përpjekjeve, autoritetet vazhdojnë të përballen me sfidën e </w:t>
      </w:r>
      <w:r w:rsidRPr="00A6284F">
        <w:rPr>
          <w:rFonts w:eastAsia="Times New Roman"/>
          <w:b/>
          <w:color w:val="000000"/>
          <w:spacing w:val="1"/>
          <w:sz w:val="24"/>
          <w:lang w:val="sq-AL"/>
        </w:rPr>
        <w:t xml:space="preserve">ekstremizmit dhe </w:t>
      </w:r>
      <w:proofErr w:type="spellStart"/>
      <w:r w:rsidRPr="00A6284F">
        <w:rPr>
          <w:rFonts w:eastAsia="Times New Roman"/>
          <w:b/>
          <w:color w:val="000000"/>
          <w:spacing w:val="1"/>
          <w:sz w:val="24"/>
          <w:lang w:val="sq-AL"/>
        </w:rPr>
        <w:t>radikalizimit</w:t>
      </w:r>
      <w:proofErr w:type="spellEnd"/>
      <w:r w:rsidRPr="00A6284F">
        <w:rPr>
          <w:rFonts w:eastAsia="Times New Roman"/>
          <w:b/>
          <w:color w:val="000000"/>
          <w:spacing w:val="1"/>
          <w:sz w:val="24"/>
          <w:lang w:val="sq-AL"/>
        </w:rPr>
        <w:t xml:space="preserve"> të dhunshëm</w:t>
      </w:r>
      <w:r w:rsidRPr="00A6284F">
        <w:rPr>
          <w:rFonts w:eastAsia="Times New Roman"/>
          <w:color w:val="000000"/>
          <w:spacing w:val="1"/>
          <w:sz w:val="24"/>
          <w:lang w:val="sq-AL"/>
        </w:rPr>
        <w:t>. Kjo është nxitur pjesërisht nga fondet e organizatave të huaja që predikojnë ideologji ekstremiste. Grupet ekstremiste të dhunshme gjithashtu përdorin aktivisht mediat sociale për të përhapur propagandën dhe për të rekrutuar ndjekës të tyre.</w:t>
      </w:r>
      <w:r w:rsidR="002C49A8"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Kosova duhet të shtojë përpjekjet e saj për të luftuar këto ndikime të jashtme, duke përfshirë mënyrat përmes rritjes së kapaciteteve të saj hetuese, përmes luftës kundër materialeve </w:t>
      </w:r>
      <w:proofErr w:type="spellStart"/>
      <w:r w:rsidRPr="00A6284F">
        <w:rPr>
          <w:rFonts w:eastAsia="Times New Roman"/>
          <w:color w:val="000000"/>
          <w:spacing w:val="1"/>
          <w:sz w:val="24"/>
          <w:lang w:val="sq-AL"/>
        </w:rPr>
        <w:t>online</w:t>
      </w:r>
      <w:proofErr w:type="spellEnd"/>
      <w:r w:rsidRPr="00A6284F">
        <w:rPr>
          <w:rFonts w:eastAsia="Times New Roman"/>
          <w:color w:val="000000"/>
          <w:spacing w:val="1"/>
          <w:sz w:val="24"/>
          <w:lang w:val="sq-AL"/>
        </w:rPr>
        <w:t xml:space="preserve"> me përmbajtje terroriste, përmes rritjes së elasticitetit të komuniteteve lokale ndaj ekstremizmit të dhunshëm si dhe duke fuqizuar shoqërinë civile dhe organizatat me bazë fetare. Po ashtu duhet të shqyrtojë më tutje mënyrat se si mund të përdorë Këshillat ekzistues Komunalë për Siguri në Bashkësi dhe qasjen pilote me shumë agjenci (ku individët ndihmohen veças në bazë të rasteve) në komunën e Gjilanit në parandalimin e ekstremizmit të dhunshëm dhe </w:t>
      </w:r>
      <w:proofErr w:type="spellStart"/>
      <w:r w:rsidRPr="00A6284F">
        <w:rPr>
          <w:rFonts w:eastAsia="Times New Roman"/>
          <w:color w:val="000000"/>
          <w:spacing w:val="1"/>
          <w:sz w:val="24"/>
          <w:lang w:val="sq-AL"/>
        </w:rPr>
        <w:t>radikalizimit</w:t>
      </w:r>
      <w:proofErr w:type="spellEnd"/>
      <w:r w:rsidRPr="00A6284F">
        <w:rPr>
          <w:rFonts w:eastAsia="Times New Roman"/>
          <w:color w:val="000000"/>
          <w:spacing w:val="1"/>
          <w:sz w:val="24"/>
          <w:lang w:val="sq-AL"/>
        </w:rPr>
        <w:t xml:space="preserve">. Nevojiten përgjigje sociale, me bazë në komunitet, duke përfshirë perspektivën gjinore, që ka synim në veçanti të rinjtë e </w:t>
      </w:r>
      <w:proofErr w:type="spellStart"/>
      <w:r w:rsidRPr="00A6284F">
        <w:rPr>
          <w:rFonts w:eastAsia="Times New Roman"/>
          <w:color w:val="000000"/>
          <w:spacing w:val="1"/>
          <w:sz w:val="24"/>
          <w:lang w:val="sq-AL"/>
        </w:rPr>
        <w:t>margjinalizuar</w:t>
      </w:r>
      <w:proofErr w:type="spellEnd"/>
      <w:r w:rsidRPr="00A6284F">
        <w:rPr>
          <w:rFonts w:eastAsia="Times New Roman"/>
          <w:color w:val="000000"/>
          <w:spacing w:val="1"/>
          <w:sz w:val="24"/>
          <w:lang w:val="sq-AL"/>
        </w:rPr>
        <w:t>.</w:t>
      </w:r>
    </w:p>
    <w:p w:rsidR="00CE1051" w:rsidRPr="00A6284F" w:rsidRDefault="00CE1051" w:rsidP="00CE1051">
      <w:pPr>
        <w:spacing w:before="4" w:line="249" w:lineRule="exact"/>
        <w:jc w:val="center"/>
        <w:textAlignment w:val="baseline"/>
        <w:rPr>
          <w:rFonts w:eastAsia="Times New Roman"/>
          <w:color w:val="000000"/>
          <w:sz w:val="24"/>
          <w:lang w:val="sq-AL"/>
        </w:rPr>
      </w:pPr>
    </w:p>
    <w:p w:rsidR="00CE1051" w:rsidRPr="00A6284F" w:rsidRDefault="00CE1051" w:rsidP="00CE105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Gjatë periudhës raportuese </w:t>
      </w:r>
      <w:r w:rsidR="002C49A8" w:rsidRPr="00A6284F">
        <w:rPr>
          <w:rFonts w:eastAsia="Times New Roman"/>
          <w:color w:val="000000"/>
          <w:spacing w:val="1"/>
          <w:sz w:val="24"/>
          <w:lang w:val="sq-AL"/>
        </w:rPr>
        <w:t xml:space="preserve">është bërë </w:t>
      </w:r>
      <w:r w:rsidRPr="00A6284F">
        <w:rPr>
          <w:rFonts w:eastAsia="Times New Roman"/>
          <w:color w:val="000000"/>
          <w:spacing w:val="1"/>
          <w:sz w:val="24"/>
          <w:lang w:val="sq-AL"/>
        </w:rPr>
        <w:t xml:space="preserve">përparim i konsiderueshëm në krijimin e kushteve më të mira për </w:t>
      </w:r>
      <w:r w:rsidRPr="00A6284F">
        <w:rPr>
          <w:rFonts w:eastAsia="Times New Roman"/>
          <w:b/>
          <w:color w:val="000000"/>
          <w:spacing w:val="1"/>
          <w:sz w:val="24"/>
          <w:lang w:val="sq-AL"/>
        </w:rPr>
        <w:t xml:space="preserve">rehabilitimin dhe </w:t>
      </w:r>
      <w:proofErr w:type="spellStart"/>
      <w:r w:rsidRPr="00A6284F">
        <w:rPr>
          <w:rFonts w:eastAsia="Times New Roman"/>
          <w:b/>
          <w:color w:val="000000"/>
          <w:spacing w:val="1"/>
          <w:sz w:val="24"/>
          <w:lang w:val="sq-AL"/>
        </w:rPr>
        <w:t>riintegrimin</w:t>
      </w:r>
      <w:proofErr w:type="spellEnd"/>
      <w:r w:rsidRPr="00A6284F">
        <w:rPr>
          <w:rFonts w:eastAsia="Times New Roman"/>
          <w:color w:val="000000"/>
          <w:spacing w:val="1"/>
          <w:sz w:val="24"/>
          <w:lang w:val="sq-AL"/>
        </w:rPr>
        <w:t xml:space="preserve">. Në vitin 2018, autoritetet krijuan një program brenda Shërbimit Korrektues. Përveç kësaj, Ministria e Punëve të Brendshme krijoi një Divizioni për Parandalim dhe </w:t>
      </w:r>
      <w:proofErr w:type="spellStart"/>
      <w:r w:rsidRPr="00A6284F">
        <w:rPr>
          <w:rFonts w:eastAsia="Times New Roman"/>
          <w:color w:val="000000"/>
          <w:spacing w:val="1"/>
          <w:sz w:val="24"/>
          <w:lang w:val="sq-AL"/>
        </w:rPr>
        <w:t>Riintegrimin</w:t>
      </w:r>
      <w:proofErr w:type="spellEnd"/>
      <w:r w:rsidRPr="00A6284F">
        <w:rPr>
          <w:rFonts w:eastAsia="Times New Roman"/>
          <w:color w:val="000000"/>
          <w:spacing w:val="1"/>
          <w:sz w:val="24"/>
          <w:lang w:val="sq-AL"/>
        </w:rPr>
        <w:t xml:space="preserve"> e Personave të </w:t>
      </w:r>
      <w:proofErr w:type="spellStart"/>
      <w:r w:rsidRPr="00A6284F">
        <w:rPr>
          <w:rFonts w:eastAsia="Times New Roman"/>
          <w:color w:val="000000"/>
          <w:spacing w:val="1"/>
          <w:sz w:val="24"/>
          <w:lang w:val="sq-AL"/>
        </w:rPr>
        <w:t>Radikalizuar</w:t>
      </w:r>
      <w:proofErr w:type="spellEnd"/>
      <w:r w:rsidRPr="00A6284F">
        <w:rPr>
          <w:rFonts w:eastAsia="Times New Roman"/>
          <w:color w:val="000000"/>
          <w:spacing w:val="1"/>
          <w:sz w:val="24"/>
          <w:lang w:val="sq-AL"/>
        </w:rPr>
        <w:t xml:space="preserve"> dhe krijoi një projekt program të riintegrimit.</w:t>
      </w:r>
      <w:r w:rsidR="007B0D01"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Autoritetet bashkëpunojnë me Bashkësinë Islame të Kosovës. </w:t>
      </w:r>
      <w:r w:rsidR="007B0D01" w:rsidRPr="00A6284F">
        <w:rPr>
          <w:rFonts w:eastAsia="Times New Roman"/>
          <w:color w:val="000000"/>
          <w:spacing w:val="1"/>
          <w:sz w:val="24"/>
          <w:lang w:val="sq-AL"/>
        </w:rPr>
        <w:t xml:space="preserve">Sa i përket </w:t>
      </w:r>
      <w:r w:rsidRPr="00A6284F">
        <w:rPr>
          <w:rFonts w:eastAsia="Times New Roman"/>
          <w:color w:val="000000"/>
          <w:spacing w:val="1"/>
          <w:sz w:val="24"/>
          <w:lang w:val="sq-AL"/>
        </w:rPr>
        <w:t>luftëtarë</w:t>
      </w:r>
      <w:r w:rsidR="007B0D01" w:rsidRPr="00A6284F">
        <w:rPr>
          <w:rFonts w:eastAsia="Times New Roman"/>
          <w:color w:val="000000"/>
          <w:spacing w:val="1"/>
          <w:sz w:val="24"/>
          <w:lang w:val="sq-AL"/>
        </w:rPr>
        <w:t>ve</w:t>
      </w:r>
      <w:r w:rsidRPr="00A6284F">
        <w:rPr>
          <w:rFonts w:eastAsia="Times New Roman"/>
          <w:color w:val="000000"/>
          <w:spacing w:val="1"/>
          <w:sz w:val="24"/>
          <w:lang w:val="sq-AL"/>
        </w:rPr>
        <w:t xml:space="preserve"> </w:t>
      </w:r>
      <w:r w:rsidR="007B0D01" w:rsidRPr="00A6284F">
        <w:rPr>
          <w:rFonts w:eastAsia="Times New Roman"/>
          <w:color w:val="000000"/>
          <w:spacing w:val="1"/>
          <w:sz w:val="24"/>
          <w:lang w:val="sq-AL"/>
        </w:rPr>
        <w:t xml:space="preserve">të </w:t>
      </w:r>
      <w:r w:rsidRPr="00A6284F">
        <w:rPr>
          <w:rFonts w:eastAsia="Times New Roman"/>
          <w:color w:val="000000"/>
          <w:spacing w:val="1"/>
          <w:sz w:val="24"/>
          <w:lang w:val="sq-AL"/>
        </w:rPr>
        <w:t>kthyer, nevojitet një politikë koherente gjyqësore e kombinuar me një qasje të koordinuar dhe të përkushtuar nga autoritetet. P</w:t>
      </w:r>
      <w:r w:rsidR="007B0D01" w:rsidRPr="00A6284F">
        <w:rPr>
          <w:rFonts w:eastAsia="Times New Roman"/>
          <w:color w:val="000000"/>
          <w:spacing w:val="1"/>
          <w:sz w:val="24"/>
          <w:lang w:val="sq-AL"/>
        </w:rPr>
        <w:t>e</w:t>
      </w:r>
      <w:r w:rsidRPr="00A6284F">
        <w:rPr>
          <w:rFonts w:eastAsia="Times New Roman"/>
          <w:color w:val="000000"/>
          <w:spacing w:val="1"/>
          <w:sz w:val="24"/>
          <w:lang w:val="sq-AL"/>
        </w:rPr>
        <w:t xml:space="preserve">rformanca e Divizionit të sapokrijuar në Ministrinë e Punëve të Brendshme do të jetë vendimtare në këtë drejtim, pasi që do të punojë ngushtë me të gjithë akterët për </w:t>
      </w:r>
      <w:proofErr w:type="spellStart"/>
      <w:r w:rsidRPr="00A6284F">
        <w:rPr>
          <w:rFonts w:eastAsia="Times New Roman"/>
          <w:color w:val="000000"/>
          <w:spacing w:val="1"/>
          <w:sz w:val="24"/>
          <w:lang w:val="sq-AL"/>
        </w:rPr>
        <w:t>riintegrimin</w:t>
      </w:r>
      <w:proofErr w:type="spellEnd"/>
      <w:r w:rsidRPr="00A6284F">
        <w:rPr>
          <w:rFonts w:eastAsia="Times New Roman"/>
          <w:color w:val="000000"/>
          <w:spacing w:val="1"/>
          <w:sz w:val="24"/>
          <w:lang w:val="sq-AL"/>
        </w:rPr>
        <w:t xml:space="preserve"> në baza individuale. Gjithashtu </w:t>
      </w:r>
      <w:r w:rsidR="007B0D01" w:rsidRPr="00A6284F">
        <w:rPr>
          <w:rFonts w:eastAsia="Times New Roman"/>
          <w:color w:val="000000"/>
          <w:spacing w:val="1"/>
          <w:sz w:val="24"/>
          <w:lang w:val="sq-AL"/>
        </w:rPr>
        <w:t xml:space="preserve">duhet të përmirësohet </w:t>
      </w:r>
      <w:r w:rsidRPr="00A6284F">
        <w:rPr>
          <w:rFonts w:eastAsia="Times New Roman"/>
          <w:color w:val="000000"/>
          <w:spacing w:val="1"/>
          <w:sz w:val="24"/>
          <w:lang w:val="sq-AL"/>
        </w:rPr>
        <w:t>bashkëpunim</w:t>
      </w:r>
      <w:r w:rsidR="007B0D01" w:rsidRPr="00A6284F">
        <w:rPr>
          <w:rFonts w:eastAsia="Times New Roman"/>
          <w:color w:val="000000"/>
          <w:spacing w:val="1"/>
          <w:sz w:val="24"/>
          <w:lang w:val="sq-AL"/>
        </w:rPr>
        <w:t>i</w:t>
      </w:r>
      <w:r w:rsidRPr="00A6284F">
        <w:rPr>
          <w:rFonts w:eastAsia="Times New Roman"/>
          <w:color w:val="000000"/>
          <w:spacing w:val="1"/>
          <w:sz w:val="24"/>
          <w:lang w:val="sq-AL"/>
        </w:rPr>
        <w:t xml:space="preserve"> mes organeve të zbatimit të ligjit dhe shërbimeve të inteligjencës, veçanërisht në rajonin e Ballkanit Perëndimor. Lidhjet e mundshme midis krimit të organizuar dhe terrorizmit duhet të vlerësohen më në detaje.</w:t>
      </w:r>
    </w:p>
    <w:p w:rsidR="00CE1051" w:rsidRPr="00A6284F" w:rsidRDefault="00CE1051" w:rsidP="00CE1051">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duhet të përqendrohet në </w:t>
      </w:r>
      <w:r w:rsidRPr="00A6284F">
        <w:rPr>
          <w:rFonts w:eastAsia="Times New Roman"/>
          <w:b/>
          <w:color w:val="000000"/>
          <w:sz w:val="24"/>
          <w:lang w:val="sq-AL"/>
        </w:rPr>
        <w:t>sistemin arsimor</w:t>
      </w:r>
      <w:r w:rsidRPr="00A6284F">
        <w:rPr>
          <w:rFonts w:eastAsia="Times New Roman"/>
          <w:color w:val="000000"/>
          <w:sz w:val="24"/>
          <w:lang w:val="sq-AL"/>
        </w:rPr>
        <w:t xml:space="preserve"> gjithëpërfshirës për të parandaluar </w:t>
      </w:r>
      <w:proofErr w:type="spellStart"/>
      <w:r w:rsidRPr="00A6284F">
        <w:rPr>
          <w:rFonts w:eastAsia="Times New Roman"/>
          <w:color w:val="000000"/>
          <w:sz w:val="24"/>
          <w:lang w:val="sq-AL"/>
        </w:rPr>
        <w:t>radikalizimin</w:t>
      </w:r>
      <w:proofErr w:type="spellEnd"/>
      <w:r w:rsidRPr="00A6284F">
        <w:rPr>
          <w:rFonts w:eastAsia="Times New Roman"/>
          <w:color w:val="000000"/>
          <w:sz w:val="24"/>
          <w:lang w:val="sq-AL"/>
        </w:rPr>
        <w:t xml:space="preserve"> e të rinjve të cenueshëm. Kosova ka </w:t>
      </w:r>
      <w:r w:rsidR="008C6612" w:rsidRPr="00A6284F">
        <w:rPr>
          <w:rFonts w:eastAsia="Times New Roman"/>
          <w:color w:val="000000"/>
          <w:sz w:val="24"/>
          <w:lang w:val="sq-AL"/>
        </w:rPr>
        <w:t xml:space="preserve">arritur </w:t>
      </w:r>
      <w:r w:rsidRPr="00A6284F">
        <w:rPr>
          <w:rFonts w:eastAsia="Times New Roman"/>
          <w:color w:val="000000"/>
          <w:sz w:val="24"/>
          <w:lang w:val="sq-AL"/>
        </w:rPr>
        <w:t>progres, përfshirë krijimin e një manuali të mësimdhënësve dhe trajnimin e gjerë të mësuesve (</w:t>
      </w:r>
      <w:r w:rsidRPr="00A6284F">
        <w:rPr>
          <w:rFonts w:eastAsia="Times New Roman"/>
          <w:i/>
          <w:color w:val="000000"/>
          <w:sz w:val="24"/>
          <w:lang w:val="sq-AL"/>
        </w:rPr>
        <w:t>shih pjesën për arsimin</w:t>
      </w:r>
      <w:r w:rsidRPr="00A6284F">
        <w:rPr>
          <w:rFonts w:eastAsia="Times New Roman"/>
          <w:color w:val="000000"/>
          <w:sz w:val="24"/>
          <w:lang w:val="sq-AL"/>
        </w:rPr>
        <w:t xml:space="preserve">). Ajo po merr pjesë në mënyrë aktive në </w:t>
      </w:r>
      <w:r w:rsidRPr="00A6284F">
        <w:rPr>
          <w:rFonts w:eastAsia="Times New Roman"/>
          <w:b/>
          <w:color w:val="000000"/>
          <w:sz w:val="24"/>
          <w:lang w:val="sq-AL"/>
        </w:rPr>
        <w:t xml:space="preserve">iniciativën Kundër Terrorizmit në Ballkanin Perëndimor </w:t>
      </w:r>
      <w:r w:rsidRPr="00A6284F">
        <w:rPr>
          <w:rFonts w:eastAsia="Times New Roman"/>
          <w:color w:val="000000"/>
          <w:sz w:val="24"/>
          <w:lang w:val="sq-AL"/>
        </w:rPr>
        <w:t>(</w:t>
      </w:r>
      <w:proofErr w:type="spellStart"/>
      <w:r w:rsidRPr="00A6284F">
        <w:rPr>
          <w:rFonts w:eastAsia="Times New Roman"/>
          <w:color w:val="000000"/>
          <w:sz w:val="24"/>
          <w:lang w:val="sq-AL"/>
        </w:rPr>
        <w:t>WBCTi</w:t>
      </w:r>
      <w:proofErr w:type="spellEnd"/>
      <w:r w:rsidRPr="00A6284F">
        <w:rPr>
          <w:rFonts w:eastAsia="Times New Roman"/>
          <w:color w:val="000000"/>
          <w:sz w:val="24"/>
          <w:lang w:val="sq-AL"/>
        </w:rPr>
        <w:t>).</w:t>
      </w:r>
    </w:p>
    <w:p w:rsidR="00CE1051" w:rsidRPr="00A6284F" w:rsidRDefault="00CE1051" w:rsidP="00CE1051">
      <w:pPr>
        <w:spacing w:before="125" w:line="274" w:lineRule="exact"/>
        <w:ind w:left="144"/>
        <w:textAlignment w:val="baseline"/>
        <w:rPr>
          <w:rFonts w:eastAsia="Times New Roman"/>
          <w:b/>
          <w:color w:val="000000"/>
          <w:sz w:val="24"/>
          <w:lang w:val="sq-AL"/>
        </w:rPr>
      </w:pPr>
      <w:r w:rsidRPr="00A6284F">
        <w:rPr>
          <w:rFonts w:eastAsia="Times New Roman"/>
          <w:b/>
          <w:color w:val="000000"/>
          <w:sz w:val="24"/>
          <w:lang w:val="sq-AL"/>
        </w:rPr>
        <w:t>Migrimi i ligjshëm dhe ai i parregullt</w:t>
      </w:r>
    </w:p>
    <w:p w:rsidR="00CE1051" w:rsidRPr="00A6284F" w:rsidRDefault="00CE1051" w:rsidP="00CE1051">
      <w:pPr>
        <w:spacing w:before="119"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Struktura institucionale dhe harmonizimi ligjor </w:t>
      </w:r>
    </w:p>
    <w:p w:rsidR="00CE1051"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Departamenti për Shtetësi, Azil dhe Migrim në Ministrinë e Punëve të Brendshme është përgjegjës për zbatimin e politikës së migrimit. Drejtoria për Migrim dhe të Huaj në Policinë Kufitare të Kosovës merret me </w:t>
      </w:r>
      <w:proofErr w:type="spellStart"/>
      <w:r w:rsidRPr="00A6284F">
        <w:rPr>
          <w:rFonts w:eastAsia="Times New Roman"/>
          <w:color w:val="000000"/>
          <w:sz w:val="24"/>
          <w:lang w:val="sq-AL"/>
        </w:rPr>
        <w:t>migrantët</w:t>
      </w:r>
      <w:proofErr w:type="spellEnd"/>
      <w:r w:rsidRPr="00A6284F">
        <w:rPr>
          <w:rFonts w:eastAsia="Times New Roman"/>
          <w:color w:val="000000"/>
          <w:sz w:val="24"/>
          <w:lang w:val="sq-AL"/>
        </w:rPr>
        <w:t xml:space="preserve"> e parregullt. Pas rishikimeve ligjore të mëhershme, </w:t>
      </w:r>
      <w:r w:rsidRPr="00A6284F">
        <w:rPr>
          <w:rFonts w:eastAsia="Times New Roman"/>
          <w:b/>
          <w:color w:val="000000"/>
          <w:sz w:val="24"/>
          <w:lang w:val="sq-AL"/>
        </w:rPr>
        <w:t>korniza ligjore</w:t>
      </w:r>
      <w:r w:rsidRPr="00A6284F">
        <w:rPr>
          <w:rFonts w:eastAsia="Times New Roman"/>
          <w:color w:val="000000"/>
          <w:sz w:val="24"/>
          <w:lang w:val="sq-AL"/>
        </w:rPr>
        <w:t xml:space="preserve"> është kryesisht në përputhje me </w:t>
      </w:r>
      <w:r w:rsidRPr="00A6284F">
        <w:rPr>
          <w:rFonts w:eastAsia="Times New Roman"/>
          <w:i/>
          <w:color w:val="000000"/>
          <w:sz w:val="24"/>
          <w:lang w:val="sq-AL"/>
        </w:rPr>
        <w:t>acquis</w:t>
      </w:r>
      <w:r w:rsidRPr="00A6284F">
        <w:rPr>
          <w:rFonts w:eastAsia="Times New Roman"/>
          <w:color w:val="000000"/>
          <w:sz w:val="24"/>
          <w:lang w:val="sq-AL"/>
        </w:rPr>
        <w:t xml:space="preserve">. Megjithatë, një numër udhëzimesh administrative ende janë në pritje të miratimit.  </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 ka nënshkruar marrëveshje për</w:t>
      </w:r>
      <w:r w:rsidR="00280B1E" w:rsidRPr="00A6284F">
        <w:rPr>
          <w:rFonts w:eastAsia="Times New Roman"/>
          <w:color w:val="000000"/>
          <w:sz w:val="24"/>
          <w:lang w:val="sq-AL"/>
        </w:rPr>
        <w:t xml:space="preserve"> </w:t>
      </w:r>
      <w:r w:rsidRPr="00A6284F">
        <w:rPr>
          <w:rFonts w:eastAsia="Times New Roman"/>
          <w:b/>
          <w:color w:val="000000"/>
          <w:sz w:val="24"/>
          <w:lang w:val="sq-AL"/>
        </w:rPr>
        <w:t>ri</w:t>
      </w:r>
      <w:r w:rsidR="00280B1E" w:rsidRPr="00A6284F">
        <w:rPr>
          <w:rFonts w:eastAsia="Times New Roman"/>
          <w:b/>
          <w:color w:val="000000"/>
          <w:sz w:val="24"/>
          <w:lang w:val="sq-AL"/>
        </w:rPr>
        <w:t>-</w:t>
      </w:r>
      <w:r w:rsidRPr="00A6284F">
        <w:rPr>
          <w:rFonts w:eastAsia="Times New Roman"/>
          <w:b/>
          <w:color w:val="000000"/>
          <w:sz w:val="24"/>
          <w:lang w:val="sq-AL"/>
        </w:rPr>
        <w:t>pranim</w:t>
      </w:r>
      <w:r w:rsidRPr="00A6284F">
        <w:rPr>
          <w:rFonts w:eastAsia="Times New Roman"/>
          <w:color w:val="000000"/>
          <w:sz w:val="24"/>
          <w:lang w:val="sq-AL"/>
        </w:rPr>
        <w:t xml:space="preserve"> me 24 shtete, duke përfshirë 20 Shtete Anëtare të BE dhe anëtarë të zonës </w:t>
      </w:r>
      <w:proofErr w:type="spellStart"/>
      <w:r w:rsidRPr="00A6284F">
        <w:rPr>
          <w:rFonts w:eastAsia="Times New Roman"/>
          <w:color w:val="000000"/>
          <w:sz w:val="24"/>
          <w:lang w:val="sq-AL"/>
        </w:rPr>
        <w:t>Shengen</w:t>
      </w:r>
      <w:proofErr w:type="spellEnd"/>
      <w:r w:rsidRPr="00A6284F">
        <w:rPr>
          <w:rFonts w:eastAsia="Times New Roman"/>
          <w:color w:val="000000"/>
          <w:sz w:val="24"/>
          <w:lang w:val="sq-AL"/>
        </w:rPr>
        <w:t>. Në periudhën raportuese nuk</w:t>
      </w:r>
      <w:r w:rsidR="00280B1E" w:rsidRPr="00A6284F">
        <w:rPr>
          <w:rFonts w:eastAsia="Times New Roman"/>
          <w:color w:val="000000"/>
          <w:sz w:val="24"/>
          <w:lang w:val="sq-AL"/>
        </w:rPr>
        <w:t xml:space="preserve"> </w:t>
      </w:r>
      <w:r w:rsidRPr="00A6284F">
        <w:rPr>
          <w:rFonts w:eastAsia="Times New Roman"/>
          <w:color w:val="000000"/>
          <w:sz w:val="24"/>
          <w:lang w:val="sq-AL"/>
        </w:rPr>
        <w:t>janë nënshkruar marrëveshje të reja ri</w:t>
      </w:r>
      <w:r w:rsidR="00937580" w:rsidRPr="00A6284F">
        <w:rPr>
          <w:rFonts w:eastAsia="Times New Roman"/>
          <w:color w:val="000000"/>
          <w:sz w:val="24"/>
          <w:lang w:val="sq-AL"/>
        </w:rPr>
        <w:t>-</w:t>
      </w:r>
      <w:r w:rsidRPr="00A6284F">
        <w:rPr>
          <w:rFonts w:eastAsia="Times New Roman"/>
          <w:color w:val="000000"/>
          <w:sz w:val="24"/>
          <w:lang w:val="sq-AL"/>
        </w:rPr>
        <w:t>pranimi, por Kosova ka kërkuar të nis negociata</w:t>
      </w:r>
      <w:r w:rsidR="00937580" w:rsidRPr="00A6284F">
        <w:rPr>
          <w:rFonts w:eastAsia="Times New Roman"/>
          <w:color w:val="000000"/>
          <w:sz w:val="24"/>
          <w:lang w:val="sq-AL"/>
        </w:rPr>
        <w:t>t</w:t>
      </w:r>
      <w:r w:rsidRPr="00A6284F">
        <w:rPr>
          <w:rFonts w:eastAsia="Times New Roman"/>
          <w:color w:val="000000"/>
          <w:sz w:val="24"/>
          <w:lang w:val="sq-AL"/>
        </w:rPr>
        <w:t xml:space="preserve"> për marrëveshje të</w:t>
      </w:r>
      <w:r w:rsidR="00280B1E" w:rsidRPr="00A6284F">
        <w:rPr>
          <w:rFonts w:eastAsia="Times New Roman"/>
          <w:color w:val="000000"/>
          <w:sz w:val="24"/>
          <w:lang w:val="sq-AL"/>
        </w:rPr>
        <w:t xml:space="preserve"> </w:t>
      </w:r>
      <w:r w:rsidRPr="00A6284F">
        <w:rPr>
          <w:rFonts w:eastAsia="Times New Roman"/>
          <w:color w:val="000000"/>
          <w:sz w:val="24"/>
          <w:lang w:val="sq-AL"/>
        </w:rPr>
        <w:t>ri</w:t>
      </w:r>
      <w:r w:rsidR="00280B1E" w:rsidRPr="00A6284F">
        <w:rPr>
          <w:rFonts w:eastAsia="Times New Roman"/>
          <w:color w:val="000000"/>
          <w:sz w:val="24"/>
          <w:lang w:val="sq-AL"/>
        </w:rPr>
        <w:t>-</w:t>
      </w:r>
      <w:r w:rsidRPr="00A6284F">
        <w:rPr>
          <w:rFonts w:eastAsia="Times New Roman"/>
          <w:color w:val="000000"/>
          <w:sz w:val="24"/>
          <w:lang w:val="sq-AL"/>
        </w:rPr>
        <w:t xml:space="preserve">pranimit me gjashtë shtete </w:t>
      </w:r>
      <w:r w:rsidR="00937580" w:rsidRPr="00A6284F">
        <w:rPr>
          <w:rFonts w:eastAsia="Times New Roman"/>
          <w:color w:val="000000"/>
          <w:sz w:val="24"/>
          <w:lang w:val="sq-AL"/>
        </w:rPr>
        <w:t xml:space="preserve">të tjera </w:t>
      </w:r>
      <w:r w:rsidRPr="00A6284F">
        <w:rPr>
          <w:rFonts w:eastAsia="Times New Roman"/>
          <w:color w:val="000000"/>
          <w:sz w:val="24"/>
          <w:lang w:val="sq-AL"/>
        </w:rPr>
        <w:t>anëtare të BE-së dhe tre vende jo anëtare të BE-së. Ndërsa nuk ekziston ndonjë marrëveshje me BE si tërësi.</w:t>
      </w:r>
    </w:p>
    <w:p w:rsidR="00CE1051" w:rsidRPr="00A6284F" w:rsidRDefault="00CE1051" w:rsidP="00CE105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Miratimi i </w:t>
      </w:r>
      <w:r w:rsidR="00937580" w:rsidRPr="00A6284F">
        <w:rPr>
          <w:rFonts w:eastAsia="Times New Roman"/>
          <w:b/>
          <w:color w:val="000000"/>
          <w:spacing w:val="-1"/>
          <w:sz w:val="24"/>
          <w:lang w:val="sq-AL"/>
        </w:rPr>
        <w:t xml:space="preserve">strategjisë së re </w:t>
      </w:r>
      <w:r w:rsidRPr="00A6284F">
        <w:rPr>
          <w:rFonts w:eastAsia="Times New Roman"/>
          <w:b/>
          <w:color w:val="000000"/>
          <w:spacing w:val="-1"/>
          <w:sz w:val="24"/>
          <w:lang w:val="sq-AL"/>
        </w:rPr>
        <w:t>dhe plani</w:t>
      </w:r>
      <w:r w:rsidR="00937580" w:rsidRPr="00A6284F">
        <w:rPr>
          <w:rFonts w:eastAsia="Times New Roman"/>
          <w:b/>
          <w:color w:val="000000"/>
          <w:spacing w:val="-1"/>
          <w:sz w:val="24"/>
          <w:lang w:val="sq-AL"/>
        </w:rPr>
        <w:t>t</w:t>
      </w:r>
      <w:r w:rsidRPr="00A6284F">
        <w:rPr>
          <w:rFonts w:eastAsia="Times New Roman"/>
          <w:b/>
          <w:color w:val="000000"/>
          <w:spacing w:val="-1"/>
          <w:sz w:val="24"/>
          <w:lang w:val="sq-AL"/>
        </w:rPr>
        <w:t xml:space="preserve"> të veprimit</w:t>
      </w:r>
      <w:r w:rsidRPr="00A6284F">
        <w:rPr>
          <w:rFonts w:eastAsia="Times New Roman"/>
          <w:color w:val="000000"/>
          <w:spacing w:val="-1"/>
          <w:sz w:val="24"/>
          <w:lang w:val="sq-AL"/>
        </w:rPr>
        <w:t xml:space="preserve"> 2019-2023 </w:t>
      </w:r>
      <w:r w:rsidR="00937580" w:rsidRPr="00A6284F">
        <w:rPr>
          <w:rFonts w:eastAsia="Times New Roman"/>
          <w:color w:val="000000"/>
          <w:spacing w:val="-1"/>
          <w:sz w:val="24"/>
          <w:lang w:val="sq-AL"/>
        </w:rPr>
        <w:t xml:space="preserve">mbi </w:t>
      </w:r>
      <w:r w:rsidRPr="00A6284F">
        <w:rPr>
          <w:rFonts w:eastAsia="Times New Roman"/>
          <w:color w:val="000000"/>
          <w:spacing w:val="-1"/>
          <w:sz w:val="24"/>
          <w:lang w:val="sq-AL"/>
        </w:rPr>
        <w:t>migrimin është në pritje. Kjo strategji dhe plan</w:t>
      </w:r>
      <w:r w:rsidR="00937580" w:rsidRPr="00A6284F">
        <w:rPr>
          <w:rFonts w:eastAsia="Times New Roman"/>
          <w:color w:val="000000"/>
          <w:spacing w:val="-1"/>
          <w:sz w:val="24"/>
          <w:lang w:val="sq-AL"/>
        </w:rPr>
        <w:t>i i</w:t>
      </w:r>
      <w:r w:rsidRPr="00A6284F">
        <w:rPr>
          <w:rFonts w:eastAsia="Times New Roman"/>
          <w:color w:val="000000"/>
          <w:spacing w:val="-1"/>
          <w:sz w:val="24"/>
          <w:lang w:val="sq-AL"/>
        </w:rPr>
        <w:t xml:space="preserve"> veprimi</w:t>
      </w:r>
      <w:r w:rsidR="00937580" w:rsidRPr="00A6284F">
        <w:rPr>
          <w:rFonts w:eastAsia="Times New Roman"/>
          <w:color w:val="000000"/>
          <w:spacing w:val="-1"/>
          <w:sz w:val="24"/>
          <w:lang w:val="sq-AL"/>
        </w:rPr>
        <w:t>t</w:t>
      </w:r>
      <w:r w:rsidRPr="00A6284F">
        <w:rPr>
          <w:rFonts w:eastAsia="Times New Roman"/>
          <w:color w:val="000000"/>
          <w:spacing w:val="-1"/>
          <w:sz w:val="24"/>
          <w:lang w:val="sq-AL"/>
        </w:rPr>
        <w:t xml:space="preserve"> parash</w:t>
      </w:r>
      <w:r w:rsidR="00937580" w:rsidRPr="00A6284F">
        <w:rPr>
          <w:rFonts w:eastAsia="Times New Roman"/>
          <w:color w:val="000000"/>
          <w:spacing w:val="-1"/>
          <w:sz w:val="24"/>
          <w:lang w:val="sq-AL"/>
        </w:rPr>
        <w:t xml:space="preserve">ohin </w:t>
      </w:r>
      <w:r w:rsidRPr="00A6284F">
        <w:rPr>
          <w:rFonts w:eastAsia="Times New Roman"/>
          <w:color w:val="000000"/>
          <w:spacing w:val="-1"/>
          <w:sz w:val="24"/>
          <w:lang w:val="sq-AL"/>
        </w:rPr>
        <w:t xml:space="preserve">një mekanizëm të zgjeruar të monitorimit të </w:t>
      </w:r>
      <w:r w:rsidRPr="00A6284F">
        <w:rPr>
          <w:rFonts w:eastAsia="Times New Roman"/>
          <w:color w:val="000000"/>
          <w:spacing w:val="-1"/>
          <w:sz w:val="24"/>
          <w:lang w:val="sq-AL"/>
        </w:rPr>
        <w:lastRenderedPageBreak/>
        <w:t xml:space="preserve">zbatimit, me pika të kontaktit në të gjitha institucionet pjesëmarrëse nën udhëheqjen e Autoritetit Qeveritar për Migrim. Kjo pritet të përmirësojë më tutje shkëmbimin e </w:t>
      </w:r>
      <w:r w:rsidR="00937580" w:rsidRPr="00A6284F">
        <w:rPr>
          <w:rFonts w:eastAsia="Times New Roman"/>
          <w:color w:val="000000"/>
          <w:spacing w:val="-1"/>
          <w:sz w:val="24"/>
          <w:lang w:val="sq-AL"/>
        </w:rPr>
        <w:t>informatave</w:t>
      </w:r>
      <w:r w:rsidRPr="00A6284F">
        <w:rPr>
          <w:rFonts w:eastAsia="Times New Roman"/>
          <w:color w:val="000000"/>
          <w:spacing w:val="-1"/>
          <w:sz w:val="24"/>
          <w:lang w:val="sq-AL"/>
        </w:rPr>
        <w:t xml:space="preserve"> dhe koordinimin ndërinstitucional. Profilet e migrimit të hartuara dhe të miratuara në vitin 2018 përmbajnë një analizë të gjerë të </w:t>
      </w:r>
      <w:r w:rsidR="00644F64" w:rsidRPr="00A6284F">
        <w:rPr>
          <w:rFonts w:eastAsia="Times New Roman"/>
          <w:color w:val="000000"/>
          <w:spacing w:val="-1"/>
          <w:sz w:val="24"/>
          <w:lang w:val="sq-AL"/>
        </w:rPr>
        <w:t xml:space="preserve">thukët </w:t>
      </w:r>
      <w:r w:rsidRPr="00A6284F">
        <w:rPr>
          <w:rFonts w:eastAsia="Times New Roman"/>
          <w:color w:val="000000"/>
          <w:spacing w:val="-1"/>
          <w:sz w:val="24"/>
          <w:lang w:val="sq-AL"/>
        </w:rPr>
        <w:t>të</w:t>
      </w:r>
      <w:r w:rsidR="00417E15" w:rsidRPr="00A6284F">
        <w:rPr>
          <w:rFonts w:eastAsia="Times New Roman"/>
          <w:color w:val="000000"/>
          <w:spacing w:val="-1"/>
          <w:sz w:val="24"/>
          <w:lang w:val="sq-AL"/>
        </w:rPr>
        <w:t xml:space="preserve"> </w:t>
      </w:r>
      <w:proofErr w:type="spellStart"/>
      <w:r w:rsidR="00417E15" w:rsidRPr="00A6284F">
        <w:rPr>
          <w:rFonts w:eastAsia="Times New Roman"/>
          <w:color w:val="000000"/>
          <w:spacing w:val="-1"/>
          <w:sz w:val="24"/>
          <w:lang w:val="sq-AL"/>
        </w:rPr>
        <w:t>të</w:t>
      </w:r>
      <w:proofErr w:type="spellEnd"/>
      <w:r w:rsidR="00417E15" w:rsidRPr="00A6284F">
        <w:rPr>
          <w:rFonts w:eastAsia="Times New Roman"/>
          <w:color w:val="000000"/>
          <w:spacing w:val="-1"/>
          <w:sz w:val="24"/>
          <w:lang w:val="sq-AL"/>
        </w:rPr>
        <w:t xml:space="preserve"> </w:t>
      </w:r>
      <w:r w:rsidRPr="00A6284F">
        <w:rPr>
          <w:rFonts w:eastAsia="Times New Roman"/>
          <w:color w:val="000000"/>
          <w:spacing w:val="-1"/>
          <w:sz w:val="24"/>
          <w:lang w:val="sq-AL"/>
        </w:rPr>
        <w:t>dhënave të migrimit dhe fak</w:t>
      </w:r>
      <w:r w:rsidR="00937580" w:rsidRPr="00A6284F">
        <w:rPr>
          <w:rFonts w:eastAsia="Times New Roman"/>
          <w:color w:val="000000"/>
          <w:spacing w:val="-1"/>
          <w:sz w:val="24"/>
          <w:lang w:val="sq-AL"/>
        </w:rPr>
        <w:t xml:space="preserve">torëve "shtytës" dhe "tërheqës" </w:t>
      </w:r>
      <w:r w:rsidRPr="00A6284F">
        <w:rPr>
          <w:rFonts w:eastAsia="Times New Roman"/>
          <w:color w:val="000000"/>
          <w:spacing w:val="-1"/>
          <w:sz w:val="24"/>
          <w:lang w:val="sq-AL"/>
        </w:rPr>
        <w:t>së bashku me rekomandimet dhe udhëzimet e politikave.</w:t>
      </w:r>
      <w:r w:rsidR="00644F64"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Si hap i parë pozitiv, ata u përdorën në formulimin e strategjisë së re dhe planit të veprimit. Megjithatë, strategjia e re u hartua pa ndonjë vlerësim të thellë paraprak të strategjisë 2013-2018. Autoriteti Qeveritar është në pozitë ideale për të marrë një rol udhëheqës më </w:t>
      </w:r>
      <w:proofErr w:type="spellStart"/>
      <w:r w:rsidRPr="00A6284F">
        <w:rPr>
          <w:rFonts w:eastAsia="Times New Roman"/>
          <w:color w:val="000000"/>
          <w:spacing w:val="-1"/>
          <w:sz w:val="24"/>
          <w:lang w:val="sq-AL"/>
        </w:rPr>
        <w:t>proaktiv</w:t>
      </w:r>
      <w:proofErr w:type="spellEnd"/>
      <w:r w:rsidRPr="00A6284F">
        <w:rPr>
          <w:rFonts w:eastAsia="Times New Roman"/>
          <w:color w:val="000000"/>
          <w:spacing w:val="-1"/>
          <w:sz w:val="24"/>
          <w:lang w:val="sq-AL"/>
        </w:rPr>
        <w:t>. Një statut i ri për këtë organ po përgatitet dhe duhet të miratohet nga qeveria. Mandati i tij duhet të forcojë më tej rolin e vetë dhe të qartësojë përbërjen dhe funksionin e tij.</w:t>
      </w:r>
    </w:p>
    <w:p w:rsidR="00CE1051" w:rsidRPr="00A6284F" w:rsidRDefault="00CE1051" w:rsidP="00CE1051">
      <w:pPr>
        <w:spacing w:before="126" w:line="274" w:lineRule="exact"/>
        <w:ind w:left="144"/>
        <w:textAlignment w:val="baseline"/>
        <w:rPr>
          <w:lang w:val="sq-AL"/>
        </w:rPr>
      </w:pPr>
      <w:r w:rsidRPr="00A6284F">
        <w:rPr>
          <w:rFonts w:eastAsia="Times New Roman"/>
          <w:color w:val="000000"/>
          <w:sz w:val="24"/>
          <w:u w:val="single"/>
          <w:lang w:val="sq-AL"/>
        </w:rPr>
        <w:t>Implementimi</w:t>
      </w:r>
      <w:r w:rsidR="00644F64" w:rsidRPr="00A6284F">
        <w:rPr>
          <w:rFonts w:eastAsia="Times New Roman"/>
          <w:color w:val="000000"/>
          <w:sz w:val="24"/>
          <w:u w:val="single"/>
          <w:lang w:val="sq-AL"/>
        </w:rPr>
        <w:t xml:space="preserve"> </w:t>
      </w:r>
      <w:r w:rsidRPr="00A6284F">
        <w:rPr>
          <w:rFonts w:eastAsia="Times New Roman"/>
          <w:color w:val="000000"/>
          <w:sz w:val="24"/>
          <w:u w:val="single"/>
          <w:lang w:val="sq-AL"/>
        </w:rPr>
        <w:t>dhe</w:t>
      </w:r>
      <w:r w:rsidR="00644F64" w:rsidRPr="00A6284F">
        <w:rPr>
          <w:rFonts w:eastAsia="Times New Roman"/>
          <w:color w:val="000000"/>
          <w:sz w:val="24"/>
          <w:u w:val="single"/>
          <w:lang w:val="sq-AL"/>
        </w:rPr>
        <w:t xml:space="preserve"> </w:t>
      </w:r>
      <w:r w:rsidRPr="00A6284F">
        <w:rPr>
          <w:rFonts w:eastAsia="Times New Roman"/>
          <w:color w:val="000000"/>
          <w:sz w:val="24"/>
          <w:u w:val="single"/>
          <w:lang w:val="sq-AL"/>
        </w:rPr>
        <w:t>kapaciteti</w:t>
      </w:r>
      <w:r w:rsidR="00644F64" w:rsidRPr="00A6284F">
        <w:rPr>
          <w:rFonts w:eastAsia="Times New Roman"/>
          <w:color w:val="000000"/>
          <w:sz w:val="24"/>
          <w:u w:val="single"/>
          <w:lang w:val="sq-AL"/>
        </w:rPr>
        <w:t xml:space="preserve"> </w:t>
      </w:r>
      <w:r w:rsidRPr="00A6284F">
        <w:rPr>
          <w:rFonts w:eastAsia="Times New Roman"/>
          <w:color w:val="000000"/>
          <w:sz w:val="24"/>
          <w:u w:val="single"/>
          <w:lang w:val="sq-AL"/>
        </w:rPr>
        <w:t>zbatues</w:t>
      </w:r>
    </w:p>
    <w:p w:rsidR="00CE1051" w:rsidRPr="00A6284F" w:rsidRDefault="00CE1051" w:rsidP="00644F64">
      <w:pPr>
        <w:spacing w:before="13" w:line="249" w:lineRule="exact"/>
        <w:ind w:left="144"/>
        <w:jc w:val="both"/>
        <w:textAlignment w:val="baseline"/>
        <w:rPr>
          <w:rFonts w:eastAsia="Times New Roman"/>
          <w:color w:val="000000"/>
          <w:spacing w:val="41"/>
          <w:lang w:val="sq-AL"/>
        </w:rPr>
      </w:pPr>
      <w:r w:rsidRPr="00A6284F">
        <w:rPr>
          <w:rFonts w:eastAsia="Times New Roman"/>
          <w:color w:val="000000"/>
          <w:spacing w:val="-1"/>
          <w:sz w:val="24"/>
          <w:lang w:val="sq-AL"/>
        </w:rPr>
        <w:t xml:space="preserve">Gjithsej </w:t>
      </w:r>
      <w:r w:rsidRPr="00A6284F">
        <w:rPr>
          <w:rFonts w:eastAsia="Times New Roman"/>
          <w:b/>
          <w:color w:val="000000"/>
          <w:spacing w:val="-1"/>
          <w:sz w:val="24"/>
          <w:lang w:val="sq-AL"/>
        </w:rPr>
        <w:t>595 emigrantë kanë hyrë në Kosovë në mënyrë të parregullt</w:t>
      </w:r>
      <w:r w:rsidRPr="00A6284F">
        <w:rPr>
          <w:rFonts w:eastAsia="Times New Roman"/>
          <w:color w:val="000000"/>
          <w:spacing w:val="-1"/>
          <w:sz w:val="24"/>
          <w:lang w:val="sq-AL"/>
        </w:rPr>
        <w:t xml:space="preserve"> në vitin 2018, prej të cilëve 518 u strehuan në qendrën e azilit. Tre kombësitë kryesore në këtë përbërje ishin sirianët, palestinezët dhe turqit. Gjithsej 46 persona u mbajtën në qendrën e paraburgimit në vitin 2018, nga të cilët 42 u kthyen me forcë në vendin e tyre të origjinës. Ndërsa dy kërkuan që të ktheheshin vullnetarisht në vendin e tyre të origjinës. Këto ishin rastet e para të kthimit të asistuar vullnetar nga Kosova. Shumica e individëve u kthyen brenda një periudhe të arsyeshme kohore (ndërmjet 1 dite dhe 11 muajve). Dy persona ishin ende në qendrën e ndalimit në fund të vitit 2018. Operacionet e kthimit vazhdojnë të pengohen nga çështjet e lidhura me statusin. Megjithëkëtë, Kosova duhet të bëjë përpjekje të mëtejshme për të krijuar një mekanizëm kthimi për </w:t>
      </w:r>
      <w:proofErr w:type="spellStart"/>
      <w:r w:rsidRPr="00A6284F">
        <w:rPr>
          <w:rFonts w:eastAsia="Times New Roman"/>
          <w:color w:val="000000"/>
          <w:spacing w:val="-1"/>
          <w:sz w:val="24"/>
          <w:lang w:val="sq-AL"/>
        </w:rPr>
        <w:t>migrantët</w:t>
      </w:r>
      <w:proofErr w:type="spellEnd"/>
      <w:r w:rsidRPr="00A6284F">
        <w:rPr>
          <w:rFonts w:eastAsia="Times New Roman"/>
          <w:color w:val="000000"/>
          <w:spacing w:val="-1"/>
          <w:sz w:val="24"/>
          <w:lang w:val="sq-AL"/>
        </w:rPr>
        <w:t xml:space="preserve"> e parregullt në përputhje me standardet dhe praktikat e BE-së.</w:t>
      </w:r>
    </w:p>
    <w:p w:rsidR="00CE1051" w:rsidRPr="00A6284F" w:rsidRDefault="00CE1051" w:rsidP="00CE1051">
      <w:pPr>
        <w:spacing w:before="13" w:line="249" w:lineRule="exact"/>
        <w:jc w:val="center"/>
        <w:textAlignment w:val="baseline"/>
        <w:rPr>
          <w:rFonts w:eastAsia="Times New Roman"/>
          <w:color w:val="000000"/>
          <w:spacing w:val="41"/>
          <w:lang w:val="sq-AL"/>
        </w:rPr>
      </w:pPr>
    </w:p>
    <w:p w:rsidR="00CE1051" w:rsidRPr="00A6284F" w:rsidRDefault="00CE1051" w:rsidP="00CE1051">
      <w:pPr>
        <w:spacing w:before="119" w:after="39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Ofrimi i kujdesit dhe sigurisë së duhur për grupet më të cenueshme të emigrantëve ende mbetet sfid</w:t>
      </w:r>
      <w:r w:rsidR="001A41FC" w:rsidRPr="00A6284F">
        <w:rPr>
          <w:rFonts w:eastAsia="Times New Roman"/>
          <w:color w:val="000000"/>
          <w:sz w:val="24"/>
          <w:lang w:val="sq-AL"/>
        </w:rPr>
        <w:t>ues</w:t>
      </w:r>
      <w:r w:rsidRPr="00A6284F">
        <w:rPr>
          <w:rFonts w:eastAsia="Times New Roman"/>
          <w:color w:val="000000"/>
          <w:sz w:val="24"/>
          <w:lang w:val="sq-AL"/>
        </w:rPr>
        <w:t xml:space="preserve">. Janë ndërmarrë masa për parandaluar </w:t>
      </w:r>
      <w:r w:rsidR="00BE0F6B" w:rsidRPr="00A6284F">
        <w:rPr>
          <w:rFonts w:eastAsia="Times New Roman"/>
          <w:color w:val="000000"/>
          <w:sz w:val="24"/>
          <w:lang w:val="sq-AL"/>
        </w:rPr>
        <w:t xml:space="preserve">infiltrimin e </w:t>
      </w:r>
      <w:r w:rsidRPr="00A6284F">
        <w:rPr>
          <w:rFonts w:eastAsia="Times New Roman"/>
          <w:b/>
          <w:color w:val="000000"/>
          <w:sz w:val="24"/>
          <w:lang w:val="sq-AL"/>
        </w:rPr>
        <w:t>kontrabandistë</w:t>
      </w:r>
      <w:r w:rsidR="00BE0F6B" w:rsidRPr="00A6284F">
        <w:rPr>
          <w:rFonts w:eastAsia="Times New Roman"/>
          <w:b/>
          <w:color w:val="000000"/>
          <w:sz w:val="24"/>
          <w:lang w:val="sq-AL"/>
        </w:rPr>
        <w:t xml:space="preserve">ve të </w:t>
      </w:r>
      <w:proofErr w:type="spellStart"/>
      <w:r w:rsidRPr="00A6284F">
        <w:rPr>
          <w:rFonts w:eastAsia="Times New Roman"/>
          <w:b/>
          <w:color w:val="000000"/>
          <w:sz w:val="24"/>
          <w:lang w:val="sq-AL"/>
        </w:rPr>
        <w:t>migrantëve</w:t>
      </w:r>
      <w:proofErr w:type="spellEnd"/>
      <w:r w:rsidR="001A41FC" w:rsidRPr="00A6284F">
        <w:rPr>
          <w:rFonts w:eastAsia="Times New Roman"/>
          <w:b/>
          <w:color w:val="000000"/>
          <w:sz w:val="24"/>
          <w:lang w:val="sq-AL"/>
        </w:rPr>
        <w:t xml:space="preserve"> </w:t>
      </w:r>
      <w:r w:rsidRPr="00A6284F">
        <w:rPr>
          <w:rFonts w:eastAsia="Times New Roman"/>
          <w:color w:val="000000"/>
          <w:sz w:val="24"/>
          <w:lang w:val="sq-AL"/>
        </w:rPr>
        <w:t>infiltrohen në qendër.</w:t>
      </w:r>
      <w:r w:rsidR="00BE0F6B" w:rsidRPr="00A6284F">
        <w:rPr>
          <w:rFonts w:eastAsia="Times New Roman"/>
          <w:color w:val="000000"/>
          <w:sz w:val="24"/>
          <w:lang w:val="sq-AL"/>
        </w:rPr>
        <w:t xml:space="preserve"> </w:t>
      </w:r>
      <w:r w:rsidRPr="00A6284F">
        <w:rPr>
          <w:rFonts w:eastAsia="Times New Roman"/>
          <w:color w:val="000000"/>
          <w:sz w:val="24"/>
          <w:lang w:val="sq-AL"/>
        </w:rPr>
        <w:t>Rrjetet e kontrabandistëve nga Kosova lehtësojnë lëvizjet dytësore të emigrantëve të parregullt nga pikat hyrëse drejtë rrugëve ballkanike.</w:t>
      </w:r>
      <w:r w:rsidR="00BE0F6B" w:rsidRPr="00A6284F">
        <w:rPr>
          <w:rFonts w:eastAsia="Times New Roman"/>
          <w:color w:val="000000"/>
          <w:sz w:val="24"/>
          <w:lang w:val="sq-AL"/>
        </w:rPr>
        <w:t xml:space="preserve"> </w:t>
      </w:r>
      <w:r w:rsidRPr="00A6284F">
        <w:rPr>
          <w:rFonts w:eastAsia="Times New Roman"/>
          <w:color w:val="000000"/>
          <w:sz w:val="24"/>
          <w:lang w:val="sq-AL"/>
        </w:rPr>
        <w:t xml:space="preserve">Në periudhën raportuese, Policia e Kosovës ka hetuar 21 raste të </w:t>
      </w:r>
      <w:proofErr w:type="spellStart"/>
      <w:r w:rsidRPr="00A6284F">
        <w:rPr>
          <w:rFonts w:eastAsia="Times New Roman"/>
          <w:color w:val="000000"/>
          <w:sz w:val="24"/>
          <w:lang w:val="sq-AL"/>
        </w:rPr>
        <w:t>kontrabandimit</w:t>
      </w:r>
      <w:proofErr w:type="spellEnd"/>
      <w:r w:rsidRPr="00A6284F">
        <w:rPr>
          <w:rFonts w:eastAsia="Times New Roman"/>
          <w:color w:val="000000"/>
          <w:sz w:val="24"/>
          <w:lang w:val="sq-AL"/>
        </w:rPr>
        <w:t xml:space="preserve"> të emigrantëve dhe ka arrestuar 20 persona. </w:t>
      </w:r>
    </w:p>
    <w:p w:rsidR="00CE1051" w:rsidRPr="00A6284F" w:rsidRDefault="00BE0F6B" w:rsidP="00CE1051">
      <w:pPr>
        <w:spacing w:before="118" w:line="276"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 xml:space="preserve">Mangësitë </w:t>
      </w:r>
      <w:r w:rsidRPr="00A6284F">
        <w:rPr>
          <w:rFonts w:eastAsia="Times New Roman"/>
          <w:color w:val="000000"/>
          <w:sz w:val="24"/>
          <w:lang w:val="sq-AL"/>
        </w:rPr>
        <w:t xml:space="preserve">vazhdojnë të ekzistojnë </w:t>
      </w:r>
      <w:r w:rsidR="00CE1051" w:rsidRPr="00A6284F">
        <w:rPr>
          <w:rFonts w:eastAsia="Times New Roman"/>
          <w:b/>
          <w:color w:val="000000"/>
          <w:sz w:val="24"/>
          <w:lang w:val="sq-AL"/>
        </w:rPr>
        <w:t>në aspektin e zbatimit</w:t>
      </w:r>
      <w:r w:rsidR="00CE1051" w:rsidRPr="00A6284F">
        <w:rPr>
          <w:rFonts w:eastAsia="Times New Roman"/>
          <w:color w:val="000000"/>
          <w:sz w:val="24"/>
          <w:lang w:val="sq-AL"/>
        </w:rPr>
        <w:t>, veçanërisht për shkak të mungesës së koordinimit ndërmjet agjencive qeveritare. Disa pjesë të Departamentit për Shtetësi, Azil dhe Migrim vazhdojnë të kenë staf të pamjaftueshëm, pavarësisht rritjes</w:t>
      </w:r>
      <w:r w:rsidRPr="00A6284F">
        <w:rPr>
          <w:rFonts w:eastAsia="Times New Roman"/>
          <w:color w:val="000000"/>
          <w:sz w:val="24"/>
          <w:lang w:val="sq-AL"/>
        </w:rPr>
        <w:t xml:space="preserve"> në numrin e stafit</w:t>
      </w:r>
      <w:r w:rsidR="00CE1051" w:rsidRPr="00A6284F">
        <w:rPr>
          <w:rFonts w:eastAsia="Times New Roman"/>
          <w:color w:val="000000"/>
          <w:sz w:val="24"/>
          <w:lang w:val="sq-AL"/>
        </w:rPr>
        <w:t xml:space="preserve">. Gjatë periudhës raportuese, stafi u bë më i specializuar falë një numri kursesh trajnimi, duke filluar nga aftësitë e avancuara për zbulimin e dokumenteve të falsifikuara, eskortave të kthimit, luftën kundër trafikimit të qenieve njerëzore, </w:t>
      </w:r>
      <w:r w:rsidRPr="00A6284F">
        <w:rPr>
          <w:rFonts w:eastAsia="Times New Roman"/>
          <w:color w:val="000000"/>
          <w:sz w:val="24"/>
          <w:lang w:val="sq-AL"/>
        </w:rPr>
        <w:t xml:space="preserve">kontrollimin dhe supozimin e </w:t>
      </w:r>
      <w:r w:rsidR="00CE1051" w:rsidRPr="00A6284F">
        <w:rPr>
          <w:rFonts w:eastAsia="Times New Roman"/>
          <w:color w:val="000000"/>
          <w:sz w:val="24"/>
          <w:lang w:val="sq-AL"/>
        </w:rPr>
        <w:t xml:space="preserve">shtetësive, deri tek kthimi i asistuar vullnetar dhe </w:t>
      </w:r>
      <w:proofErr w:type="spellStart"/>
      <w:r w:rsidR="00CE1051" w:rsidRPr="00A6284F">
        <w:rPr>
          <w:rFonts w:eastAsia="Times New Roman"/>
          <w:color w:val="000000"/>
          <w:sz w:val="24"/>
          <w:lang w:val="sq-AL"/>
        </w:rPr>
        <w:t>riintegrimi</w:t>
      </w:r>
      <w:proofErr w:type="spellEnd"/>
      <w:r w:rsidR="00CE1051" w:rsidRPr="00A6284F">
        <w:rPr>
          <w:rFonts w:eastAsia="Times New Roman"/>
          <w:color w:val="000000"/>
          <w:sz w:val="24"/>
          <w:lang w:val="sq-AL"/>
        </w:rPr>
        <w:t>.</w:t>
      </w:r>
      <w:r w:rsidRPr="00A6284F">
        <w:rPr>
          <w:rFonts w:eastAsia="Times New Roman"/>
          <w:color w:val="000000"/>
          <w:sz w:val="24"/>
          <w:lang w:val="sq-AL"/>
        </w:rPr>
        <w:t xml:space="preserve"> </w:t>
      </w:r>
      <w:r w:rsidR="00CE1051" w:rsidRPr="00A6284F">
        <w:rPr>
          <w:rFonts w:eastAsia="Times New Roman"/>
          <w:color w:val="000000"/>
          <w:sz w:val="24"/>
          <w:lang w:val="sq-AL"/>
        </w:rPr>
        <w:t>Megjithatë, ende ka mungesë të personelit të specializuar si në Policinë e Kosovës ashtu dhe Qendrën e Azilit (Pranimit) për të huaj dhe Qendrën e Mbajtjes për të Huajt.</w:t>
      </w:r>
      <w:r w:rsidRPr="00A6284F">
        <w:rPr>
          <w:rFonts w:eastAsia="Times New Roman"/>
          <w:color w:val="000000"/>
          <w:sz w:val="24"/>
          <w:lang w:val="sq-AL"/>
        </w:rPr>
        <w:t xml:space="preserve"> </w:t>
      </w:r>
      <w:r w:rsidR="00CE1051" w:rsidRPr="00A6284F">
        <w:rPr>
          <w:rFonts w:eastAsia="Times New Roman"/>
          <w:color w:val="000000"/>
          <w:sz w:val="24"/>
          <w:lang w:val="sq-AL"/>
        </w:rPr>
        <w:t xml:space="preserve">Ka pasur përmirësime të konsiderueshme në menaxhimin, analizimin dhe shkëmbimin e të dhënave, duke përfshirë aftësinë për të prodhuar raporte periodike bazuar në modelet e </w:t>
      </w:r>
      <w:proofErr w:type="spellStart"/>
      <w:r w:rsidR="00CE1051" w:rsidRPr="00A6284F">
        <w:rPr>
          <w:rFonts w:eastAsia="Times New Roman"/>
          <w:color w:val="000000"/>
          <w:sz w:val="24"/>
          <w:lang w:val="sq-AL"/>
        </w:rPr>
        <w:t>Eurostatit</w:t>
      </w:r>
      <w:proofErr w:type="spellEnd"/>
      <w:r w:rsidR="00CE1051" w:rsidRPr="00A6284F">
        <w:rPr>
          <w:rFonts w:eastAsia="Times New Roman"/>
          <w:color w:val="000000"/>
          <w:sz w:val="24"/>
          <w:lang w:val="sq-AL"/>
        </w:rPr>
        <w:t>. Policia kufitare ka nevojë për ndërtimin e kapaciteteve të mëtejshme në lidhje me migrimin e ndjeshëm ndaj mbrojtjes.</w:t>
      </w:r>
    </w:p>
    <w:p w:rsidR="00CE1051" w:rsidRPr="00A6284F" w:rsidRDefault="00CE1051" w:rsidP="00CE105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një ndërtesë pranimi për </w:t>
      </w:r>
      <w:r w:rsidRPr="00A6284F">
        <w:rPr>
          <w:rFonts w:eastAsia="Times New Roman"/>
          <w:b/>
          <w:color w:val="000000"/>
          <w:sz w:val="24"/>
          <w:lang w:val="sq-AL"/>
        </w:rPr>
        <w:t>emigrantët e parregullt</w:t>
      </w:r>
      <w:r w:rsidRPr="00A6284F">
        <w:rPr>
          <w:rFonts w:eastAsia="Times New Roman"/>
          <w:color w:val="000000"/>
          <w:sz w:val="24"/>
          <w:lang w:val="sq-AL"/>
        </w:rPr>
        <w:t xml:space="preserve"> në </w:t>
      </w:r>
      <w:proofErr w:type="spellStart"/>
      <w:r w:rsidRPr="00A6284F">
        <w:rPr>
          <w:rFonts w:eastAsia="Times New Roman"/>
          <w:color w:val="000000"/>
          <w:sz w:val="24"/>
          <w:lang w:val="sq-AL"/>
        </w:rPr>
        <w:t>Vranidoll</w:t>
      </w:r>
      <w:proofErr w:type="spellEnd"/>
      <w:r w:rsidRPr="00A6284F">
        <w:rPr>
          <w:rFonts w:eastAsia="Times New Roman"/>
          <w:color w:val="000000"/>
          <w:sz w:val="24"/>
          <w:lang w:val="sq-AL"/>
        </w:rPr>
        <w:t>, e cila mund të strehojë 70 persona dhe të sigurojë akomodim të përshtatshëm për grupet e cenueshme. Dispozitat ligjore që janë në fuqi mbrojnë të drejtat themelore të emigrantëve të parregullt ose të</w:t>
      </w:r>
      <w:r w:rsidR="003E6605" w:rsidRPr="00A6284F">
        <w:rPr>
          <w:rFonts w:eastAsia="Times New Roman"/>
          <w:color w:val="000000"/>
          <w:sz w:val="24"/>
          <w:lang w:val="sq-AL"/>
        </w:rPr>
        <w:t xml:space="preserve">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huajve të strehuar në këtë </w:t>
      </w:r>
      <w:r w:rsidR="003E6605" w:rsidRPr="00A6284F">
        <w:rPr>
          <w:rFonts w:eastAsia="Times New Roman"/>
          <w:color w:val="000000"/>
          <w:sz w:val="24"/>
          <w:lang w:val="sq-AL"/>
        </w:rPr>
        <w:t>qendër. Megjithatë</w:t>
      </w:r>
      <w:r w:rsidRPr="00A6284F">
        <w:rPr>
          <w:rFonts w:eastAsia="Times New Roman"/>
          <w:color w:val="000000"/>
          <w:sz w:val="24"/>
          <w:lang w:val="sq-AL"/>
        </w:rPr>
        <w:t xml:space="preserve">, qendra po përballet me disa çështje strukturore, kryesisht në lidhje me njësitë e papërshtatshme të banimit, mungesën e zonave të sigurta dhe mungesën e objekteve mjekësore brenda objektit. Gjithashtu vërehet një mungesë e personelit adekuat të specializuar mbikëqyrës që do të siguronte të drejtat dhe nevojat themelore, veçanërisht mbështetjen </w:t>
      </w:r>
      <w:proofErr w:type="spellStart"/>
      <w:r w:rsidRPr="00A6284F">
        <w:rPr>
          <w:rFonts w:eastAsia="Times New Roman"/>
          <w:color w:val="000000"/>
          <w:sz w:val="24"/>
          <w:lang w:val="sq-AL"/>
        </w:rPr>
        <w:t>psiko</w:t>
      </w:r>
      <w:proofErr w:type="spellEnd"/>
      <w:r w:rsidRPr="00A6284F">
        <w:rPr>
          <w:rFonts w:eastAsia="Times New Roman"/>
          <w:color w:val="000000"/>
          <w:sz w:val="24"/>
          <w:lang w:val="sq-AL"/>
        </w:rPr>
        <w:t>-sociale.</w:t>
      </w:r>
      <w:r w:rsidR="003E6605" w:rsidRPr="00A6284F">
        <w:rPr>
          <w:rFonts w:eastAsia="Times New Roman"/>
          <w:color w:val="000000"/>
          <w:sz w:val="24"/>
          <w:lang w:val="sq-AL"/>
        </w:rPr>
        <w:t xml:space="preserve"> </w:t>
      </w:r>
      <w:r w:rsidRPr="00A6284F">
        <w:rPr>
          <w:rFonts w:eastAsia="Times New Roman"/>
          <w:b/>
          <w:color w:val="000000"/>
          <w:sz w:val="24"/>
          <w:lang w:val="sq-AL"/>
        </w:rPr>
        <w:t>Komunikimi</w:t>
      </w:r>
      <w:r w:rsidR="003E6605" w:rsidRPr="00A6284F">
        <w:rPr>
          <w:rFonts w:eastAsia="Times New Roman"/>
          <w:b/>
          <w:color w:val="000000"/>
          <w:sz w:val="24"/>
          <w:lang w:val="sq-AL"/>
        </w:rPr>
        <w:t xml:space="preserve"> </w:t>
      </w:r>
      <w:r w:rsidRPr="00A6284F">
        <w:rPr>
          <w:rFonts w:eastAsia="Times New Roman"/>
          <w:color w:val="000000"/>
          <w:sz w:val="24"/>
          <w:lang w:val="sq-AL"/>
        </w:rPr>
        <w:t>ndërmjet zyrtarëve dhe emigrantëve të parregullt mbetet sfidë, pavarësisht përdorimit të përbashkët të përkthyesve me vendet e rajonit përme</w:t>
      </w:r>
      <w:r w:rsidR="00F41259" w:rsidRPr="00A6284F">
        <w:rPr>
          <w:rFonts w:eastAsia="Times New Roman"/>
          <w:color w:val="000000"/>
          <w:sz w:val="24"/>
          <w:lang w:val="sq-AL"/>
        </w:rPr>
        <w:t>s Iniciativës Rajonale për Migr</w:t>
      </w:r>
      <w:r w:rsidRPr="00A6284F">
        <w:rPr>
          <w:rFonts w:eastAsia="Times New Roman"/>
          <w:color w:val="000000"/>
          <w:sz w:val="24"/>
          <w:lang w:val="sq-AL"/>
        </w:rPr>
        <w:t>im, Azil dhe Refugjatë.</w:t>
      </w:r>
      <w:r w:rsidR="00F41259" w:rsidRPr="00A6284F">
        <w:rPr>
          <w:rFonts w:eastAsia="Times New Roman"/>
          <w:color w:val="000000"/>
          <w:sz w:val="24"/>
          <w:lang w:val="sq-AL"/>
        </w:rPr>
        <w:t xml:space="preserve"> </w:t>
      </w:r>
      <w:r w:rsidRPr="00A6284F">
        <w:rPr>
          <w:rFonts w:eastAsia="Times New Roman"/>
          <w:color w:val="000000"/>
          <w:sz w:val="24"/>
          <w:lang w:val="sq-AL"/>
        </w:rPr>
        <w:t xml:space="preserve">Autoritetet duhet </w:t>
      </w:r>
      <w:r w:rsidRPr="00A6284F">
        <w:rPr>
          <w:rFonts w:eastAsia="Times New Roman"/>
          <w:color w:val="000000"/>
          <w:sz w:val="24"/>
          <w:lang w:val="sq-AL"/>
        </w:rPr>
        <w:lastRenderedPageBreak/>
        <w:t>të ndërmarrin veprime të mëtejshme për të gjetur përkthyes të kualifikuar për të shërbyer si për qendrat e azilit ashtu edhe për ato të paraburgimit.</w:t>
      </w:r>
    </w:p>
    <w:p w:rsidR="00CE1051" w:rsidRPr="00A6284F" w:rsidRDefault="00CE1051" w:rsidP="00F41259">
      <w:pPr>
        <w:spacing w:before="193" w:line="249" w:lineRule="exact"/>
        <w:ind w:left="72"/>
        <w:jc w:val="both"/>
        <w:textAlignment w:val="baseline"/>
        <w:rPr>
          <w:rFonts w:eastAsia="Times New Roman"/>
          <w:color w:val="000000"/>
          <w:sz w:val="24"/>
          <w:lang w:val="sq-AL"/>
        </w:rPr>
      </w:pPr>
      <w:r w:rsidRPr="00A6284F">
        <w:rPr>
          <w:rFonts w:eastAsia="Times New Roman"/>
          <w:b/>
          <w:color w:val="000000"/>
          <w:sz w:val="24"/>
          <w:lang w:val="sq-AL"/>
        </w:rPr>
        <w:t>Marrëveshjet e ri</w:t>
      </w:r>
      <w:r w:rsidR="00F41259" w:rsidRPr="00A6284F">
        <w:rPr>
          <w:rFonts w:eastAsia="Times New Roman"/>
          <w:b/>
          <w:color w:val="000000"/>
          <w:sz w:val="24"/>
          <w:lang w:val="sq-AL"/>
        </w:rPr>
        <w:t>-</w:t>
      </w:r>
      <w:r w:rsidRPr="00A6284F">
        <w:rPr>
          <w:rFonts w:eastAsia="Times New Roman"/>
          <w:b/>
          <w:color w:val="000000"/>
          <w:sz w:val="24"/>
          <w:lang w:val="sq-AL"/>
        </w:rPr>
        <w:t>pranimit</w:t>
      </w:r>
      <w:r w:rsidRPr="00A6284F">
        <w:rPr>
          <w:rFonts w:eastAsia="Times New Roman"/>
          <w:color w:val="000000"/>
          <w:sz w:val="24"/>
          <w:lang w:val="sq-AL"/>
        </w:rPr>
        <w:t xml:space="preserve"> me Shtetet Anëtare të BE-së dhe vendet anëtare të </w:t>
      </w:r>
      <w:proofErr w:type="spellStart"/>
      <w:r w:rsidRPr="00A6284F">
        <w:rPr>
          <w:rFonts w:eastAsia="Times New Roman"/>
          <w:color w:val="000000"/>
          <w:sz w:val="24"/>
          <w:lang w:val="sq-AL"/>
        </w:rPr>
        <w:t>Shengenit</w:t>
      </w:r>
      <w:proofErr w:type="spellEnd"/>
      <w:r w:rsidRPr="00A6284F">
        <w:rPr>
          <w:rFonts w:eastAsia="Times New Roman"/>
          <w:color w:val="000000"/>
          <w:sz w:val="24"/>
          <w:lang w:val="sq-AL"/>
        </w:rPr>
        <w:t xml:space="preserve"> janë duke u zbatuar me lehtësi. Numri i kërkesave për azil nga qytetarët e Kosovës në vendet e BE-së dhe vendet anëtare të </w:t>
      </w:r>
      <w:proofErr w:type="spellStart"/>
      <w:r w:rsidRPr="00A6284F">
        <w:rPr>
          <w:rFonts w:eastAsia="Times New Roman"/>
          <w:color w:val="000000"/>
          <w:sz w:val="24"/>
          <w:lang w:val="sq-AL"/>
        </w:rPr>
        <w:t>Shengenit</w:t>
      </w:r>
      <w:proofErr w:type="spellEnd"/>
      <w:r w:rsidRPr="00A6284F">
        <w:rPr>
          <w:rFonts w:eastAsia="Times New Roman"/>
          <w:color w:val="000000"/>
          <w:sz w:val="24"/>
          <w:lang w:val="sq-AL"/>
        </w:rPr>
        <w:t xml:space="preserve"> ka rënë në mënyrë të dukshme, nga 7</w:t>
      </w:r>
      <w:r w:rsidR="00F41259" w:rsidRPr="00A6284F">
        <w:rPr>
          <w:rFonts w:eastAsia="Times New Roman"/>
          <w:color w:val="000000"/>
          <w:sz w:val="24"/>
          <w:lang w:val="sq-AL"/>
        </w:rPr>
        <w:t>3,</w:t>
      </w:r>
      <w:r w:rsidRPr="00A6284F">
        <w:rPr>
          <w:rFonts w:eastAsia="Times New Roman"/>
          <w:color w:val="000000"/>
          <w:sz w:val="24"/>
          <w:lang w:val="sq-AL"/>
        </w:rPr>
        <w:t xml:space="preserve">240 sa ishte në </w:t>
      </w:r>
      <w:r w:rsidR="00F41259" w:rsidRPr="00A6284F">
        <w:rPr>
          <w:rFonts w:eastAsia="Times New Roman"/>
          <w:color w:val="000000"/>
          <w:sz w:val="24"/>
          <w:lang w:val="sq-AL"/>
        </w:rPr>
        <w:t xml:space="preserve">vitin </w:t>
      </w:r>
      <w:r w:rsidRPr="00A6284F">
        <w:rPr>
          <w:rFonts w:eastAsia="Times New Roman"/>
          <w:color w:val="000000"/>
          <w:sz w:val="24"/>
          <w:lang w:val="sq-AL"/>
        </w:rPr>
        <w:t>2015, 11</w:t>
      </w:r>
      <w:r w:rsidR="00F41259" w:rsidRPr="00A6284F">
        <w:rPr>
          <w:rFonts w:eastAsia="Times New Roman"/>
          <w:color w:val="000000"/>
          <w:sz w:val="24"/>
          <w:lang w:val="sq-AL"/>
        </w:rPr>
        <w:t>,</w:t>
      </w:r>
      <w:r w:rsidRPr="00A6284F">
        <w:rPr>
          <w:rFonts w:eastAsia="Times New Roman"/>
          <w:color w:val="000000"/>
          <w:sz w:val="24"/>
          <w:lang w:val="sq-AL"/>
        </w:rPr>
        <w:t>970 në 2016, 7</w:t>
      </w:r>
      <w:r w:rsidR="00F41259" w:rsidRPr="00A6284F">
        <w:rPr>
          <w:rFonts w:eastAsia="Times New Roman"/>
          <w:color w:val="000000"/>
          <w:sz w:val="24"/>
          <w:lang w:val="sq-AL"/>
        </w:rPr>
        <w:t>,</w:t>
      </w:r>
      <w:r w:rsidRPr="00A6284F">
        <w:rPr>
          <w:rFonts w:eastAsia="Times New Roman"/>
          <w:color w:val="000000"/>
          <w:sz w:val="24"/>
          <w:lang w:val="sq-AL"/>
        </w:rPr>
        <w:t>575 në 2017 në 5</w:t>
      </w:r>
      <w:r w:rsidR="00F41259" w:rsidRPr="00A6284F">
        <w:rPr>
          <w:rFonts w:eastAsia="Times New Roman"/>
          <w:color w:val="000000"/>
          <w:sz w:val="24"/>
          <w:lang w:val="sq-AL"/>
        </w:rPr>
        <w:t>,</w:t>
      </w:r>
      <w:r w:rsidRPr="00A6284F">
        <w:rPr>
          <w:rFonts w:eastAsia="Times New Roman"/>
          <w:color w:val="000000"/>
          <w:sz w:val="24"/>
          <w:lang w:val="sq-AL"/>
        </w:rPr>
        <w:t>100 në vitin 2018.</w:t>
      </w:r>
      <w:r w:rsidR="00F41259" w:rsidRPr="00A6284F">
        <w:rPr>
          <w:rFonts w:eastAsia="Times New Roman"/>
          <w:color w:val="000000"/>
          <w:sz w:val="24"/>
          <w:lang w:val="sq-AL"/>
        </w:rPr>
        <w:t xml:space="preserve"> </w:t>
      </w:r>
      <w:r w:rsidRPr="00A6284F">
        <w:rPr>
          <w:rFonts w:eastAsia="Times New Roman"/>
          <w:color w:val="000000"/>
          <w:sz w:val="24"/>
          <w:lang w:val="sq-AL"/>
        </w:rPr>
        <w:t>Duke reflektuar me trendin e kërkesave për azil, numri i përgjithshëm i qytetarëve të Kosovës të ri</w:t>
      </w:r>
      <w:r w:rsidR="00F41259" w:rsidRPr="00A6284F">
        <w:rPr>
          <w:rFonts w:eastAsia="Times New Roman"/>
          <w:color w:val="000000"/>
          <w:sz w:val="24"/>
          <w:lang w:val="sq-AL"/>
        </w:rPr>
        <w:t>-</w:t>
      </w:r>
      <w:r w:rsidRPr="00A6284F">
        <w:rPr>
          <w:rFonts w:eastAsia="Times New Roman"/>
          <w:color w:val="000000"/>
          <w:sz w:val="24"/>
          <w:lang w:val="sq-AL"/>
        </w:rPr>
        <w:t>pranuar ka rënë nga 18</w:t>
      </w:r>
      <w:r w:rsidR="00F41259" w:rsidRPr="00A6284F">
        <w:rPr>
          <w:rFonts w:eastAsia="Times New Roman"/>
          <w:color w:val="000000"/>
          <w:sz w:val="24"/>
          <w:lang w:val="sq-AL"/>
        </w:rPr>
        <w:t>,</w:t>
      </w:r>
      <w:r w:rsidRPr="00A6284F">
        <w:rPr>
          <w:rFonts w:eastAsia="Times New Roman"/>
          <w:color w:val="000000"/>
          <w:sz w:val="24"/>
          <w:lang w:val="sq-AL"/>
        </w:rPr>
        <w:t>789 sa ishte në vitin 2015, 11</w:t>
      </w:r>
      <w:r w:rsidR="00F41259" w:rsidRPr="00A6284F">
        <w:rPr>
          <w:rFonts w:eastAsia="Times New Roman"/>
          <w:color w:val="000000"/>
          <w:sz w:val="24"/>
          <w:lang w:val="sq-AL"/>
        </w:rPr>
        <w:t>,</w:t>
      </w:r>
      <w:r w:rsidRPr="00A6284F">
        <w:rPr>
          <w:rFonts w:eastAsia="Times New Roman"/>
          <w:color w:val="000000"/>
          <w:sz w:val="24"/>
          <w:lang w:val="sq-AL"/>
        </w:rPr>
        <w:t>030 në vitin 2016,</w:t>
      </w:r>
      <w:r w:rsidR="00F41259" w:rsidRPr="00A6284F">
        <w:rPr>
          <w:rFonts w:eastAsia="Times New Roman"/>
          <w:color w:val="000000"/>
          <w:sz w:val="24"/>
          <w:lang w:val="sq-AL"/>
        </w:rPr>
        <w:t xml:space="preserve"> dhe</w:t>
      </w:r>
      <w:r w:rsidRPr="00A6284F">
        <w:rPr>
          <w:rFonts w:eastAsia="Times New Roman"/>
          <w:color w:val="000000"/>
          <w:sz w:val="24"/>
          <w:lang w:val="sq-AL"/>
        </w:rPr>
        <w:t xml:space="preserve"> 4</w:t>
      </w:r>
      <w:r w:rsidR="00F41259" w:rsidRPr="00A6284F">
        <w:rPr>
          <w:rFonts w:eastAsia="Times New Roman"/>
          <w:color w:val="000000"/>
          <w:sz w:val="24"/>
          <w:lang w:val="sq-AL"/>
        </w:rPr>
        <w:t>,</w:t>
      </w:r>
      <w:r w:rsidRPr="00A6284F">
        <w:rPr>
          <w:rFonts w:eastAsia="Times New Roman"/>
          <w:color w:val="000000"/>
          <w:sz w:val="24"/>
          <w:lang w:val="sq-AL"/>
        </w:rPr>
        <w:t>509 në vitin 2017 në 2</w:t>
      </w:r>
      <w:r w:rsidR="00F41259" w:rsidRPr="00A6284F">
        <w:rPr>
          <w:rFonts w:eastAsia="Times New Roman"/>
          <w:color w:val="000000"/>
          <w:sz w:val="24"/>
          <w:lang w:val="sq-AL"/>
        </w:rPr>
        <w:t>,</w:t>
      </w:r>
      <w:r w:rsidRPr="00A6284F">
        <w:rPr>
          <w:rFonts w:eastAsia="Times New Roman"/>
          <w:color w:val="000000"/>
          <w:sz w:val="24"/>
          <w:lang w:val="sq-AL"/>
        </w:rPr>
        <w:t>395 në vitin 2018 (1</w:t>
      </w:r>
      <w:r w:rsidR="00D63F91" w:rsidRPr="00A6284F">
        <w:rPr>
          <w:rFonts w:eastAsia="Times New Roman"/>
          <w:color w:val="000000"/>
          <w:sz w:val="24"/>
          <w:lang w:val="sq-AL"/>
        </w:rPr>
        <w:t>,</w:t>
      </w:r>
      <w:r w:rsidRPr="00A6284F">
        <w:rPr>
          <w:rFonts w:eastAsia="Times New Roman"/>
          <w:color w:val="000000"/>
          <w:sz w:val="24"/>
          <w:lang w:val="sq-AL"/>
        </w:rPr>
        <w:t>668 me detyrim dhe 727 vullnetarë). Kosova ka arritur një normë kthimi prej 85.9% të qytetarëve të saj që ishin  urdhëruar të largoheshin nga territori i BE-së në vitin 2017.</w:t>
      </w:r>
      <w:r w:rsidR="00D63F91" w:rsidRPr="00A6284F">
        <w:rPr>
          <w:rFonts w:eastAsia="Times New Roman"/>
          <w:color w:val="000000"/>
          <w:sz w:val="24"/>
          <w:lang w:val="sq-AL"/>
        </w:rPr>
        <w:t xml:space="preserve"> </w:t>
      </w:r>
      <w:r w:rsidRPr="00A6284F">
        <w:rPr>
          <w:rFonts w:eastAsia="Times New Roman"/>
          <w:color w:val="000000"/>
          <w:sz w:val="24"/>
          <w:lang w:val="sq-AL"/>
        </w:rPr>
        <w:t xml:space="preserve">Mungesa e një mënyre të </w:t>
      </w:r>
      <w:r w:rsidR="00D63F91" w:rsidRPr="00A6284F">
        <w:rPr>
          <w:rFonts w:eastAsia="Times New Roman"/>
          <w:color w:val="000000"/>
          <w:sz w:val="24"/>
          <w:lang w:val="sq-AL"/>
        </w:rPr>
        <w:t xml:space="preserve">kontrollimit </w:t>
      </w:r>
      <w:r w:rsidRPr="00A6284F">
        <w:rPr>
          <w:rFonts w:eastAsia="Times New Roman"/>
          <w:color w:val="000000"/>
          <w:sz w:val="24"/>
          <w:lang w:val="sq-AL"/>
        </w:rPr>
        <w:t xml:space="preserve">për të kthyerit e bën më të vështirë identifikimin e personave të cenueshëm, përfshirë viktimat e trafikimit. Zbatimi i strategjisë dhe planit të veprimit për </w:t>
      </w:r>
      <w:proofErr w:type="spellStart"/>
      <w:r w:rsidRPr="00A6284F">
        <w:rPr>
          <w:rFonts w:eastAsia="Times New Roman"/>
          <w:color w:val="000000"/>
          <w:sz w:val="24"/>
          <w:lang w:val="sq-AL"/>
        </w:rPr>
        <w:t>riintegrimin</w:t>
      </w:r>
      <w:proofErr w:type="spellEnd"/>
      <w:r w:rsidRPr="00A6284F">
        <w:rPr>
          <w:rFonts w:eastAsia="Times New Roman"/>
          <w:color w:val="000000"/>
          <w:sz w:val="24"/>
          <w:lang w:val="sq-AL"/>
        </w:rPr>
        <w:t xml:space="preserve"> 2018-22 të Kosovës kërko</w:t>
      </w:r>
      <w:r w:rsidR="00D63F91" w:rsidRPr="00A6284F">
        <w:rPr>
          <w:rFonts w:eastAsia="Times New Roman"/>
          <w:color w:val="000000"/>
          <w:sz w:val="24"/>
          <w:lang w:val="sq-AL"/>
        </w:rPr>
        <w:t>n</w:t>
      </w:r>
      <w:r w:rsidRPr="00A6284F">
        <w:rPr>
          <w:rFonts w:eastAsia="Times New Roman"/>
          <w:color w:val="000000"/>
          <w:sz w:val="24"/>
          <w:lang w:val="sq-AL"/>
        </w:rPr>
        <w:t xml:space="preserve"> një vlerësim të mirëfilltë. Pas decentralizimit të procesit të riintegrimit, komunat vazhdojnë të përballen me sfida në ofrimin e shërbimeve.</w:t>
      </w:r>
      <w:r w:rsidR="00D63F91" w:rsidRPr="00A6284F">
        <w:rPr>
          <w:rFonts w:eastAsia="Times New Roman"/>
          <w:color w:val="000000"/>
          <w:sz w:val="24"/>
          <w:lang w:val="sq-AL"/>
        </w:rPr>
        <w:t xml:space="preserve"> Megjithëse </w:t>
      </w:r>
      <w:r w:rsidRPr="00A6284F">
        <w:rPr>
          <w:rFonts w:eastAsia="Times New Roman"/>
          <w:color w:val="000000"/>
          <w:sz w:val="24"/>
          <w:lang w:val="sq-AL"/>
        </w:rPr>
        <w:t xml:space="preserve"> komunat kanë përmirësuar kapacitetet e tyre për t'u marrë me politikat e riintegrimit, ndarjet e tyre buxhetore ende janë të pamjaftueshme. Në përgjithësi, ekziston një nevojë për një koordinim më të mirë ndërinstitucional, duke përfshirë komunat, bashkëpunim më të mirë me OJQ dhe organizatat ndërkombëtare, si dhe përmirësim të monitorimit dhe vlerësimit sistematik.</w:t>
      </w:r>
      <w:r w:rsidR="00D63F91" w:rsidRPr="00A6284F">
        <w:rPr>
          <w:rFonts w:eastAsia="Times New Roman"/>
          <w:color w:val="000000"/>
          <w:sz w:val="24"/>
          <w:lang w:val="sq-AL"/>
        </w:rPr>
        <w:t xml:space="preserve"> </w:t>
      </w:r>
      <w:r w:rsidRPr="00A6284F">
        <w:rPr>
          <w:rFonts w:eastAsia="Times New Roman"/>
          <w:color w:val="000000"/>
          <w:sz w:val="24"/>
          <w:lang w:val="sq-AL"/>
        </w:rPr>
        <w:t>Në periudhën raportuese, 3</w:t>
      </w:r>
      <w:r w:rsidR="00D63F91" w:rsidRPr="00A6284F">
        <w:rPr>
          <w:rFonts w:eastAsia="Times New Roman"/>
          <w:color w:val="000000"/>
          <w:sz w:val="24"/>
          <w:lang w:val="sq-AL"/>
        </w:rPr>
        <w:t>,</w:t>
      </w:r>
      <w:r w:rsidRPr="00A6284F">
        <w:rPr>
          <w:rFonts w:eastAsia="Times New Roman"/>
          <w:color w:val="000000"/>
          <w:sz w:val="24"/>
          <w:lang w:val="sq-AL"/>
        </w:rPr>
        <w:t>165 persona kanë përfituar nga shërbimet e ndihmës së qëndrueshme të ofruara nga Fondi i Riintegrimit.</w:t>
      </w:r>
      <w:r w:rsidR="00F41259" w:rsidRPr="00A6284F">
        <w:rPr>
          <w:rFonts w:eastAsia="Times New Roman"/>
          <w:color w:val="000000"/>
          <w:sz w:val="24"/>
          <w:lang w:val="sq-AL"/>
        </w:rPr>
        <w:t xml:space="preserve"> </w:t>
      </w:r>
      <w:r w:rsidRPr="00A6284F">
        <w:rPr>
          <w:rFonts w:eastAsia="Times New Roman"/>
          <w:color w:val="000000"/>
          <w:sz w:val="24"/>
          <w:lang w:val="sq-AL"/>
        </w:rPr>
        <w:t>Nevojiten e</w:t>
      </w:r>
      <w:r w:rsidR="00D63F91" w:rsidRPr="00A6284F">
        <w:rPr>
          <w:rFonts w:eastAsia="Times New Roman"/>
          <w:color w:val="000000"/>
          <w:sz w:val="24"/>
          <w:lang w:val="sq-AL"/>
        </w:rPr>
        <w:t>dh</w:t>
      </w:r>
      <w:r w:rsidRPr="00A6284F">
        <w:rPr>
          <w:rFonts w:eastAsia="Times New Roman"/>
          <w:color w:val="000000"/>
          <w:sz w:val="24"/>
          <w:lang w:val="sq-AL"/>
        </w:rPr>
        <w:t xml:space="preserve">e përpjekje të mëtejshme për të vendosur një sistem të ndjeshëm gjinor që i qasë të kthyerit më të cenueshëm (duke përfshirë romët dhe </w:t>
      </w:r>
      <w:proofErr w:type="spellStart"/>
      <w:r w:rsidRPr="00A6284F">
        <w:rPr>
          <w:rFonts w:eastAsia="Times New Roman"/>
          <w:color w:val="000000"/>
          <w:sz w:val="24"/>
          <w:lang w:val="sq-AL"/>
        </w:rPr>
        <w:t>ashkalinjtë</w:t>
      </w:r>
      <w:proofErr w:type="spellEnd"/>
      <w:r w:rsidRPr="00A6284F">
        <w:rPr>
          <w:rFonts w:eastAsia="Times New Roman"/>
          <w:color w:val="000000"/>
          <w:sz w:val="24"/>
          <w:lang w:val="sq-AL"/>
        </w:rPr>
        <w:t>) dhe fokusohet më shumë në ndihmën e qëndrueshme të komunitetit, duke përfshirë shërbime të tilla si gjenerimi i të ardhurave. Shumë të kthyer nuk marrin informacione të mjaftueshme.</w:t>
      </w:r>
    </w:p>
    <w:p w:rsidR="00CE1051" w:rsidRPr="00A6284F" w:rsidRDefault="00CE1051" w:rsidP="00CE1051">
      <w:pPr>
        <w:spacing w:before="125" w:line="276" w:lineRule="exact"/>
        <w:ind w:left="72" w:right="144"/>
        <w:jc w:val="both"/>
        <w:textAlignment w:val="baseline"/>
        <w:rPr>
          <w:rFonts w:eastAsia="Times New Roman"/>
          <w:color w:val="000000"/>
          <w:sz w:val="24"/>
          <w:lang w:val="sq-AL"/>
        </w:rPr>
      </w:pPr>
    </w:p>
    <w:p w:rsidR="00CE1051" w:rsidRPr="00A6284F" w:rsidRDefault="00CE1051" w:rsidP="00CE1051">
      <w:pPr>
        <w:spacing w:before="127" w:line="274" w:lineRule="exact"/>
        <w:ind w:left="144"/>
        <w:textAlignment w:val="baseline"/>
        <w:rPr>
          <w:rFonts w:eastAsia="Times New Roman"/>
          <w:b/>
          <w:color w:val="000000"/>
          <w:spacing w:val="-1"/>
          <w:sz w:val="24"/>
          <w:lang w:val="sq-AL"/>
        </w:rPr>
      </w:pPr>
      <w:r w:rsidRPr="00A6284F">
        <w:rPr>
          <w:rFonts w:eastAsia="Times New Roman"/>
          <w:b/>
          <w:color w:val="000000"/>
          <w:spacing w:val="-1"/>
          <w:sz w:val="24"/>
          <w:lang w:val="sq-AL"/>
        </w:rPr>
        <w:t xml:space="preserve">Azili </w:t>
      </w:r>
    </w:p>
    <w:p w:rsidR="00CE1051" w:rsidRPr="00A6284F" w:rsidRDefault="00CE1051" w:rsidP="00CE1051">
      <w:pPr>
        <w:spacing w:before="119"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Struktura institucionale dhe harmonizimi ligjor</w:t>
      </w:r>
    </w:p>
    <w:p w:rsidR="00CE1051" w:rsidRPr="00A6284F" w:rsidRDefault="00CE1051" w:rsidP="00CE105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b/>
          <w:color w:val="000000"/>
          <w:spacing w:val="-1"/>
          <w:sz w:val="24"/>
          <w:lang w:val="sq-AL"/>
        </w:rPr>
        <w:t>Institucionet</w:t>
      </w:r>
      <w:r w:rsidRPr="00A6284F">
        <w:rPr>
          <w:rFonts w:eastAsia="Times New Roman"/>
          <w:color w:val="000000"/>
          <w:spacing w:val="-1"/>
          <w:sz w:val="24"/>
          <w:lang w:val="sq-AL"/>
        </w:rPr>
        <w:t xml:space="preserve"> për trajtimin e kërkesave për azil janë në funksion. Departamenti për Shtetësi, Azil dhe Migrim është organi i shkallës së parë në Ministrinë e Punëve të Brendshme, ndërsa Komisioni Kombëtar për Refugjatët shqyrton ankesat. Ankesa përfundimtare gjyqësore mund të paraqitet në Gjykatën Supreme. Pas refuzimit të kërkesës për azil ose ndërprerjes së procedurës, Divizioni për Ri</w:t>
      </w:r>
      <w:r w:rsidR="00D63F91" w:rsidRPr="00A6284F">
        <w:rPr>
          <w:rFonts w:eastAsia="Times New Roman"/>
          <w:color w:val="000000"/>
          <w:spacing w:val="-1"/>
          <w:sz w:val="24"/>
          <w:lang w:val="sq-AL"/>
        </w:rPr>
        <w:t>-</w:t>
      </w:r>
      <w:r w:rsidRPr="00A6284F">
        <w:rPr>
          <w:rFonts w:eastAsia="Times New Roman"/>
          <w:color w:val="000000"/>
          <w:spacing w:val="-1"/>
          <w:sz w:val="24"/>
          <w:lang w:val="sq-AL"/>
        </w:rPr>
        <w:t>pranim dhe Kthim, në kuadër të Departamentit është përgjegjës për zbatimin e vendimit.</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Pas rishikimeve të mëhershme ligjore, </w:t>
      </w:r>
      <w:r w:rsidRPr="00A6284F">
        <w:rPr>
          <w:rFonts w:eastAsia="Times New Roman"/>
          <w:b/>
          <w:color w:val="000000"/>
          <w:spacing w:val="-1"/>
          <w:sz w:val="24"/>
          <w:lang w:val="sq-AL"/>
        </w:rPr>
        <w:t>korniza ligjore</w:t>
      </w:r>
      <w:r w:rsidRPr="00A6284F">
        <w:rPr>
          <w:rFonts w:eastAsia="Times New Roman"/>
          <w:color w:val="000000"/>
          <w:spacing w:val="-1"/>
          <w:sz w:val="24"/>
          <w:lang w:val="sq-AL"/>
        </w:rPr>
        <w:t xml:space="preserve"> për azilin është kryesisht në përputhje me </w:t>
      </w:r>
      <w:r w:rsidRPr="00A6284F">
        <w:rPr>
          <w:rFonts w:eastAsia="Times New Roman"/>
          <w:i/>
          <w:color w:val="000000"/>
          <w:spacing w:val="-1"/>
          <w:sz w:val="24"/>
          <w:lang w:val="sq-AL"/>
        </w:rPr>
        <w:t>acquis</w:t>
      </w:r>
      <w:r w:rsidRPr="00A6284F">
        <w:rPr>
          <w:rFonts w:eastAsia="Times New Roman"/>
          <w:color w:val="000000"/>
          <w:spacing w:val="-1"/>
          <w:sz w:val="24"/>
          <w:lang w:val="sq-AL"/>
        </w:rPr>
        <w:t>. Sidoqoftë, legjislacioni i rëndësishëm dytësor në këtë fushë mbetet për t'u miratuar.</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p>
    <w:p w:rsidR="00CE1051" w:rsidRPr="00A6284F" w:rsidRDefault="00CE1051" w:rsidP="00CE1051">
      <w:pPr>
        <w:spacing w:before="193" w:line="249" w:lineRule="exact"/>
        <w:ind w:left="72"/>
        <w:jc w:val="center"/>
        <w:textAlignment w:val="baseline"/>
        <w:rPr>
          <w:rFonts w:eastAsia="Times New Roman"/>
          <w:color w:val="000000"/>
          <w:spacing w:val="42"/>
          <w:lang w:val="sq-AL"/>
        </w:rPr>
      </w:pPr>
    </w:p>
    <w:p w:rsidR="00CE1051" w:rsidRPr="00A6284F" w:rsidRDefault="00CE1051" w:rsidP="00CE1051">
      <w:pPr>
        <w:spacing w:before="124"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Implementimi dhe kapaciteti zbatues</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lidhje me</w:t>
      </w:r>
      <w:r w:rsidR="00AD4FED" w:rsidRPr="00A6284F">
        <w:rPr>
          <w:rFonts w:eastAsia="Times New Roman"/>
          <w:color w:val="000000"/>
          <w:sz w:val="24"/>
          <w:lang w:val="sq-AL"/>
        </w:rPr>
        <w:t xml:space="preserve"> </w:t>
      </w:r>
      <w:r w:rsidRPr="00A6284F">
        <w:rPr>
          <w:rFonts w:eastAsia="Times New Roman"/>
          <w:b/>
          <w:color w:val="000000"/>
          <w:sz w:val="24"/>
          <w:lang w:val="sq-AL"/>
        </w:rPr>
        <w:t>procedurat e azilit</w:t>
      </w:r>
      <w:r w:rsidRPr="00A6284F">
        <w:rPr>
          <w:rFonts w:eastAsia="Times New Roman"/>
          <w:color w:val="000000"/>
          <w:sz w:val="24"/>
          <w:lang w:val="sq-AL"/>
        </w:rPr>
        <w:t xml:space="preserve">, autoritetet kompetente kanë përmirësuar kapacitetin e tyre për të vlerësuar kërkesat për azil në bazë të meritave të aplikacionit, por nevojitet trajnim i mëtejshëm për të siguruar vlerësime më të mira për sa u përket meritave. Përveç kësaj, duhet të sigurohen kapacitete të mëtejshme për procedurat lidhur me të miturit e pashoqëruar. Intervistat shpesh ndërlikohen nga mungesa e interpretimit adekuat. Numri i kërkesave për azil u rrit në 595 në </w:t>
      </w:r>
      <w:r w:rsidR="007666BB" w:rsidRPr="00A6284F">
        <w:rPr>
          <w:rFonts w:eastAsia="Times New Roman"/>
          <w:color w:val="000000"/>
          <w:sz w:val="24"/>
          <w:lang w:val="sq-AL"/>
        </w:rPr>
        <w:t xml:space="preserve">vitin </w:t>
      </w:r>
      <w:r w:rsidRPr="00A6284F">
        <w:rPr>
          <w:rFonts w:eastAsia="Times New Roman"/>
          <w:color w:val="000000"/>
          <w:sz w:val="24"/>
          <w:lang w:val="sq-AL"/>
        </w:rPr>
        <w:t xml:space="preserve">2018, nga 147 sa ishte në </w:t>
      </w:r>
      <w:r w:rsidR="007666BB" w:rsidRPr="00A6284F">
        <w:rPr>
          <w:rFonts w:eastAsia="Times New Roman"/>
          <w:color w:val="000000"/>
          <w:sz w:val="24"/>
          <w:lang w:val="sq-AL"/>
        </w:rPr>
        <w:t xml:space="preserve">vitin </w:t>
      </w:r>
      <w:r w:rsidRPr="00A6284F">
        <w:rPr>
          <w:rFonts w:eastAsia="Times New Roman"/>
          <w:color w:val="000000"/>
          <w:sz w:val="24"/>
          <w:lang w:val="sq-AL"/>
        </w:rPr>
        <w:t xml:space="preserve">2017 një rritje kjo prej mbi 300%. Pas </w:t>
      </w:r>
      <w:proofErr w:type="spellStart"/>
      <w:r w:rsidRPr="00A6284F">
        <w:rPr>
          <w:rFonts w:eastAsia="Times New Roman"/>
          <w:color w:val="000000"/>
          <w:sz w:val="24"/>
          <w:lang w:val="sq-AL"/>
        </w:rPr>
        <w:t>deportimit</w:t>
      </w:r>
      <w:proofErr w:type="spellEnd"/>
      <w:r w:rsidRPr="00A6284F">
        <w:rPr>
          <w:rFonts w:eastAsia="Times New Roman"/>
          <w:color w:val="000000"/>
          <w:sz w:val="24"/>
          <w:lang w:val="sq-AL"/>
        </w:rPr>
        <w:t xml:space="preserve"> të dhunshëm të gjashtë shtetasve turq në fund të marsit </w:t>
      </w:r>
      <w:r w:rsidR="007666BB" w:rsidRPr="00A6284F">
        <w:rPr>
          <w:rFonts w:eastAsia="Times New Roman"/>
          <w:color w:val="000000"/>
          <w:sz w:val="24"/>
          <w:lang w:val="sq-AL"/>
        </w:rPr>
        <w:t xml:space="preserve">të vitit </w:t>
      </w:r>
      <w:r w:rsidRPr="00A6284F">
        <w:rPr>
          <w:rFonts w:eastAsia="Times New Roman"/>
          <w:color w:val="000000"/>
          <w:sz w:val="24"/>
          <w:lang w:val="sq-AL"/>
        </w:rPr>
        <w:t>2018 (</w:t>
      </w:r>
      <w:r w:rsidRPr="00A6284F">
        <w:rPr>
          <w:rFonts w:eastAsia="Times New Roman"/>
          <w:i/>
          <w:color w:val="000000"/>
          <w:sz w:val="24"/>
          <w:lang w:val="sq-AL"/>
        </w:rPr>
        <w:t>shih seksionin mbi të drejtat themelore</w:t>
      </w:r>
      <w:r w:rsidRPr="00A6284F">
        <w:rPr>
          <w:rFonts w:eastAsia="Times New Roman"/>
          <w:color w:val="000000"/>
          <w:sz w:val="24"/>
          <w:lang w:val="sq-AL"/>
        </w:rPr>
        <w:t>), ka pasur një rritje të theksuar të kërkesave për azil nga shtetasit turq që tashmë jetojnë legalisht në Kosovë.</w:t>
      </w:r>
      <w:r w:rsidR="007666BB" w:rsidRPr="00A6284F">
        <w:rPr>
          <w:rFonts w:eastAsia="Times New Roman"/>
          <w:color w:val="000000"/>
          <w:sz w:val="24"/>
          <w:lang w:val="sq-AL"/>
        </w:rPr>
        <w:t xml:space="preserve"> </w:t>
      </w:r>
      <w:r w:rsidRPr="00A6284F">
        <w:rPr>
          <w:rFonts w:eastAsia="Times New Roman"/>
          <w:color w:val="000000"/>
          <w:sz w:val="24"/>
          <w:lang w:val="sq-AL"/>
        </w:rPr>
        <w:t xml:space="preserve">Në vitin 2018, gjithsej 50 </w:t>
      </w:r>
      <w:proofErr w:type="spellStart"/>
      <w:r w:rsidRPr="00A6284F">
        <w:rPr>
          <w:rFonts w:eastAsia="Times New Roman"/>
          <w:color w:val="000000"/>
          <w:sz w:val="24"/>
          <w:lang w:val="sq-AL"/>
        </w:rPr>
        <w:t>aplik</w:t>
      </w:r>
      <w:r w:rsidR="007666BB" w:rsidRPr="00A6284F">
        <w:rPr>
          <w:rFonts w:eastAsia="Times New Roman"/>
          <w:color w:val="000000"/>
          <w:sz w:val="24"/>
          <w:lang w:val="sq-AL"/>
        </w:rPr>
        <w:t>ant</w:t>
      </w:r>
      <w:proofErr w:type="spellEnd"/>
      <w:r w:rsidR="007666BB" w:rsidRPr="00A6284F">
        <w:rPr>
          <w:rFonts w:eastAsia="Times New Roman"/>
          <w:color w:val="000000"/>
          <w:sz w:val="24"/>
          <w:lang w:val="sq-AL"/>
        </w:rPr>
        <w:t xml:space="preserve"> </w:t>
      </w:r>
      <w:r w:rsidRPr="00A6284F">
        <w:rPr>
          <w:rFonts w:eastAsia="Times New Roman"/>
          <w:color w:val="000000"/>
          <w:sz w:val="24"/>
          <w:lang w:val="sq-AL"/>
        </w:rPr>
        <w:t>morën përgjigje pozitive në formë të mbrojtjes plotësuese dhe kjo përbën një rritje të ndjeshme.</w:t>
      </w:r>
      <w:r w:rsidR="007666BB" w:rsidRPr="00A6284F">
        <w:rPr>
          <w:rFonts w:eastAsia="Times New Roman"/>
          <w:color w:val="000000"/>
          <w:sz w:val="24"/>
          <w:lang w:val="sq-AL"/>
        </w:rPr>
        <w:t xml:space="preserve"> </w:t>
      </w:r>
      <w:r w:rsidRPr="00A6284F">
        <w:rPr>
          <w:rFonts w:eastAsia="Times New Roman"/>
          <w:color w:val="000000"/>
          <w:sz w:val="24"/>
          <w:lang w:val="sq-AL"/>
        </w:rPr>
        <w:t xml:space="preserve">Megjithatë, Kosova është ende kryesisht vend </w:t>
      </w:r>
      <w:r w:rsidR="00B01C30" w:rsidRPr="00A6284F">
        <w:rPr>
          <w:rFonts w:eastAsia="Times New Roman"/>
          <w:color w:val="000000"/>
          <w:sz w:val="24"/>
          <w:lang w:val="sq-AL"/>
        </w:rPr>
        <w:t>transit</w:t>
      </w:r>
      <w:r w:rsidRPr="00A6284F">
        <w:rPr>
          <w:rFonts w:eastAsia="Times New Roman"/>
          <w:color w:val="000000"/>
          <w:sz w:val="24"/>
          <w:lang w:val="sq-AL"/>
        </w:rPr>
        <w:t xml:space="preserve">. Shumica e kërkesave për azil pezullohen, pasi që </w:t>
      </w:r>
      <w:proofErr w:type="spellStart"/>
      <w:r w:rsidRPr="00A6284F">
        <w:rPr>
          <w:rFonts w:eastAsia="Times New Roman"/>
          <w:color w:val="000000"/>
          <w:sz w:val="24"/>
          <w:lang w:val="sq-AL"/>
        </w:rPr>
        <w:t>aplikuesit</w:t>
      </w:r>
      <w:proofErr w:type="spellEnd"/>
      <w:r w:rsidR="00B01C30" w:rsidRPr="00A6284F">
        <w:rPr>
          <w:rFonts w:eastAsia="Times New Roman"/>
          <w:color w:val="000000"/>
          <w:sz w:val="24"/>
          <w:lang w:val="sq-AL"/>
        </w:rPr>
        <w:t xml:space="preserve"> </w:t>
      </w:r>
      <w:r w:rsidRPr="00A6284F">
        <w:rPr>
          <w:rFonts w:eastAsia="Times New Roman"/>
          <w:color w:val="000000"/>
          <w:sz w:val="24"/>
          <w:lang w:val="sq-AL"/>
        </w:rPr>
        <w:t xml:space="preserve">zhduken pa përfunduar procedurën. Kosova ka kapacitet për të marrë dhe ruajtur shenjat e gishtërinjve të azilkërkuesve. Megjithëse </w:t>
      </w:r>
      <w:r w:rsidR="001D57ED" w:rsidRPr="00A6284F">
        <w:rPr>
          <w:rFonts w:eastAsia="Times New Roman"/>
          <w:color w:val="000000"/>
          <w:sz w:val="24"/>
          <w:lang w:val="sq-AL"/>
        </w:rPr>
        <w:t xml:space="preserve">nuk janë </w:t>
      </w:r>
      <w:r w:rsidR="001D57ED" w:rsidRPr="00A6284F">
        <w:rPr>
          <w:rFonts w:eastAsia="Times New Roman"/>
          <w:color w:val="000000"/>
          <w:sz w:val="24"/>
          <w:lang w:val="sq-AL"/>
        </w:rPr>
        <w:t xml:space="preserve">krijuar  </w:t>
      </w:r>
      <w:r w:rsidRPr="00A6284F">
        <w:rPr>
          <w:rFonts w:eastAsia="Times New Roman"/>
          <w:color w:val="000000"/>
          <w:sz w:val="24"/>
          <w:lang w:val="sq-AL"/>
        </w:rPr>
        <w:t xml:space="preserve">sisteme </w:t>
      </w:r>
      <w:r w:rsidRPr="00A6284F">
        <w:rPr>
          <w:rFonts w:eastAsia="Times New Roman"/>
          <w:color w:val="000000"/>
          <w:sz w:val="24"/>
          <w:lang w:val="sq-AL"/>
        </w:rPr>
        <w:lastRenderedPageBreak/>
        <w:t>me efektivitet të plotë dhe të ndjeshme ndaj hyrjes</w:t>
      </w:r>
      <w:r w:rsidR="001D57ED" w:rsidRPr="00A6284F">
        <w:rPr>
          <w:rFonts w:eastAsia="Times New Roman"/>
          <w:color w:val="000000"/>
          <w:sz w:val="24"/>
          <w:lang w:val="sq-AL"/>
        </w:rPr>
        <w:t xml:space="preserve"> në vend</w:t>
      </w:r>
      <w:r w:rsidRPr="00A6284F">
        <w:rPr>
          <w:rFonts w:eastAsia="Times New Roman"/>
          <w:color w:val="000000"/>
          <w:sz w:val="24"/>
          <w:lang w:val="sq-AL"/>
        </w:rPr>
        <w:t xml:space="preserve">, </w:t>
      </w:r>
      <w:r w:rsidR="001D57ED" w:rsidRPr="00A6284F">
        <w:rPr>
          <w:rFonts w:eastAsia="Times New Roman"/>
          <w:color w:val="000000"/>
          <w:sz w:val="24"/>
          <w:lang w:val="sq-AL"/>
        </w:rPr>
        <w:t>në vitet e fundit</w:t>
      </w:r>
      <w:r w:rsidR="001D57ED" w:rsidRPr="00A6284F">
        <w:rPr>
          <w:rFonts w:eastAsia="Times New Roman"/>
          <w:color w:val="000000"/>
          <w:sz w:val="24"/>
          <w:lang w:val="sq-AL"/>
        </w:rPr>
        <w:t xml:space="preserve"> </w:t>
      </w:r>
      <w:r w:rsidR="001D57ED" w:rsidRPr="00A6284F">
        <w:rPr>
          <w:rFonts w:eastAsia="Times New Roman"/>
          <w:color w:val="000000"/>
          <w:sz w:val="24"/>
          <w:lang w:val="sq-AL"/>
        </w:rPr>
        <w:t>nuk janë identifikuar</w:t>
      </w:r>
      <w:r w:rsidR="001D57ED" w:rsidRPr="00A6284F">
        <w:rPr>
          <w:rFonts w:eastAsia="Times New Roman"/>
          <w:color w:val="000000"/>
          <w:sz w:val="24"/>
          <w:lang w:val="sq-AL"/>
        </w:rPr>
        <w:t xml:space="preserve"> </w:t>
      </w:r>
      <w:r w:rsidRPr="00A6284F">
        <w:rPr>
          <w:rFonts w:eastAsia="Times New Roman"/>
          <w:color w:val="000000"/>
          <w:sz w:val="24"/>
          <w:lang w:val="sq-AL"/>
        </w:rPr>
        <w:t>raste të dokumentuara të</w:t>
      </w:r>
      <w:r w:rsidR="00B01C30" w:rsidRPr="00A6284F">
        <w:rPr>
          <w:rFonts w:eastAsia="Times New Roman"/>
          <w:color w:val="000000"/>
          <w:sz w:val="24"/>
          <w:lang w:val="sq-AL"/>
        </w:rPr>
        <w:t xml:space="preserve"> dëbimit</w:t>
      </w:r>
      <w:r w:rsidRPr="00A6284F">
        <w:rPr>
          <w:rFonts w:eastAsia="Times New Roman"/>
          <w:color w:val="000000"/>
          <w:sz w:val="24"/>
          <w:lang w:val="sq-AL"/>
        </w:rPr>
        <w:t xml:space="preserve"> </w:t>
      </w:r>
      <w:r w:rsidR="00B01C30" w:rsidRPr="00A6284F">
        <w:rPr>
          <w:rFonts w:eastAsia="Times New Roman"/>
          <w:color w:val="000000"/>
          <w:sz w:val="24"/>
          <w:lang w:val="sq-AL"/>
        </w:rPr>
        <w:t>“</w:t>
      </w:r>
      <w:proofErr w:type="spellStart"/>
      <w:r w:rsidRPr="00A6284F">
        <w:rPr>
          <w:rFonts w:eastAsia="Times New Roman"/>
          <w:i/>
          <w:color w:val="000000"/>
          <w:sz w:val="24"/>
          <w:lang w:val="sq-AL"/>
        </w:rPr>
        <w:t>refoulement</w:t>
      </w:r>
      <w:proofErr w:type="spellEnd"/>
      <w:r w:rsidR="00B01C30" w:rsidRPr="00A6284F">
        <w:rPr>
          <w:rFonts w:eastAsia="Times New Roman"/>
          <w:i/>
          <w:color w:val="000000"/>
          <w:sz w:val="24"/>
          <w:lang w:val="sq-AL"/>
        </w:rPr>
        <w:t>”</w:t>
      </w:r>
      <w:r w:rsidR="001D57ED" w:rsidRPr="00A6284F">
        <w:rPr>
          <w:rFonts w:eastAsia="Times New Roman"/>
          <w:i/>
          <w:color w:val="000000"/>
          <w:sz w:val="24"/>
          <w:lang w:val="sq-AL"/>
        </w:rPr>
        <w:t xml:space="preserve"> </w:t>
      </w:r>
      <w:r w:rsidRPr="00A6284F">
        <w:rPr>
          <w:rFonts w:eastAsia="Times New Roman"/>
          <w:color w:val="000000"/>
          <w:sz w:val="24"/>
          <w:lang w:val="sq-AL"/>
        </w:rPr>
        <w:t>apo kthimit me dhunë.</w:t>
      </w:r>
    </w:p>
    <w:p w:rsidR="00CE1051" w:rsidRPr="00A6284F" w:rsidRDefault="00CE1051" w:rsidP="00CE105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Numri i personelit është në përgjithësi i mjaftueshëm krahas numrit të kërkesave për azil. Sidoqoftë, </w:t>
      </w:r>
      <w:r w:rsidRPr="00A6284F">
        <w:rPr>
          <w:rFonts w:eastAsia="Times New Roman"/>
          <w:b/>
          <w:color w:val="000000"/>
          <w:spacing w:val="1"/>
          <w:sz w:val="24"/>
          <w:lang w:val="sq-AL"/>
        </w:rPr>
        <w:t>Qendra për Azilkërkues</w:t>
      </w:r>
      <w:r w:rsidRPr="00A6284F">
        <w:rPr>
          <w:rFonts w:eastAsia="Times New Roman"/>
          <w:color w:val="000000"/>
          <w:spacing w:val="1"/>
          <w:sz w:val="24"/>
          <w:lang w:val="sq-AL"/>
        </w:rPr>
        <w:t xml:space="preserve">, e cila është përgjegjëse për pranimin, regjistrimin, strehimin dhe lëvizjen e azilkërkuesve brenda dhe jashtë Qendrës, nuk ka personel të mjaftueshëm. </w:t>
      </w:r>
      <w:r w:rsidR="000037FD" w:rsidRPr="00A6284F">
        <w:rPr>
          <w:rFonts w:eastAsia="Times New Roman"/>
          <w:color w:val="000000"/>
          <w:spacing w:val="1"/>
          <w:sz w:val="24"/>
          <w:lang w:val="sq-AL"/>
        </w:rPr>
        <w:t>G</w:t>
      </w:r>
      <w:r w:rsidRPr="00A6284F">
        <w:rPr>
          <w:rFonts w:eastAsia="Times New Roman"/>
          <w:color w:val="000000"/>
          <w:spacing w:val="1"/>
          <w:sz w:val="24"/>
          <w:lang w:val="sq-AL"/>
        </w:rPr>
        <w:t xml:space="preserve">jithashtu </w:t>
      </w:r>
      <w:r w:rsidR="000037FD" w:rsidRPr="00A6284F">
        <w:rPr>
          <w:rFonts w:eastAsia="Times New Roman"/>
          <w:color w:val="000000"/>
          <w:spacing w:val="1"/>
          <w:sz w:val="24"/>
          <w:lang w:val="sq-AL"/>
        </w:rPr>
        <w:t xml:space="preserve">ka </w:t>
      </w:r>
      <w:r w:rsidRPr="00A6284F">
        <w:rPr>
          <w:rFonts w:eastAsia="Times New Roman"/>
          <w:color w:val="000000"/>
          <w:spacing w:val="1"/>
          <w:sz w:val="24"/>
          <w:lang w:val="sq-AL"/>
        </w:rPr>
        <w:t xml:space="preserve">mungesë </w:t>
      </w:r>
      <w:r w:rsidR="000037FD"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mbështetjes </w:t>
      </w:r>
      <w:proofErr w:type="spellStart"/>
      <w:r w:rsidRPr="00A6284F">
        <w:rPr>
          <w:rFonts w:eastAsia="Times New Roman"/>
          <w:color w:val="000000"/>
          <w:spacing w:val="1"/>
          <w:sz w:val="24"/>
          <w:lang w:val="sq-AL"/>
        </w:rPr>
        <w:t>psiko</w:t>
      </w:r>
      <w:proofErr w:type="spellEnd"/>
      <w:r w:rsidR="000037FD" w:rsidRPr="00A6284F">
        <w:rPr>
          <w:rFonts w:eastAsia="Times New Roman"/>
          <w:color w:val="000000"/>
          <w:spacing w:val="1"/>
          <w:sz w:val="24"/>
          <w:lang w:val="sq-AL"/>
        </w:rPr>
        <w:t>-</w:t>
      </w:r>
      <w:r w:rsidRPr="00A6284F">
        <w:rPr>
          <w:rFonts w:eastAsia="Times New Roman"/>
          <w:color w:val="000000"/>
          <w:spacing w:val="1"/>
          <w:sz w:val="24"/>
          <w:lang w:val="sq-AL"/>
        </w:rPr>
        <w:t>sociale dhe ligjore, asistencë për zhvillimin dhe edukimin e fëmijëve dhe mbështetje nga shërbimet sociale. Edhe pse në legjislacionin dytësor parashihet një sistem referimi në kufi/vijë kufitare, duke përfshirë edhe qasjen në ndihmë juridike, kjo gjë ende nuk është duke u zbatuar.           .</w:t>
      </w:r>
    </w:p>
    <w:p w:rsidR="00E0616C" w:rsidRPr="00A6284F" w:rsidRDefault="00CE1051" w:rsidP="00CE105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ka një </w:t>
      </w:r>
      <w:r w:rsidRPr="00A6284F">
        <w:rPr>
          <w:rFonts w:eastAsia="Times New Roman"/>
          <w:b/>
          <w:color w:val="000000"/>
          <w:spacing w:val="-1"/>
          <w:sz w:val="24"/>
          <w:lang w:val="sq-AL"/>
        </w:rPr>
        <w:t xml:space="preserve">plan </w:t>
      </w:r>
      <w:proofErr w:type="spellStart"/>
      <w:r w:rsidRPr="00A6284F">
        <w:rPr>
          <w:rFonts w:eastAsia="Times New Roman"/>
          <w:b/>
          <w:color w:val="000000"/>
          <w:spacing w:val="-1"/>
          <w:sz w:val="24"/>
          <w:lang w:val="sq-AL"/>
        </w:rPr>
        <w:t>kontigjent</w:t>
      </w:r>
      <w:proofErr w:type="spellEnd"/>
      <w:r w:rsidRPr="00A6284F">
        <w:rPr>
          <w:rFonts w:eastAsia="Times New Roman"/>
          <w:color w:val="000000"/>
          <w:spacing w:val="-1"/>
          <w:sz w:val="24"/>
          <w:lang w:val="sq-AL"/>
        </w:rPr>
        <w:t xml:space="preserve"> për menaxhimin e ndonjë vale</w:t>
      </w:r>
      <w:r w:rsidR="000037FD" w:rsidRPr="00A6284F">
        <w:rPr>
          <w:rFonts w:eastAsia="Times New Roman"/>
          <w:color w:val="000000"/>
          <w:spacing w:val="-1"/>
          <w:sz w:val="24"/>
          <w:lang w:val="sq-AL"/>
        </w:rPr>
        <w:t xml:space="preserve"> </w:t>
      </w:r>
      <w:r w:rsidRPr="00A6284F">
        <w:rPr>
          <w:rFonts w:eastAsia="Times New Roman"/>
          <w:color w:val="000000"/>
          <w:spacing w:val="-1"/>
          <w:sz w:val="24"/>
          <w:lang w:val="sq-AL"/>
        </w:rPr>
        <w:t>të mundshme të refugjatëve dhe emigrantëve, e cila përditësohet rregullisht. Rolet e institucioneve të ndryshme në këtë plan duhet të përcaktohen më mirë, ndërsa koordinimi institucional duhet të përmirësohet. Qendrat e pranimit të identifikuara në plan duhet që tanimë të bëhen funksionale aty ku është e mundur. Zyra Evropiane për Përkrahjen e Azilit po ndihmon autoritetet e Kosovës të harmonizojnë praktikat duke zbatuar sistemin e përbashkët evropian të azilit dhe duke u koordinuar me rrjetet evropiane për pranim.</w:t>
      </w:r>
    </w:p>
    <w:p w:rsidR="00CE1051" w:rsidRPr="00A6284F" w:rsidRDefault="00CE1051" w:rsidP="00CE1051">
      <w:pPr>
        <w:spacing w:before="131" w:line="274" w:lineRule="exact"/>
        <w:ind w:left="144"/>
        <w:textAlignment w:val="baseline"/>
        <w:rPr>
          <w:rFonts w:eastAsia="Times New Roman"/>
          <w:b/>
          <w:color w:val="000000"/>
          <w:sz w:val="24"/>
          <w:lang w:val="sq-AL"/>
        </w:rPr>
      </w:pPr>
      <w:r w:rsidRPr="00A6284F">
        <w:rPr>
          <w:rFonts w:eastAsia="Times New Roman"/>
          <w:b/>
          <w:color w:val="000000"/>
          <w:sz w:val="24"/>
          <w:lang w:val="sq-AL"/>
        </w:rPr>
        <w:t>Politika e vizave</w:t>
      </w:r>
    </w:p>
    <w:p w:rsidR="00CE1051" w:rsidRPr="00A6284F" w:rsidRDefault="00CE1051" w:rsidP="00B01AA2">
      <w:pPr>
        <w:spacing w:before="116"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ende nuk e ka harmonizuar plotësisht legjislacionin e saj me politikën e vizave të BE-së. Sipas një vendimi qeveritar të vitit 2013, Kosova </w:t>
      </w:r>
      <w:r w:rsidR="00B01AA2" w:rsidRPr="00A6284F">
        <w:rPr>
          <w:rFonts w:eastAsia="Times New Roman"/>
          <w:color w:val="000000"/>
          <w:sz w:val="24"/>
          <w:lang w:val="sq-AL"/>
        </w:rPr>
        <w:t>ka vendosur</w:t>
      </w:r>
      <w:r w:rsidRPr="00A6284F">
        <w:rPr>
          <w:rFonts w:eastAsia="Times New Roman"/>
          <w:color w:val="000000"/>
          <w:sz w:val="24"/>
          <w:lang w:val="sq-AL"/>
        </w:rPr>
        <w:t xml:space="preserve"> kërkesa për viza </w:t>
      </w:r>
      <w:r w:rsidR="00B01AA2" w:rsidRPr="00A6284F">
        <w:rPr>
          <w:rFonts w:eastAsia="Times New Roman"/>
          <w:color w:val="000000"/>
          <w:sz w:val="24"/>
          <w:lang w:val="sq-AL"/>
        </w:rPr>
        <w:t xml:space="preserve">ndaj </w:t>
      </w:r>
      <w:r w:rsidRPr="00A6284F">
        <w:rPr>
          <w:rFonts w:eastAsia="Times New Roman"/>
          <w:color w:val="000000"/>
          <w:sz w:val="24"/>
          <w:lang w:val="sq-AL"/>
        </w:rPr>
        <w:t>shtetas</w:t>
      </w:r>
      <w:r w:rsidR="00B01AA2" w:rsidRPr="00A6284F">
        <w:rPr>
          <w:rFonts w:eastAsia="Times New Roman"/>
          <w:color w:val="000000"/>
          <w:sz w:val="24"/>
          <w:lang w:val="sq-AL"/>
        </w:rPr>
        <w:t>ve</w:t>
      </w:r>
      <w:r w:rsidRPr="00A6284F">
        <w:rPr>
          <w:rFonts w:eastAsia="Times New Roman"/>
          <w:color w:val="000000"/>
          <w:sz w:val="24"/>
          <w:lang w:val="sq-AL"/>
        </w:rPr>
        <w:t xml:space="preserve"> </w:t>
      </w:r>
      <w:r w:rsidR="00B01AA2" w:rsidRPr="00A6284F">
        <w:rPr>
          <w:rFonts w:eastAsia="Times New Roman"/>
          <w:color w:val="000000"/>
          <w:sz w:val="24"/>
          <w:lang w:val="sq-AL"/>
        </w:rPr>
        <w:t xml:space="preserve">të </w:t>
      </w:r>
      <w:r w:rsidRPr="00A6284F">
        <w:rPr>
          <w:rFonts w:eastAsia="Times New Roman"/>
          <w:color w:val="000000"/>
          <w:sz w:val="24"/>
          <w:lang w:val="sq-AL"/>
        </w:rPr>
        <w:t>88 vendeve.</w:t>
      </w:r>
      <w:r w:rsidR="00B01AA2" w:rsidRPr="00A6284F">
        <w:rPr>
          <w:rFonts w:eastAsia="Times New Roman"/>
          <w:color w:val="000000"/>
          <w:sz w:val="24"/>
          <w:lang w:val="sq-AL"/>
        </w:rPr>
        <w:t xml:space="preserve"> </w:t>
      </w:r>
      <w:r w:rsidRPr="00A6284F">
        <w:rPr>
          <w:rFonts w:eastAsia="Times New Roman"/>
          <w:color w:val="000000"/>
          <w:sz w:val="24"/>
          <w:lang w:val="sq-AL"/>
        </w:rPr>
        <w:t>Numri i konsullatave të Kosovës që lëshojnë viza mbeti 16. Në periudhën raportuese, në kufi janë lëshuar 20 viza me afat vlefshmërie prej 15 ditësh kalendarike.</w:t>
      </w:r>
      <w:r w:rsidR="00B01AA2" w:rsidRPr="00A6284F">
        <w:rPr>
          <w:rFonts w:eastAsia="Times New Roman"/>
          <w:color w:val="000000"/>
          <w:sz w:val="24"/>
          <w:lang w:val="sq-AL"/>
        </w:rPr>
        <w:t xml:space="preserve"> </w:t>
      </w:r>
      <w:r w:rsidRPr="00A6284F">
        <w:rPr>
          <w:rFonts w:eastAsia="Times New Roman"/>
          <w:color w:val="000000"/>
          <w:sz w:val="24"/>
          <w:lang w:val="sq-AL"/>
        </w:rPr>
        <w:t xml:space="preserve">Autoritetet për lëshimin e vizave kanë kapacitetin </w:t>
      </w:r>
      <w:r w:rsidR="00B01AA2" w:rsidRPr="00A6284F">
        <w:rPr>
          <w:rFonts w:eastAsia="Times New Roman"/>
          <w:color w:val="000000"/>
          <w:sz w:val="24"/>
          <w:lang w:val="sq-AL"/>
        </w:rPr>
        <w:t>q</w:t>
      </w:r>
      <w:r w:rsidRPr="00A6284F">
        <w:rPr>
          <w:rFonts w:eastAsia="Times New Roman"/>
          <w:color w:val="000000"/>
          <w:sz w:val="24"/>
          <w:lang w:val="sq-AL"/>
        </w:rPr>
        <w:t>ë të mbledh</w:t>
      </w:r>
      <w:r w:rsidR="00B01AA2" w:rsidRPr="00A6284F">
        <w:rPr>
          <w:rFonts w:eastAsia="Times New Roman"/>
          <w:color w:val="000000"/>
          <w:sz w:val="24"/>
          <w:lang w:val="sq-AL"/>
        </w:rPr>
        <w:t xml:space="preserve">in </w:t>
      </w:r>
      <w:r w:rsidRPr="00A6284F">
        <w:rPr>
          <w:rFonts w:eastAsia="Times New Roman"/>
          <w:color w:val="000000"/>
          <w:sz w:val="24"/>
          <w:lang w:val="sq-AL"/>
        </w:rPr>
        <w:t xml:space="preserve">identifikuesit biometrikë </w:t>
      </w:r>
      <w:proofErr w:type="spellStart"/>
      <w:r w:rsidRPr="00A6284F">
        <w:rPr>
          <w:rFonts w:eastAsia="Times New Roman"/>
          <w:color w:val="000000"/>
          <w:sz w:val="24"/>
          <w:lang w:val="sq-AL"/>
        </w:rPr>
        <w:t>digjitalisht</w:t>
      </w:r>
      <w:proofErr w:type="spellEnd"/>
      <w:r w:rsidRPr="00A6284F">
        <w:rPr>
          <w:rFonts w:eastAsia="Times New Roman"/>
          <w:color w:val="000000"/>
          <w:sz w:val="24"/>
          <w:lang w:val="sq-AL"/>
        </w:rPr>
        <w:t xml:space="preserve"> nga </w:t>
      </w:r>
      <w:proofErr w:type="spellStart"/>
      <w:r w:rsidRPr="00A6284F">
        <w:rPr>
          <w:rFonts w:eastAsia="Times New Roman"/>
          <w:color w:val="000000"/>
          <w:sz w:val="24"/>
          <w:lang w:val="sq-AL"/>
        </w:rPr>
        <w:t>aplikuesit</w:t>
      </w:r>
      <w:proofErr w:type="spellEnd"/>
      <w:r w:rsidRPr="00A6284F">
        <w:rPr>
          <w:rFonts w:eastAsia="Times New Roman"/>
          <w:color w:val="000000"/>
          <w:sz w:val="24"/>
          <w:lang w:val="sq-AL"/>
        </w:rPr>
        <w:t xml:space="preserve"> për viza, megjithëse pajisjet </w:t>
      </w:r>
      <w:r w:rsidR="00B01AA2" w:rsidRPr="00A6284F">
        <w:rPr>
          <w:rFonts w:eastAsia="Times New Roman"/>
          <w:color w:val="000000"/>
          <w:sz w:val="24"/>
          <w:lang w:val="sq-AL"/>
        </w:rPr>
        <w:t xml:space="preserve">duhet të përmirësohen. </w:t>
      </w:r>
      <w:r w:rsidRPr="00A6284F">
        <w:rPr>
          <w:rFonts w:eastAsia="Times New Roman"/>
          <w:color w:val="000000"/>
          <w:sz w:val="24"/>
          <w:lang w:val="sq-AL"/>
        </w:rPr>
        <w:t>Të gjitha vizat dhe refuzimet e vizave janë të regjistruara në sistemin e informacionit të vizave të Kosovës.</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Qytetarët e Kosovës mbeten të vetmit shtetas nga Ballkani Perëndimor që duhet të aplikojnë dhe të marrin viza për të udhëtuar në Zonën </w:t>
      </w:r>
      <w:proofErr w:type="spellStart"/>
      <w:r w:rsidRPr="00A6284F">
        <w:rPr>
          <w:rFonts w:eastAsia="Times New Roman"/>
          <w:color w:val="000000"/>
          <w:sz w:val="24"/>
          <w:lang w:val="sq-AL"/>
        </w:rPr>
        <w:t>Shengen</w:t>
      </w:r>
      <w:proofErr w:type="spellEnd"/>
      <w:r w:rsidRPr="00A6284F">
        <w:rPr>
          <w:rFonts w:eastAsia="Times New Roman"/>
          <w:color w:val="000000"/>
          <w:sz w:val="24"/>
          <w:lang w:val="sq-AL"/>
        </w:rPr>
        <w:t>.</w:t>
      </w:r>
      <w:r w:rsidR="00B01AA2" w:rsidRPr="00A6284F">
        <w:rPr>
          <w:rFonts w:eastAsia="Times New Roman"/>
          <w:color w:val="000000"/>
          <w:sz w:val="24"/>
          <w:lang w:val="sq-AL"/>
        </w:rPr>
        <w:t xml:space="preserve"> </w:t>
      </w:r>
      <w:r w:rsidR="00B01AA2" w:rsidRPr="00A6284F">
        <w:rPr>
          <w:rFonts w:eastAsia="Times New Roman"/>
          <w:b/>
          <w:color w:val="000000"/>
          <w:sz w:val="24"/>
          <w:lang w:val="sq-AL"/>
        </w:rPr>
        <w:t>D</w:t>
      </w:r>
      <w:r w:rsidRPr="00A6284F">
        <w:rPr>
          <w:rFonts w:eastAsia="Times New Roman"/>
          <w:b/>
          <w:color w:val="000000"/>
          <w:sz w:val="24"/>
          <w:lang w:val="sq-AL"/>
        </w:rPr>
        <w:t>ialog</w:t>
      </w:r>
      <w:r w:rsidR="00B01AA2" w:rsidRPr="00A6284F">
        <w:rPr>
          <w:rFonts w:eastAsia="Times New Roman"/>
          <w:b/>
          <w:color w:val="000000"/>
          <w:sz w:val="24"/>
          <w:lang w:val="sq-AL"/>
        </w:rPr>
        <w:t>u</w:t>
      </w:r>
      <w:r w:rsidRPr="00A6284F">
        <w:rPr>
          <w:rFonts w:eastAsia="Times New Roman"/>
          <w:b/>
          <w:color w:val="000000"/>
          <w:sz w:val="24"/>
          <w:lang w:val="sq-AL"/>
        </w:rPr>
        <w:t xml:space="preserve"> për liberalizimin e vizave</w:t>
      </w:r>
      <w:r w:rsidRPr="00A6284F">
        <w:rPr>
          <w:rFonts w:eastAsia="Times New Roman"/>
          <w:color w:val="000000"/>
          <w:sz w:val="24"/>
          <w:lang w:val="sq-AL"/>
        </w:rPr>
        <w:t xml:space="preserve"> filloi në vitin 2012.</w:t>
      </w:r>
      <w:r w:rsidR="00B01AA2" w:rsidRPr="00A6284F">
        <w:rPr>
          <w:rFonts w:eastAsia="Times New Roman"/>
          <w:color w:val="000000"/>
          <w:sz w:val="24"/>
          <w:lang w:val="sq-AL"/>
        </w:rPr>
        <w:t xml:space="preserve"> </w:t>
      </w:r>
      <w:r w:rsidRPr="00A6284F">
        <w:rPr>
          <w:rFonts w:eastAsia="Times New Roman"/>
          <w:color w:val="000000"/>
          <w:sz w:val="24"/>
          <w:lang w:val="sq-AL"/>
        </w:rPr>
        <w:t>Në maj të vitit 2016, Komisioni lëshoi një propozim legjislativ për liberalizimin e vizave, me kuptimin se deri në ditën e miratimit nga ana e Parlamentit Evropian dhe Këshillit, Kosova do të kishte ratifikuar marrëveshjen kufitare me Malin e Zi duke forcuar regjistrin e saj në luftën kundër krimit të organizuar dhe korrupsionit.</w:t>
      </w:r>
      <w:r w:rsidR="00B01AA2" w:rsidRPr="00A6284F">
        <w:rPr>
          <w:rFonts w:eastAsia="Times New Roman"/>
          <w:color w:val="000000"/>
          <w:sz w:val="24"/>
          <w:lang w:val="sq-AL"/>
        </w:rPr>
        <w:t xml:space="preserve"> </w:t>
      </w:r>
      <w:r w:rsidRPr="00A6284F">
        <w:rPr>
          <w:rFonts w:eastAsia="Times New Roman"/>
          <w:color w:val="000000"/>
          <w:sz w:val="24"/>
          <w:lang w:val="sq-AL"/>
        </w:rPr>
        <w:t>Pas ratifikimit të marrëveshjes së demarkacionit të kufirit/kufi</w:t>
      </w:r>
      <w:r w:rsidR="00B01AA2" w:rsidRPr="00A6284F">
        <w:rPr>
          <w:rFonts w:eastAsia="Times New Roman"/>
          <w:color w:val="000000"/>
          <w:sz w:val="24"/>
          <w:lang w:val="sq-AL"/>
        </w:rPr>
        <w:t xml:space="preserve">rit administrativ </w:t>
      </w:r>
      <w:r w:rsidRPr="00A6284F">
        <w:rPr>
          <w:rFonts w:eastAsia="Times New Roman"/>
          <w:color w:val="000000"/>
          <w:sz w:val="24"/>
          <w:lang w:val="sq-AL"/>
        </w:rPr>
        <w:t xml:space="preserve">në mars të vitit 2018 dhe forcimit të regjistrave të saj, </w:t>
      </w:r>
      <w:r w:rsidR="00B01AA2" w:rsidRPr="00A6284F">
        <w:rPr>
          <w:rFonts w:eastAsia="Times New Roman"/>
          <w:color w:val="000000"/>
          <w:sz w:val="24"/>
          <w:lang w:val="sq-AL"/>
        </w:rPr>
        <w:t xml:space="preserve">në korrik të vitit 2018 </w:t>
      </w:r>
      <w:r w:rsidRPr="00A6284F">
        <w:rPr>
          <w:rFonts w:eastAsia="Times New Roman"/>
          <w:color w:val="000000"/>
          <w:sz w:val="24"/>
          <w:lang w:val="sq-AL"/>
        </w:rPr>
        <w:t>Komisioni konfirmoi</w:t>
      </w:r>
      <w:r w:rsidR="00B01AA2" w:rsidRPr="00A6284F">
        <w:rPr>
          <w:rFonts w:eastAsia="Times New Roman"/>
          <w:color w:val="000000"/>
          <w:sz w:val="24"/>
          <w:lang w:val="sq-AL"/>
        </w:rPr>
        <w:t xml:space="preserve"> </w:t>
      </w:r>
      <w:r w:rsidRPr="00A6284F">
        <w:rPr>
          <w:rFonts w:eastAsia="Times New Roman"/>
          <w:color w:val="000000"/>
          <w:sz w:val="24"/>
          <w:lang w:val="sq-AL"/>
        </w:rPr>
        <w:t xml:space="preserve">se Kosova ka përmbushur të gjitha </w:t>
      </w:r>
      <w:r w:rsidR="00B01AA2" w:rsidRPr="00A6284F">
        <w:rPr>
          <w:rFonts w:eastAsia="Times New Roman"/>
          <w:color w:val="000000"/>
          <w:sz w:val="24"/>
          <w:lang w:val="sq-AL"/>
        </w:rPr>
        <w:t xml:space="preserve">kriteret </w:t>
      </w:r>
      <w:r w:rsidRPr="00A6284F">
        <w:rPr>
          <w:rFonts w:eastAsia="Times New Roman"/>
          <w:color w:val="000000"/>
          <w:sz w:val="24"/>
          <w:lang w:val="sq-AL"/>
        </w:rPr>
        <w:t>e udhërrëfyesit për liberalizimin e vizave.</w:t>
      </w:r>
      <w:r w:rsidR="00B01AA2" w:rsidRPr="00A6284F">
        <w:rPr>
          <w:rFonts w:eastAsia="Times New Roman"/>
          <w:color w:val="000000"/>
          <w:sz w:val="24"/>
          <w:lang w:val="sq-AL"/>
        </w:rPr>
        <w:t xml:space="preserve"> Ai po ashtu r</w:t>
      </w:r>
      <w:r w:rsidRPr="00A6284F">
        <w:rPr>
          <w:rFonts w:eastAsia="Times New Roman"/>
          <w:color w:val="000000"/>
          <w:sz w:val="24"/>
          <w:lang w:val="sq-AL"/>
        </w:rPr>
        <w:t xml:space="preserve">ekomandoi që Këshilli dhe Parlamenti Evropian të </w:t>
      </w:r>
      <w:r w:rsidR="00255CD3" w:rsidRPr="00A6284F">
        <w:rPr>
          <w:rFonts w:eastAsia="Times New Roman"/>
          <w:color w:val="000000"/>
          <w:sz w:val="24"/>
          <w:lang w:val="sq-AL"/>
        </w:rPr>
        <w:t xml:space="preserve">vazhdojnë </w:t>
      </w:r>
      <w:r w:rsidRPr="00A6284F">
        <w:rPr>
          <w:rFonts w:eastAsia="Times New Roman"/>
          <w:color w:val="000000"/>
          <w:sz w:val="24"/>
          <w:lang w:val="sq-AL"/>
        </w:rPr>
        <w:t>para me propozimin.</w:t>
      </w:r>
      <w:r w:rsidR="00255CD3" w:rsidRPr="00A6284F">
        <w:rPr>
          <w:rFonts w:eastAsia="Times New Roman"/>
          <w:color w:val="000000"/>
          <w:sz w:val="24"/>
          <w:lang w:val="sq-AL"/>
        </w:rPr>
        <w:t xml:space="preserve"> </w:t>
      </w:r>
      <w:r w:rsidRPr="00A6284F">
        <w:rPr>
          <w:rFonts w:eastAsia="Times New Roman"/>
          <w:color w:val="000000"/>
          <w:sz w:val="24"/>
          <w:lang w:val="sq-AL"/>
        </w:rPr>
        <w:t>Në mars të vitit 2019, Parlamenti Evropian votoi në mbështetje të propozimit të Komisionit në leximin e tij të parë.</w:t>
      </w:r>
      <w:r w:rsidR="00255CD3" w:rsidRPr="00A6284F">
        <w:rPr>
          <w:rFonts w:eastAsia="Times New Roman"/>
          <w:color w:val="000000"/>
          <w:sz w:val="24"/>
          <w:lang w:val="sq-AL"/>
        </w:rPr>
        <w:t xml:space="preserve"> </w:t>
      </w:r>
      <w:r w:rsidRPr="00A6284F">
        <w:rPr>
          <w:rFonts w:eastAsia="Times New Roman"/>
          <w:color w:val="000000"/>
          <w:sz w:val="24"/>
          <w:lang w:val="sq-AL"/>
        </w:rPr>
        <w:t>Propozimi është në pritje në Këshill.</w:t>
      </w:r>
      <w:r w:rsidR="00255CD3" w:rsidRPr="00A6284F">
        <w:rPr>
          <w:rFonts w:eastAsia="Times New Roman"/>
          <w:color w:val="000000"/>
          <w:sz w:val="24"/>
          <w:lang w:val="sq-AL"/>
        </w:rPr>
        <w:t xml:space="preserve"> </w:t>
      </w:r>
      <w:r w:rsidRPr="00A6284F">
        <w:rPr>
          <w:rFonts w:eastAsia="Times New Roman"/>
          <w:color w:val="000000"/>
          <w:sz w:val="24"/>
          <w:lang w:val="sq-AL"/>
        </w:rPr>
        <w:t>Autoritetet e Kosovës filluan një fushatë publike për ndërgjegjësim në lidhje me liberalizimin e vizave, i cili duhet të vazhdojë me qëllim të edukimit të popullsisë për të drejtat dhe detyrimet e tyre nën regjimin e ardhshëm të liberalizimit të vizave.</w:t>
      </w:r>
    </w:p>
    <w:p w:rsidR="00CE1051" w:rsidRPr="00A6284F" w:rsidRDefault="00CE1051" w:rsidP="00CE1051">
      <w:pPr>
        <w:spacing w:before="126" w:line="274" w:lineRule="exact"/>
        <w:ind w:left="144"/>
        <w:textAlignment w:val="baseline"/>
        <w:rPr>
          <w:rFonts w:eastAsia="Times New Roman"/>
          <w:b/>
          <w:color w:val="000000"/>
          <w:sz w:val="24"/>
          <w:lang w:val="sq-AL"/>
        </w:rPr>
      </w:pPr>
      <w:proofErr w:type="spellStart"/>
      <w:r w:rsidRPr="00A6284F">
        <w:rPr>
          <w:rFonts w:eastAsia="Times New Roman"/>
          <w:b/>
          <w:color w:val="000000"/>
          <w:sz w:val="24"/>
          <w:lang w:val="sq-AL"/>
        </w:rPr>
        <w:t>Shengeni</w:t>
      </w:r>
      <w:proofErr w:type="spellEnd"/>
      <w:r w:rsidRPr="00A6284F">
        <w:rPr>
          <w:rFonts w:eastAsia="Times New Roman"/>
          <w:b/>
          <w:color w:val="000000"/>
          <w:sz w:val="24"/>
          <w:lang w:val="sq-AL"/>
        </w:rPr>
        <w:t xml:space="preserve"> dhe kufijtë</w:t>
      </w:r>
    </w:p>
    <w:p w:rsidR="00CE1051" w:rsidRPr="00A6284F" w:rsidRDefault="00CE1051" w:rsidP="00CE1051">
      <w:pPr>
        <w:spacing w:before="119"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Struktura institucionale dhe harmonizimi ligjor</w:t>
      </w:r>
    </w:p>
    <w:p w:rsidR="00CE1051"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 xml:space="preserve">Qendra Kombëtare për Menaxhimin e Kufijve </w:t>
      </w:r>
      <w:r w:rsidRPr="00A6284F">
        <w:rPr>
          <w:rFonts w:eastAsia="Times New Roman"/>
          <w:color w:val="000000"/>
          <w:sz w:val="24"/>
          <w:lang w:val="sq-AL"/>
        </w:rPr>
        <w:t xml:space="preserve">ka një njësi të përbashkët të </w:t>
      </w:r>
      <w:r w:rsidR="006F47F1" w:rsidRPr="00A6284F">
        <w:rPr>
          <w:rFonts w:eastAsia="Times New Roman"/>
          <w:color w:val="000000"/>
          <w:sz w:val="24"/>
          <w:lang w:val="sq-AL"/>
        </w:rPr>
        <w:t xml:space="preserve">inteligjencës për </w:t>
      </w:r>
      <w:r w:rsidRPr="00A6284F">
        <w:rPr>
          <w:rFonts w:eastAsia="Times New Roman"/>
          <w:color w:val="000000"/>
          <w:sz w:val="24"/>
          <w:lang w:val="sq-AL"/>
        </w:rPr>
        <w:t>analiz</w:t>
      </w:r>
      <w:r w:rsidR="006F47F1" w:rsidRPr="00A6284F">
        <w:rPr>
          <w:rFonts w:eastAsia="Times New Roman"/>
          <w:color w:val="000000"/>
          <w:sz w:val="24"/>
          <w:lang w:val="sq-AL"/>
        </w:rPr>
        <w:t xml:space="preserve">imin e </w:t>
      </w:r>
      <w:r w:rsidRPr="00A6284F">
        <w:rPr>
          <w:rFonts w:eastAsia="Times New Roman"/>
          <w:color w:val="000000"/>
          <w:sz w:val="24"/>
          <w:lang w:val="sq-AL"/>
        </w:rPr>
        <w:t>rrezikut dhe kërcënim</w:t>
      </w:r>
      <w:r w:rsidR="006F47F1" w:rsidRPr="00A6284F">
        <w:rPr>
          <w:rFonts w:eastAsia="Times New Roman"/>
          <w:color w:val="000000"/>
          <w:sz w:val="24"/>
          <w:lang w:val="sq-AL"/>
        </w:rPr>
        <w:t>eve</w:t>
      </w:r>
      <w:r w:rsidRPr="00A6284F">
        <w:rPr>
          <w:rFonts w:eastAsia="Times New Roman"/>
          <w:color w:val="000000"/>
          <w:sz w:val="24"/>
          <w:lang w:val="sq-AL"/>
        </w:rPr>
        <w:t xml:space="preserve">, </w:t>
      </w:r>
      <w:r w:rsidR="006F47F1" w:rsidRPr="00A6284F">
        <w:rPr>
          <w:rFonts w:eastAsia="Times New Roman"/>
          <w:color w:val="000000"/>
          <w:sz w:val="24"/>
          <w:lang w:val="sq-AL"/>
        </w:rPr>
        <w:t xml:space="preserve">që </w:t>
      </w:r>
      <w:r w:rsidRPr="00A6284F">
        <w:rPr>
          <w:rFonts w:eastAsia="Times New Roman"/>
          <w:color w:val="000000"/>
          <w:sz w:val="24"/>
          <w:lang w:val="sq-AL"/>
        </w:rPr>
        <w:t>mbledh të dhëna dhe informacione nga agjencitë përgjegjëse për menaxhimin e integruar të kufijve (MIK): policia, doganat dhe Agjencia e Ushqimit dhe Veterinarisë.</w:t>
      </w:r>
      <w:r w:rsidR="006F47F1" w:rsidRPr="00A6284F">
        <w:rPr>
          <w:rFonts w:eastAsia="Times New Roman"/>
          <w:color w:val="000000"/>
          <w:sz w:val="24"/>
          <w:lang w:val="sq-AL"/>
        </w:rPr>
        <w:t xml:space="preserve"> </w:t>
      </w:r>
      <w:r w:rsidRPr="00A6284F">
        <w:rPr>
          <w:rFonts w:eastAsia="Times New Roman"/>
          <w:color w:val="000000"/>
          <w:sz w:val="24"/>
          <w:lang w:val="sq-AL"/>
        </w:rPr>
        <w:t>Kjo qendër shihet si një nga elementët më të rëndësishëm të kapacitetit të Kosovës për menaxh</w:t>
      </w:r>
      <w:r w:rsidR="006F47F1" w:rsidRPr="00A6284F">
        <w:rPr>
          <w:rFonts w:eastAsia="Times New Roman"/>
          <w:color w:val="000000"/>
          <w:sz w:val="24"/>
          <w:lang w:val="sq-AL"/>
        </w:rPr>
        <w:t xml:space="preserve">im </w:t>
      </w:r>
      <w:r w:rsidRPr="00A6284F">
        <w:rPr>
          <w:rFonts w:eastAsia="Times New Roman"/>
          <w:color w:val="000000"/>
          <w:sz w:val="24"/>
          <w:lang w:val="sq-AL"/>
        </w:rPr>
        <w:t xml:space="preserve">efektiv </w:t>
      </w:r>
      <w:r w:rsidR="006F47F1" w:rsidRPr="00A6284F">
        <w:rPr>
          <w:rFonts w:eastAsia="Times New Roman"/>
          <w:color w:val="000000"/>
          <w:sz w:val="24"/>
          <w:lang w:val="sq-AL"/>
        </w:rPr>
        <w:t xml:space="preserve">të </w:t>
      </w:r>
      <w:r w:rsidRPr="00A6284F">
        <w:rPr>
          <w:rFonts w:eastAsia="Times New Roman"/>
          <w:color w:val="000000"/>
          <w:sz w:val="24"/>
          <w:lang w:val="sq-AL"/>
        </w:rPr>
        <w:t>siguri</w:t>
      </w:r>
      <w:r w:rsidR="006F47F1" w:rsidRPr="00A6284F">
        <w:rPr>
          <w:rFonts w:eastAsia="Times New Roman"/>
          <w:color w:val="000000"/>
          <w:sz w:val="24"/>
          <w:lang w:val="sq-AL"/>
        </w:rPr>
        <w:t>s</w:t>
      </w:r>
      <w:r w:rsidRPr="00A6284F">
        <w:rPr>
          <w:rFonts w:eastAsia="Times New Roman"/>
          <w:color w:val="000000"/>
          <w:sz w:val="24"/>
          <w:lang w:val="sq-AL"/>
        </w:rPr>
        <w:t xml:space="preserve">ë </w:t>
      </w:r>
      <w:r w:rsidR="006F47F1" w:rsidRPr="00A6284F">
        <w:rPr>
          <w:rFonts w:eastAsia="Times New Roman"/>
          <w:color w:val="000000"/>
          <w:sz w:val="24"/>
          <w:lang w:val="sq-AL"/>
        </w:rPr>
        <w:t xml:space="preserve">së </w:t>
      </w:r>
      <w:r w:rsidRPr="00A6284F">
        <w:rPr>
          <w:rFonts w:eastAsia="Times New Roman"/>
          <w:color w:val="000000"/>
          <w:sz w:val="24"/>
          <w:lang w:val="sq-AL"/>
        </w:rPr>
        <w:t>kufirit/vijës kufitare të saj.</w:t>
      </w:r>
      <w:r w:rsidR="006F47F1" w:rsidRPr="00A6284F">
        <w:rPr>
          <w:rFonts w:eastAsia="Times New Roman"/>
          <w:color w:val="000000"/>
          <w:sz w:val="24"/>
          <w:lang w:val="sq-AL"/>
        </w:rPr>
        <w:t xml:space="preserve"> </w:t>
      </w:r>
      <w:r w:rsidRPr="00A6284F">
        <w:rPr>
          <w:rFonts w:eastAsia="Times New Roman"/>
          <w:color w:val="000000"/>
          <w:sz w:val="24"/>
          <w:lang w:val="sq-AL"/>
        </w:rPr>
        <w:t>Nevojitet një angazhim i qartë politik për të siguruar që ajo të veprojë në potencialin e saj të plotë, duke përfshirë zbatimin e gjetjeve të rishikimit të fundit përmes planit të veprimit.</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lastRenderedPageBreak/>
        <w:t>Korniza legjislative</w:t>
      </w:r>
      <w:r w:rsidR="006F47F1" w:rsidRPr="00A6284F">
        <w:rPr>
          <w:rFonts w:eastAsia="Times New Roman"/>
          <w:b/>
          <w:color w:val="000000"/>
          <w:sz w:val="24"/>
          <w:lang w:val="sq-AL"/>
        </w:rPr>
        <w:t xml:space="preserve"> </w:t>
      </w:r>
      <w:r w:rsidRPr="00A6284F">
        <w:rPr>
          <w:rFonts w:eastAsia="Times New Roman"/>
          <w:color w:val="000000"/>
          <w:sz w:val="24"/>
          <w:lang w:val="sq-AL"/>
        </w:rPr>
        <w:t xml:space="preserve">për menaxhimin e kufijve/vijave kufitare të </w:t>
      </w:r>
      <w:r w:rsidR="006F47F1" w:rsidRPr="00A6284F">
        <w:rPr>
          <w:rFonts w:eastAsia="Times New Roman"/>
          <w:color w:val="000000"/>
          <w:sz w:val="24"/>
          <w:lang w:val="sq-AL"/>
        </w:rPr>
        <w:t xml:space="preserve">Kosovës </w:t>
      </w:r>
      <w:r w:rsidRPr="00A6284F">
        <w:rPr>
          <w:rFonts w:eastAsia="Times New Roman"/>
          <w:color w:val="000000"/>
          <w:sz w:val="24"/>
          <w:lang w:val="sq-AL"/>
        </w:rPr>
        <w:t>është në masë të madhe në përputhje me</w:t>
      </w:r>
      <w:r w:rsidR="006F47F1" w:rsidRPr="00A6284F">
        <w:rPr>
          <w:rFonts w:eastAsia="Times New Roman"/>
          <w:color w:val="000000"/>
          <w:sz w:val="24"/>
          <w:lang w:val="sq-AL"/>
        </w:rPr>
        <w:t xml:space="preserve"> </w:t>
      </w:r>
      <w:r w:rsidRPr="00A6284F">
        <w:rPr>
          <w:rFonts w:eastAsia="Times New Roman"/>
          <w:i/>
          <w:color w:val="000000"/>
          <w:sz w:val="24"/>
          <w:lang w:val="sq-AL"/>
        </w:rPr>
        <w:t xml:space="preserve">acquis </w:t>
      </w:r>
      <w:r w:rsidRPr="00A6284F">
        <w:rPr>
          <w:rFonts w:eastAsia="Times New Roman"/>
          <w:color w:val="000000"/>
          <w:sz w:val="24"/>
          <w:lang w:val="sq-AL"/>
        </w:rPr>
        <w:t xml:space="preserve">dhe standardet ndërkombëtare. </w:t>
      </w:r>
      <w:r w:rsidRPr="00A6284F">
        <w:rPr>
          <w:rFonts w:eastAsia="Times New Roman"/>
          <w:b/>
          <w:color w:val="000000"/>
          <w:sz w:val="24"/>
          <w:lang w:val="sq-AL"/>
        </w:rPr>
        <w:t>Strategjia e MIK</w:t>
      </w:r>
      <w:r w:rsidRPr="00A6284F">
        <w:rPr>
          <w:rFonts w:eastAsia="Times New Roman"/>
          <w:color w:val="000000"/>
          <w:sz w:val="24"/>
          <w:lang w:val="sq-AL"/>
        </w:rPr>
        <w:t xml:space="preserve"> 2013-2018 dhe </w:t>
      </w:r>
      <w:r w:rsidRPr="00A6284F">
        <w:rPr>
          <w:rFonts w:eastAsia="Times New Roman"/>
          <w:b/>
          <w:color w:val="000000"/>
          <w:sz w:val="24"/>
          <w:lang w:val="sq-AL"/>
        </w:rPr>
        <w:t>plani i rishikuar i veprimi</w:t>
      </w:r>
      <w:r w:rsidRPr="00A6284F">
        <w:rPr>
          <w:rFonts w:eastAsia="Times New Roman"/>
          <w:color w:val="000000"/>
          <w:sz w:val="24"/>
          <w:lang w:val="sq-AL"/>
        </w:rPr>
        <w:t xml:space="preserve">t janë të përafruara me </w:t>
      </w:r>
      <w:r w:rsidR="00BD6FC1" w:rsidRPr="00A6284F">
        <w:rPr>
          <w:rFonts w:eastAsia="Times New Roman"/>
          <w:color w:val="000000"/>
          <w:sz w:val="24"/>
          <w:lang w:val="sq-AL"/>
        </w:rPr>
        <w:t xml:space="preserve">konceptin e </w:t>
      </w:r>
      <w:r w:rsidRPr="00A6284F">
        <w:rPr>
          <w:rFonts w:eastAsia="Times New Roman"/>
          <w:color w:val="000000"/>
          <w:sz w:val="24"/>
          <w:lang w:val="sq-AL"/>
        </w:rPr>
        <w:t>BE për MIK</w:t>
      </w:r>
      <w:r w:rsidR="00BD6FC1" w:rsidRPr="00A6284F">
        <w:rPr>
          <w:rFonts w:eastAsia="Times New Roman"/>
          <w:color w:val="000000"/>
          <w:sz w:val="24"/>
          <w:lang w:val="sq-AL"/>
        </w:rPr>
        <w:t xml:space="preserve"> të vitit 2006</w:t>
      </w:r>
      <w:r w:rsidRPr="00A6284F">
        <w:rPr>
          <w:rFonts w:eastAsia="Times New Roman"/>
          <w:color w:val="000000"/>
          <w:sz w:val="24"/>
          <w:lang w:val="sq-AL"/>
        </w:rPr>
        <w:t>. Një strategji e re e MIK dhe plani i veprimit për 2019-2023 janë duke u përgatitur.</w:t>
      </w:r>
    </w:p>
    <w:p w:rsidR="00CE1051" w:rsidRPr="00A6284F" w:rsidRDefault="00CE1051" w:rsidP="00CE1051">
      <w:pPr>
        <w:spacing w:before="125"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Implementimi dhe kapaciteti zbatues</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Departamenti Kufitar i Policisë së Kosovës ka staf të mjaftueshëm me gjithsej 1 322 oficerë dhe në përgjithësi i plotëson </w:t>
      </w:r>
      <w:r w:rsidRPr="00A6284F">
        <w:rPr>
          <w:rFonts w:eastAsia="Times New Roman"/>
          <w:b/>
          <w:color w:val="000000"/>
          <w:sz w:val="24"/>
          <w:lang w:val="sq-AL"/>
        </w:rPr>
        <w:t>standardet minimale të BE-së për kontrollet kufitare</w:t>
      </w:r>
      <w:r w:rsidRPr="00A6284F">
        <w:rPr>
          <w:rFonts w:eastAsia="Times New Roman"/>
          <w:color w:val="000000"/>
          <w:sz w:val="24"/>
          <w:lang w:val="sq-AL"/>
        </w:rPr>
        <w:t>.</w:t>
      </w:r>
      <w:r w:rsidR="00BD6FC1" w:rsidRPr="00A6284F">
        <w:rPr>
          <w:rFonts w:eastAsia="Times New Roman"/>
          <w:color w:val="000000"/>
          <w:sz w:val="24"/>
          <w:lang w:val="sq-AL"/>
        </w:rPr>
        <w:t xml:space="preserve"> Infrastruktura e pikë-</w:t>
      </w:r>
      <w:r w:rsidRPr="00A6284F">
        <w:rPr>
          <w:rFonts w:eastAsia="Times New Roman"/>
          <w:color w:val="000000"/>
          <w:sz w:val="24"/>
          <w:lang w:val="sq-AL"/>
        </w:rPr>
        <w:t>kalim</w:t>
      </w:r>
      <w:r w:rsidR="00BD6FC1" w:rsidRPr="00A6284F">
        <w:rPr>
          <w:rFonts w:eastAsia="Times New Roman"/>
          <w:color w:val="000000"/>
          <w:sz w:val="24"/>
          <w:lang w:val="sq-AL"/>
        </w:rPr>
        <w:t xml:space="preserve">eve </w:t>
      </w:r>
      <w:r w:rsidRPr="00A6284F">
        <w:rPr>
          <w:rFonts w:eastAsia="Times New Roman"/>
          <w:color w:val="000000"/>
          <w:sz w:val="24"/>
          <w:lang w:val="sq-AL"/>
        </w:rPr>
        <w:t>kufitar</w:t>
      </w:r>
      <w:r w:rsidR="00BD6FC1" w:rsidRPr="00A6284F">
        <w:rPr>
          <w:rFonts w:eastAsia="Times New Roman"/>
          <w:color w:val="000000"/>
          <w:sz w:val="24"/>
          <w:lang w:val="sq-AL"/>
        </w:rPr>
        <w:t>e</w:t>
      </w:r>
      <w:r w:rsidRPr="00A6284F">
        <w:rPr>
          <w:rFonts w:eastAsia="Times New Roman"/>
          <w:color w:val="000000"/>
          <w:sz w:val="24"/>
          <w:lang w:val="sq-AL"/>
        </w:rPr>
        <w:t xml:space="preserve"> është përmirësuar dhe </w:t>
      </w:r>
      <w:r w:rsidR="00BD6FC1" w:rsidRPr="00A6284F">
        <w:rPr>
          <w:rFonts w:eastAsia="Times New Roman"/>
          <w:color w:val="000000"/>
          <w:sz w:val="24"/>
          <w:lang w:val="sq-AL"/>
        </w:rPr>
        <w:t>S</w:t>
      </w:r>
      <w:r w:rsidRPr="00A6284F">
        <w:rPr>
          <w:rFonts w:eastAsia="Times New Roman"/>
          <w:color w:val="000000"/>
          <w:sz w:val="24"/>
          <w:lang w:val="sq-AL"/>
        </w:rPr>
        <w:t xml:space="preserve">istemi i </w:t>
      </w:r>
      <w:r w:rsidR="00BD6FC1" w:rsidRPr="00A6284F">
        <w:rPr>
          <w:rFonts w:eastAsia="Times New Roman"/>
          <w:color w:val="000000"/>
          <w:sz w:val="24"/>
          <w:lang w:val="sq-AL"/>
        </w:rPr>
        <w:t xml:space="preserve">Menaxhimit </w:t>
      </w:r>
      <w:r w:rsidRPr="00A6284F">
        <w:rPr>
          <w:rFonts w:eastAsia="Times New Roman"/>
          <w:color w:val="000000"/>
          <w:sz w:val="24"/>
          <w:lang w:val="sq-AL"/>
        </w:rPr>
        <w:t xml:space="preserve">të </w:t>
      </w:r>
      <w:r w:rsidR="00BD6FC1" w:rsidRPr="00A6284F">
        <w:rPr>
          <w:rFonts w:eastAsia="Times New Roman"/>
          <w:color w:val="000000"/>
          <w:sz w:val="24"/>
          <w:lang w:val="sq-AL"/>
        </w:rPr>
        <w:t xml:space="preserve">Kufijve </w:t>
      </w:r>
      <w:r w:rsidRPr="00A6284F">
        <w:rPr>
          <w:rFonts w:eastAsia="Times New Roman"/>
          <w:color w:val="000000"/>
          <w:sz w:val="24"/>
          <w:lang w:val="sq-AL"/>
        </w:rPr>
        <w:t xml:space="preserve">është </w:t>
      </w:r>
      <w:r w:rsidR="00BD6FC1" w:rsidRPr="00A6284F">
        <w:rPr>
          <w:rFonts w:eastAsia="Times New Roman"/>
          <w:color w:val="000000"/>
          <w:sz w:val="24"/>
          <w:lang w:val="sq-AL"/>
        </w:rPr>
        <w:t>avancuar</w:t>
      </w:r>
      <w:r w:rsidRPr="00A6284F">
        <w:rPr>
          <w:rFonts w:eastAsia="Times New Roman"/>
          <w:color w:val="000000"/>
          <w:sz w:val="24"/>
          <w:lang w:val="sq-AL"/>
        </w:rPr>
        <w:t xml:space="preserve"> tërësisht.</w:t>
      </w:r>
      <w:r w:rsidR="00BD6FC1" w:rsidRPr="00A6284F">
        <w:rPr>
          <w:rFonts w:eastAsia="Times New Roman"/>
          <w:color w:val="000000"/>
          <w:sz w:val="24"/>
          <w:lang w:val="sq-AL"/>
        </w:rPr>
        <w:t xml:space="preserve"> </w:t>
      </w:r>
      <w:r w:rsidRPr="00A6284F">
        <w:rPr>
          <w:rFonts w:eastAsia="Times New Roman"/>
          <w:color w:val="000000"/>
          <w:sz w:val="24"/>
          <w:lang w:val="sq-AL"/>
        </w:rPr>
        <w:t xml:space="preserve">Sidoqoftë, efektiviteti i saj mbetet i kufizuar </w:t>
      </w:r>
      <w:r w:rsidR="006604BB" w:rsidRPr="00A6284F">
        <w:rPr>
          <w:rFonts w:eastAsia="Times New Roman"/>
          <w:color w:val="000000"/>
          <w:sz w:val="24"/>
          <w:lang w:val="sq-AL"/>
        </w:rPr>
        <w:t xml:space="preserve">si rezultat i mungesës së </w:t>
      </w:r>
      <w:r w:rsidRPr="00A6284F">
        <w:rPr>
          <w:rFonts w:eastAsia="Times New Roman"/>
          <w:color w:val="000000"/>
          <w:sz w:val="24"/>
          <w:lang w:val="sq-AL"/>
        </w:rPr>
        <w:t>lidhjes me rrjete</w:t>
      </w:r>
      <w:r w:rsidR="00FF490D" w:rsidRPr="00A6284F">
        <w:rPr>
          <w:rFonts w:eastAsia="Times New Roman"/>
          <w:color w:val="000000"/>
          <w:sz w:val="24"/>
          <w:lang w:val="sq-AL"/>
        </w:rPr>
        <w:t>t</w:t>
      </w:r>
      <w:r w:rsidRPr="00A6284F">
        <w:rPr>
          <w:rFonts w:eastAsia="Times New Roman"/>
          <w:color w:val="000000"/>
          <w:sz w:val="24"/>
          <w:lang w:val="sq-AL"/>
        </w:rPr>
        <w:t xml:space="preserve"> </w:t>
      </w:r>
      <w:r w:rsidR="00FF490D" w:rsidRPr="00A6284F">
        <w:rPr>
          <w:rFonts w:eastAsia="Times New Roman"/>
          <w:color w:val="000000"/>
          <w:sz w:val="24"/>
          <w:lang w:val="sq-AL"/>
        </w:rPr>
        <w:t>e</w:t>
      </w:r>
      <w:r w:rsidRPr="00A6284F">
        <w:rPr>
          <w:rFonts w:eastAsia="Times New Roman"/>
          <w:color w:val="000000"/>
          <w:sz w:val="24"/>
          <w:lang w:val="sq-AL"/>
        </w:rPr>
        <w:t xml:space="preserve"> rëndësishme ndërkombëtare siç është Aplikimi i Rrjetit të Sigurt për Shkëmbimin e Informacionit të </w:t>
      </w:r>
      <w:proofErr w:type="spellStart"/>
      <w:r w:rsidRPr="00A6284F">
        <w:rPr>
          <w:rFonts w:eastAsia="Times New Roman"/>
          <w:color w:val="000000"/>
          <w:sz w:val="24"/>
          <w:lang w:val="sq-AL"/>
        </w:rPr>
        <w:t>Europol</w:t>
      </w:r>
      <w:r w:rsidR="006604BB" w:rsidRPr="00A6284F">
        <w:rPr>
          <w:rFonts w:eastAsia="Times New Roman"/>
          <w:color w:val="000000"/>
          <w:sz w:val="24"/>
          <w:lang w:val="sq-AL"/>
        </w:rPr>
        <w:t>i</w:t>
      </w:r>
      <w:r w:rsidRPr="00A6284F">
        <w:rPr>
          <w:rFonts w:eastAsia="Times New Roman"/>
          <w:color w:val="000000"/>
          <w:sz w:val="24"/>
          <w:lang w:val="sq-AL"/>
        </w:rPr>
        <w:t>t</w:t>
      </w:r>
      <w:proofErr w:type="spellEnd"/>
      <w:r w:rsidRPr="00A6284F">
        <w:rPr>
          <w:rFonts w:eastAsia="Times New Roman"/>
          <w:color w:val="000000"/>
          <w:sz w:val="24"/>
          <w:lang w:val="sq-AL"/>
        </w:rPr>
        <w:t xml:space="preserve"> (SIENA) dhe Interpol I-24/7, për shkak të problemeve në lidhje me statusin.</w:t>
      </w:r>
    </w:p>
    <w:p w:rsidR="006604BB"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një marrëveshje pune me </w:t>
      </w:r>
      <w:r w:rsidRPr="00A6284F">
        <w:rPr>
          <w:rFonts w:eastAsia="Times New Roman"/>
          <w:b/>
          <w:color w:val="000000"/>
          <w:sz w:val="24"/>
          <w:lang w:val="sq-AL"/>
        </w:rPr>
        <w:t xml:space="preserve">Agjencinë </w:t>
      </w:r>
      <w:r w:rsidR="006604BB" w:rsidRPr="00A6284F">
        <w:rPr>
          <w:rFonts w:eastAsia="Times New Roman"/>
          <w:b/>
          <w:color w:val="000000"/>
          <w:sz w:val="24"/>
          <w:lang w:val="sq-AL"/>
        </w:rPr>
        <w:t xml:space="preserve">Evropiane </w:t>
      </w:r>
      <w:r w:rsidR="00BB495E" w:rsidRPr="00A6284F">
        <w:rPr>
          <w:rFonts w:eastAsia="Times New Roman"/>
          <w:b/>
          <w:color w:val="000000"/>
          <w:sz w:val="24"/>
          <w:lang w:val="sq-AL"/>
        </w:rPr>
        <w:t xml:space="preserve">të Rojeve </w:t>
      </w:r>
      <w:r w:rsidRPr="00A6284F">
        <w:rPr>
          <w:rFonts w:eastAsia="Times New Roman"/>
          <w:b/>
          <w:color w:val="000000"/>
          <w:sz w:val="24"/>
          <w:lang w:val="sq-AL"/>
        </w:rPr>
        <w:t>Kufitare dhe Bregdetare</w:t>
      </w:r>
      <w:r w:rsidRPr="00A6284F">
        <w:rPr>
          <w:rFonts w:eastAsia="Times New Roman"/>
          <w:color w:val="000000"/>
          <w:sz w:val="24"/>
          <w:lang w:val="sq-AL"/>
        </w:rPr>
        <w:t xml:space="preserve">, e cila mundëson bashkëpunim të ngushtë për migracionin e parregullt, krimet kufitare, sigurinë kufitare dhe menaxhimin e përgjithshëm të kufirit, duke përfshirë shkëmbimin ditor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që nga tetori </w:t>
      </w:r>
      <w:r w:rsidR="00FF490D" w:rsidRPr="00A6284F">
        <w:rPr>
          <w:rFonts w:eastAsia="Times New Roman"/>
          <w:color w:val="000000"/>
          <w:sz w:val="24"/>
          <w:lang w:val="sq-AL"/>
        </w:rPr>
        <w:t xml:space="preserve">i vitit </w:t>
      </w:r>
      <w:r w:rsidRPr="00A6284F">
        <w:rPr>
          <w:rFonts w:eastAsia="Times New Roman"/>
          <w:color w:val="000000"/>
          <w:sz w:val="24"/>
          <w:lang w:val="sq-AL"/>
        </w:rPr>
        <w:t>2018. Kosova ka marrë pjesë në mënyrë aktive në rrjetin e analizës së rrezikut të Ballkanit Perëndimor.</w:t>
      </w:r>
      <w:r w:rsidR="00BD6FC1" w:rsidRPr="00A6284F">
        <w:rPr>
          <w:rFonts w:eastAsia="Times New Roman"/>
          <w:color w:val="000000"/>
          <w:sz w:val="24"/>
          <w:lang w:val="sq-AL"/>
        </w:rPr>
        <w:t xml:space="preserve"> </w:t>
      </w:r>
      <w:r w:rsidRPr="00A6284F">
        <w:rPr>
          <w:rFonts w:eastAsia="Times New Roman"/>
          <w:b/>
          <w:color w:val="000000"/>
          <w:sz w:val="24"/>
          <w:lang w:val="sq-AL"/>
        </w:rPr>
        <w:t xml:space="preserve">Bashkëpunimi ndërmjet agjencive </w:t>
      </w:r>
      <w:r w:rsidRPr="00A6284F">
        <w:rPr>
          <w:rFonts w:eastAsia="Times New Roman"/>
          <w:color w:val="000000"/>
          <w:sz w:val="24"/>
          <w:lang w:val="sq-AL"/>
        </w:rPr>
        <w:t>është i mirë, por mund të përmirësohet në nivelin më të lartë dhe veçanërisht në lidhje me shkëmbimin e informacionit dhe analizën e përbashkët të rrezikut.</w:t>
      </w:r>
      <w:r w:rsidR="00BD6FC1" w:rsidRPr="00A6284F">
        <w:rPr>
          <w:rFonts w:eastAsia="Times New Roman"/>
          <w:color w:val="000000"/>
          <w:sz w:val="24"/>
          <w:lang w:val="sq-AL"/>
        </w:rPr>
        <w:t xml:space="preserve"> </w:t>
      </w:r>
      <w:r w:rsidR="00FF490D" w:rsidRPr="00A6284F">
        <w:rPr>
          <w:rFonts w:eastAsia="Times New Roman"/>
          <w:color w:val="000000"/>
          <w:sz w:val="24"/>
          <w:lang w:val="sq-AL"/>
        </w:rPr>
        <w:t>S</w:t>
      </w:r>
      <w:r w:rsidRPr="00A6284F">
        <w:rPr>
          <w:rFonts w:eastAsia="Times New Roman"/>
          <w:b/>
          <w:color w:val="000000"/>
          <w:sz w:val="24"/>
          <w:lang w:val="sq-AL"/>
        </w:rPr>
        <w:t>trategji</w:t>
      </w:r>
      <w:r w:rsidR="00FF490D" w:rsidRPr="00A6284F">
        <w:rPr>
          <w:rFonts w:eastAsia="Times New Roman"/>
          <w:b/>
          <w:color w:val="000000"/>
          <w:sz w:val="24"/>
          <w:lang w:val="sq-AL"/>
        </w:rPr>
        <w:t>a</w:t>
      </w:r>
      <w:r w:rsidRPr="00A6284F">
        <w:rPr>
          <w:rFonts w:eastAsia="Times New Roman"/>
          <w:b/>
          <w:color w:val="000000"/>
          <w:sz w:val="24"/>
          <w:lang w:val="sq-AL"/>
        </w:rPr>
        <w:t xml:space="preserve"> </w:t>
      </w:r>
      <w:proofErr w:type="spellStart"/>
      <w:r w:rsidRPr="00A6284F">
        <w:rPr>
          <w:rFonts w:eastAsia="Times New Roman"/>
          <w:b/>
          <w:color w:val="000000"/>
          <w:sz w:val="24"/>
          <w:lang w:val="sq-AL"/>
        </w:rPr>
        <w:t>anti</w:t>
      </w:r>
      <w:proofErr w:type="spellEnd"/>
      <w:r w:rsidRPr="00A6284F">
        <w:rPr>
          <w:rFonts w:eastAsia="Times New Roman"/>
          <w:b/>
          <w:color w:val="000000"/>
          <w:sz w:val="24"/>
          <w:lang w:val="sq-AL"/>
        </w:rPr>
        <w:t>-korrupsion</w:t>
      </w:r>
      <w:r w:rsidRPr="00A6284F">
        <w:rPr>
          <w:rFonts w:eastAsia="Times New Roman"/>
          <w:color w:val="000000"/>
          <w:sz w:val="24"/>
          <w:lang w:val="sq-AL"/>
        </w:rPr>
        <w:t xml:space="preserve"> e policisë kufitare </w:t>
      </w:r>
      <w:r w:rsidR="00FF490D" w:rsidRPr="00A6284F">
        <w:rPr>
          <w:rFonts w:eastAsia="Times New Roman"/>
          <w:color w:val="000000"/>
          <w:sz w:val="24"/>
          <w:lang w:val="sq-AL"/>
        </w:rPr>
        <w:t>ekziston</w:t>
      </w:r>
      <w:r w:rsidRPr="00A6284F">
        <w:rPr>
          <w:rFonts w:eastAsia="Times New Roman"/>
          <w:color w:val="000000"/>
          <w:sz w:val="24"/>
          <w:lang w:val="sq-AL"/>
        </w:rPr>
        <w:t>, por deri tani nuk janë zbuluar raste të korrupsionit në kufi/vija kufitare.</w:t>
      </w:r>
      <w:r w:rsidR="006604BB" w:rsidRPr="00A6284F">
        <w:rPr>
          <w:rFonts w:eastAsia="Times New Roman"/>
          <w:color w:val="000000"/>
          <w:sz w:val="24"/>
          <w:lang w:val="sq-AL"/>
        </w:rPr>
        <w:t xml:space="preserve"> </w:t>
      </w:r>
    </w:p>
    <w:p w:rsidR="00CE1051" w:rsidRPr="00A6284F" w:rsidRDefault="00CE1051" w:rsidP="00CE1051">
      <w:pPr>
        <w:spacing w:before="11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bashkëpunimit në rajon</w:t>
      </w:r>
      <w:r w:rsidRPr="00A6284F">
        <w:rPr>
          <w:rFonts w:eastAsia="Times New Roman"/>
          <w:color w:val="000000"/>
          <w:sz w:val="24"/>
          <w:lang w:val="sq-AL"/>
        </w:rPr>
        <w:t xml:space="preserve">, Kosova ka </w:t>
      </w:r>
      <w:r w:rsidR="00FF490D" w:rsidRPr="00A6284F">
        <w:rPr>
          <w:rFonts w:eastAsia="Times New Roman"/>
          <w:color w:val="000000"/>
          <w:sz w:val="24"/>
          <w:lang w:val="sq-AL"/>
        </w:rPr>
        <w:t xml:space="preserve">lidhur </w:t>
      </w:r>
      <w:r w:rsidRPr="00A6284F">
        <w:rPr>
          <w:rFonts w:eastAsia="Times New Roman"/>
          <w:color w:val="000000"/>
          <w:sz w:val="24"/>
          <w:lang w:val="sq-AL"/>
        </w:rPr>
        <w:t xml:space="preserve">23 marrëveshje </w:t>
      </w:r>
      <w:r w:rsidR="00FF490D" w:rsidRPr="00A6284F">
        <w:rPr>
          <w:rFonts w:eastAsia="Times New Roman"/>
          <w:color w:val="000000"/>
          <w:sz w:val="24"/>
          <w:lang w:val="sq-AL"/>
        </w:rPr>
        <w:t>të MIK</w:t>
      </w:r>
      <w:r w:rsidRPr="00A6284F">
        <w:rPr>
          <w:rFonts w:eastAsia="Times New Roman"/>
          <w:color w:val="000000"/>
          <w:sz w:val="24"/>
          <w:lang w:val="sq-AL"/>
        </w:rPr>
        <w:t>.</w:t>
      </w:r>
      <w:r w:rsidR="00FF490D" w:rsidRPr="00A6284F">
        <w:rPr>
          <w:rFonts w:eastAsia="Times New Roman"/>
          <w:color w:val="000000"/>
          <w:sz w:val="24"/>
          <w:lang w:val="sq-AL"/>
        </w:rPr>
        <w:t xml:space="preserve"> </w:t>
      </w:r>
      <w:r w:rsidRPr="00A6284F">
        <w:rPr>
          <w:rFonts w:eastAsia="Times New Roman"/>
          <w:color w:val="000000"/>
          <w:sz w:val="24"/>
          <w:lang w:val="sq-AL"/>
        </w:rPr>
        <w:t>Kosova dhe Shqipëria operojnë me kontrolle të përbashkëta kufitare, me një polic kufitar nga Shqipëria dhe një polic kufitar nga Kosovës që ndajnë një kabinë.</w:t>
      </w:r>
      <w:r w:rsidR="00FF490D" w:rsidRPr="00A6284F">
        <w:rPr>
          <w:rFonts w:eastAsia="Times New Roman"/>
          <w:color w:val="000000"/>
          <w:sz w:val="24"/>
          <w:lang w:val="sq-AL"/>
        </w:rPr>
        <w:t xml:space="preserve"> </w:t>
      </w:r>
      <w:r w:rsidRPr="00A6284F">
        <w:rPr>
          <w:rFonts w:eastAsia="Times New Roman"/>
          <w:color w:val="000000"/>
          <w:sz w:val="24"/>
          <w:lang w:val="sq-AL"/>
        </w:rPr>
        <w:t>Janë në funksionim dy qendra të përbashkëta të bashkëpunimit policor ndërkufitar, një me Shqipërinë (</w:t>
      </w:r>
      <w:proofErr w:type="spellStart"/>
      <w:r w:rsidRPr="00A6284F">
        <w:rPr>
          <w:rFonts w:eastAsia="Times New Roman"/>
          <w:color w:val="000000"/>
          <w:sz w:val="24"/>
          <w:lang w:val="sq-AL"/>
        </w:rPr>
        <w:t>Vermicë</w:t>
      </w:r>
      <w:proofErr w:type="spellEnd"/>
      <w:r w:rsidRPr="00A6284F">
        <w:rPr>
          <w:rFonts w:eastAsia="Times New Roman"/>
          <w:color w:val="000000"/>
          <w:sz w:val="24"/>
          <w:lang w:val="sq-AL"/>
        </w:rPr>
        <w:t xml:space="preserve">) dhe një me Maqedoninë e Veriut (Han i </w:t>
      </w:r>
      <w:proofErr w:type="spellStart"/>
      <w:r w:rsidRPr="00A6284F">
        <w:rPr>
          <w:rFonts w:eastAsia="Times New Roman"/>
          <w:color w:val="000000"/>
          <w:sz w:val="24"/>
          <w:lang w:val="sq-AL"/>
        </w:rPr>
        <w:t>Elezit</w:t>
      </w:r>
      <w:proofErr w:type="spellEnd"/>
      <w:r w:rsidRPr="00A6284F">
        <w:rPr>
          <w:rFonts w:eastAsia="Times New Roman"/>
          <w:color w:val="000000"/>
          <w:sz w:val="24"/>
          <w:lang w:val="sq-AL"/>
        </w:rPr>
        <w:t>), si dhe qendrën e përbashkët trepalëshe të bashkëpunimit policor ndërkufitar (Plave) ndërmjet Malit të Zi, Shqipërisë dhe Kosovës.</w:t>
      </w:r>
      <w:r w:rsidR="00FF490D" w:rsidRPr="00A6284F">
        <w:rPr>
          <w:rFonts w:eastAsia="Times New Roman"/>
          <w:color w:val="000000"/>
          <w:sz w:val="24"/>
          <w:lang w:val="sq-AL"/>
        </w:rPr>
        <w:t xml:space="preserve"> </w:t>
      </w:r>
      <w:r w:rsidRPr="00A6284F">
        <w:rPr>
          <w:rFonts w:eastAsia="Times New Roman"/>
          <w:color w:val="000000"/>
          <w:sz w:val="24"/>
          <w:lang w:val="sq-AL"/>
        </w:rPr>
        <w:t>Funksionimi dhe personeli i këtyre qendrave duhet të përmirësohet në mënyrë që ata të mund të veprojnë në potencialin e tyre të plotë.</w:t>
      </w:r>
      <w:r w:rsidR="00FF490D" w:rsidRPr="00A6284F">
        <w:rPr>
          <w:rFonts w:eastAsia="Times New Roman"/>
          <w:color w:val="000000"/>
          <w:sz w:val="24"/>
          <w:lang w:val="sq-AL"/>
        </w:rPr>
        <w:t xml:space="preserve"> </w:t>
      </w:r>
      <w:r w:rsidRPr="00A6284F">
        <w:rPr>
          <w:rFonts w:eastAsia="Times New Roman"/>
          <w:color w:val="000000"/>
          <w:sz w:val="24"/>
          <w:lang w:val="sq-AL"/>
        </w:rPr>
        <w:t>Pik</w:t>
      </w:r>
      <w:r w:rsidR="00E63721" w:rsidRPr="00A6284F">
        <w:rPr>
          <w:rFonts w:eastAsia="Times New Roman"/>
          <w:color w:val="000000"/>
          <w:sz w:val="24"/>
          <w:lang w:val="sq-AL"/>
        </w:rPr>
        <w:t xml:space="preserve">ë-kalimet e </w:t>
      </w:r>
      <w:r w:rsidRPr="00A6284F">
        <w:rPr>
          <w:rFonts w:eastAsia="Times New Roman"/>
          <w:color w:val="000000"/>
          <w:sz w:val="24"/>
          <w:lang w:val="sq-AL"/>
        </w:rPr>
        <w:t xml:space="preserve">përkohshme </w:t>
      </w:r>
      <w:r w:rsidR="00E63721" w:rsidRPr="00A6284F">
        <w:rPr>
          <w:rFonts w:eastAsia="Times New Roman"/>
          <w:color w:val="000000"/>
          <w:sz w:val="24"/>
          <w:lang w:val="sq-AL"/>
        </w:rPr>
        <w:t xml:space="preserve">kufitare </w:t>
      </w:r>
      <w:r w:rsidRPr="00A6284F">
        <w:rPr>
          <w:rFonts w:eastAsia="Times New Roman"/>
          <w:color w:val="000000"/>
          <w:sz w:val="24"/>
          <w:lang w:val="sq-AL"/>
        </w:rPr>
        <w:t>të MIK-ut me Serbinë vazhdojnë të jenë funksionale.</w:t>
      </w:r>
      <w:r w:rsidR="00E63721" w:rsidRPr="00A6284F">
        <w:rPr>
          <w:rFonts w:eastAsia="Times New Roman"/>
          <w:color w:val="000000"/>
          <w:sz w:val="24"/>
          <w:lang w:val="sq-AL"/>
        </w:rPr>
        <w:t xml:space="preserve"> </w:t>
      </w:r>
      <w:r w:rsidRPr="00A6284F">
        <w:rPr>
          <w:rFonts w:eastAsia="Times New Roman"/>
          <w:color w:val="000000"/>
          <w:sz w:val="24"/>
          <w:lang w:val="sq-AL"/>
        </w:rPr>
        <w:t xml:space="preserve">Ka pasur </w:t>
      </w:r>
      <w:r w:rsidR="00E63721" w:rsidRPr="00A6284F">
        <w:rPr>
          <w:rFonts w:eastAsia="Times New Roman"/>
          <w:color w:val="000000"/>
          <w:sz w:val="24"/>
          <w:lang w:val="sq-AL"/>
        </w:rPr>
        <w:t>përparime</w:t>
      </w:r>
      <w:r w:rsidRPr="00A6284F">
        <w:rPr>
          <w:rFonts w:eastAsia="Times New Roman"/>
          <w:color w:val="000000"/>
          <w:sz w:val="24"/>
          <w:lang w:val="sq-AL"/>
        </w:rPr>
        <w:t xml:space="preserve"> të kufizuar</w:t>
      </w:r>
      <w:r w:rsidR="00E63721" w:rsidRPr="00A6284F">
        <w:rPr>
          <w:rFonts w:eastAsia="Times New Roman"/>
          <w:color w:val="000000"/>
          <w:sz w:val="24"/>
          <w:lang w:val="sq-AL"/>
        </w:rPr>
        <w:t>a</w:t>
      </w:r>
      <w:r w:rsidRPr="00A6284F">
        <w:rPr>
          <w:rFonts w:eastAsia="Times New Roman"/>
          <w:color w:val="000000"/>
          <w:sz w:val="24"/>
          <w:lang w:val="sq-AL"/>
        </w:rPr>
        <w:t xml:space="preserve"> në krijimin e gjashtë pik</w:t>
      </w:r>
      <w:r w:rsidR="00E63721" w:rsidRPr="00A6284F">
        <w:rPr>
          <w:rFonts w:eastAsia="Times New Roman"/>
          <w:color w:val="000000"/>
          <w:sz w:val="24"/>
          <w:lang w:val="sq-AL"/>
        </w:rPr>
        <w:t xml:space="preserve">ë-kalimeve të </w:t>
      </w:r>
      <w:r w:rsidRPr="00A6284F">
        <w:rPr>
          <w:rFonts w:eastAsia="Times New Roman"/>
          <w:color w:val="000000"/>
          <w:sz w:val="24"/>
          <w:lang w:val="sq-AL"/>
        </w:rPr>
        <w:t xml:space="preserve">përhershme </w:t>
      </w:r>
      <w:r w:rsidR="00E63721" w:rsidRPr="00A6284F">
        <w:rPr>
          <w:rFonts w:eastAsia="Times New Roman"/>
          <w:color w:val="000000"/>
          <w:sz w:val="24"/>
          <w:lang w:val="sq-AL"/>
        </w:rPr>
        <w:t xml:space="preserve">kufitare </w:t>
      </w:r>
      <w:r w:rsidRPr="00A6284F">
        <w:rPr>
          <w:rFonts w:eastAsia="Times New Roman"/>
          <w:color w:val="000000"/>
          <w:sz w:val="24"/>
          <w:lang w:val="sq-AL"/>
        </w:rPr>
        <w:t xml:space="preserve">të </w:t>
      </w:r>
      <w:r w:rsidR="00E63721" w:rsidRPr="00A6284F">
        <w:rPr>
          <w:rFonts w:eastAsia="Times New Roman"/>
          <w:color w:val="000000"/>
          <w:sz w:val="24"/>
          <w:lang w:val="sq-AL"/>
        </w:rPr>
        <w:t xml:space="preserve">përbashkëta të </w:t>
      </w:r>
      <w:r w:rsidRPr="00A6284F">
        <w:rPr>
          <w:rFonts w:eastAsia="Times New Roman"/>
          <w:color w:val="000000"/>
          <w:sz w:val="24"/>
          <w:lang w:val="sq-AL"/>
        </w:rPr>
        <w:t xml:space="preserve">MIK-ut mes Serbisë dhe Kosovës, siç përcaktohet në marrëveshjen e MIK </w:t>
      </w:r>
      <w:r w:rsidR="00E63721" w:rsidRPr="00A6284F">
        <w:rPr>
          <w:rFonts w:eastAsia="Times New Roman"/>
          <w:color w:val="000000"/>
          <w:sz w:val="24"/>
          <w:lang w:val="sq-AL"/>
        </w:rPr>
        <w:t xml:space="preserve">të arritur në </w:t>
      </w:r>
      <w:r w:rsidRPr="00A6284F">
        <w:rPr>
          <w:rFonts w:eastAsia="Times New Roman"/>
          <w:color w:val="000000"/>
          <w:sz w:val="24"/>
          <w:lang w:val="sq-AL"/>
        </w:rPr>
        <w:t xml:space="preserve">kontekstin e dialogut të Beogradit dhe Prishtinës </w:t>
      </w:r>
      <w:r w:rsidR="00E63721" w:rsidRPr="00A6284F">
        <w:rPr>
          <w:rFonts w:eastAsia="Times New Roman"/>
          <w:color w:val="000000"/>
          <w:sz w:val="24"/>
          <w:lang w:val="sq-AL"/>
        </w:rPr>
        <w:t xml:space="preserve">të lehtësuar nga </w:t>
      </w:r>
      <w:r w:rsidRPr="00A6284F">
        <w:rPr>
          <w:rFonts w:eastAsia="Times New Roman"/>
          <w:color w:val="000000"/>
          <w:sz w:val="24"/>
          <w:lang w:val="sq-AL"/>
        </w:rPr>
        <w:t>BE-</w:t>
      </w:r>
      <w:r w:rsidR="00E63721" w:rsidRPr="00A6284F">
        <w:rPr>
          <w:rFonts w:eastAsia="Times New Roman"/>
          <w:color w:val="000000"/>
          <w:sz w:val="24"/>
          <w:lang w:val="sq-AL"/>
        </w:rPr>
        <w:t>ja</w:t>
      </w:r>
      <w:r w:rsidRPr="00A6284F">
        <w:rPr>
          <w:rFonts w:eastAsia="Times New Roman"/>
          <w:color w:val="000000"/>
          <w:sz w:val="24"/>
          <w:lang w:val="sq-AL"/>
        </w:rPr>
        <w:t xml:space="preserve"> </w:t>
      </w:r>
      <w:r w:rsidRPr="00A6284F">
        <w:rPr>
          <w:rFonts w:eastAsia="Times New Roman"/>
          <w:i/>
          <w:color w:val="000000"/>
          <w:sz w:val="24"/>
          <w:lang w:val="sq-AL"/>
        </w:rPr>
        <w:t>(Shih seksionin 5 - Normalizimi i marrëdhënieve ndërmjet Kosovës dhe Serbisë)</w:t>
      </w:r>
      <w:r w:rsidRPr="00A6284F">
        <w:rPr>
          <w:rFonts w:eastAsia="Times New Roman"/>
          <w:color w:val="000000"/>
          <w:sz w:val="24"/>
          <w:lang w:val="sq-AL"/>
        </w:rPr>
        <w:t>.</w:t>
      </w:r>
      <w:r w:rsidR="00E63721" w:rsidRPr="00A6284F">
        <w:rPr>
          <w:rFonts w:eastAsia="Times New Roman"/>
          <w:color w:val="000000"/>
          <w:sz w:val="24"/>
          <w:lang w:val="sq-AL"/>
        </w:rPr>
        <w:t xml:space="preserve"> </w:t>
      </w:r>
      <w:r w:rsidRPr="00A6284F">
        <w:rPr>
          <w:rFonts w:eastAsia="Times New Roman"/>
          <w:color w:val="000000"/>
          <w:sz w:val="24"/>
          <w:lang w:val="sq-AL"/>
        </w:rPr>
        <w:t xml:space="preserve">Duhet të ndërmerren masa shtesë për të parandaluar kalimet e paligjshme dhe aktivitetet kriminale, përfshirë </w:t>
      </w:r>
      <w:r w:rsidR="00E63721" w:rsidRPr="00A6284F">
        <w:rPr>
          <w:rFonts w:eastAsia="Times New Roman"/>
          <w:color w:val="000000"/>
          <w:sz w:val="24"/>
          <w:lang w:val="sq-AL"/>
        </w:rPr>
        <w:t xml:space="preserve">edhe </w:t>
      </w:r>
      <w:r w:rsidRPr="00A6284F">
        <w:rPr>
          <w:rFonts w:eastAsia="Times New Roman"/>
          <w:color w:val="000000"/>
          <w:sz w:val="24"/>
          <w:lang w:val="sq-AL"/>
        </w:rPr>
        <w:t>korrupsionin.</w:t>
      </w:r>
    </w:p>
    <w:p w:rsidR="00CE1051" w:rsidRPr="00A6284F" w:rsidRDefault="00CE1051" w:rsidP="00CE1051">
      <w:pPr>
        <w:spacing w:before="130" w:line="274" w:lineRule="exact"/>
        <w:ind w:left="144"/>
        <w:textAlignment w:val="baseline"/>
        <w:rPr>
          <w:rFonts w:eastAsia="Times New Roman"/>
          <w:b/>
          <w:color w:val="000000"/>
          <w:sz w:val="24"/>
          <w:lang w:val="sq-AL"/>
        </w:rPr>
      </w:pPr>
      <w:r w:rsidRPr="00A6284F">
        <w:rPr>
          <w:rFonts w:eastAsia="Times New Roman"/>
          <w:b/>
          <w:color w:val="000000"/>
          <w:sz w:val="24"/>
          <w:lang w:val="sq-AL"/>
        </w:rPr>
        <w:t>Bashkëpunimi juridik në çështje civile dhe penale</w:t>
      </w:r>
    </w:p>
    <w:p w:rsidR="00CE1051" w:rsidRPr="00A6284F" w:rsidRDefault="00E63721" w:rsidP="00CE1051">
      <w:pPr>
        <w:spacing w:before="11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Megjithëse</w:t>
      </w:r>
      <w:r w:rsidR="00CE1051" w:rsidRPr="00A6284F">
        <w:rPr>
          <w:rFonts w:eastAsia="Times New Roman"/>
          <w:color w:val="000000"/>
          <w:sz w:val="24"/>
          <w:lang w:val="sq-AL"/>
        </w:rPr>
        <w:t xml:space="preserve"> Kosova nuk është palë në shumicën e traktateve shumëpalëshe që rregullojnë bashkëpunimin juridik në çështje civile dhe penale, ajo njëanshëm zbaton standardet e traktateve të njohura </w:t>
      </w:r>
      <w:proofErr w:type="spellStart"/>
      <w:r w:rsidR="00CE1051" w:rsidRPr="00A6284F">
        <w:rPr>
          <w:rFonts w:eastAsia="Times New Roman"/>
          <w:color w:val="000000"/>
          <w:sz w:val="24"/>
          <w:lang w:val="sq-AL"/>
        </w:rPr>
        <w:t>ndërkombëtarisht</w:t>
      </w:r>
      <w:proofErr w:type="spellEnd"/>
      <w:r w:rsidR="00CE1051" w:rsidRPr="00A6284F">
        <w:rPr>
          <w:rFonts w:eastAsia="Times New Roman"/>
          <w:color w:val="000000"/>
          <w:sz w:val="24"/>
          <w:lang w:val="sq-AL"/>
        </w:rPr>
        <w:t xml:space="preserve">. </w:t>
      </w:r>
      <w:r w:rsidRPr="00A6284F">
        <w:rPr>
          <w:rFonts w:eastAsia="Times New Roman"/>
          <w:color w:val="000000"/>
          <w:sz w:val="24"/>
          <w:lang w:val="sq-AL"/>
        </w:rPr>
        <w:t>Sa i përket</w:t>
      </w:r>
      <w:r w:rsidR="00CE1051" w:rsidRPr="00A6284F">
        <w:rPr>
          <w:rFonts w:eastAsia="Times New Roman"/>
          <w:color w:val="000000"/>
          <w:sz w:val="24"/>
          <w:lang w:val="sq-AL"/>
        </w:rPr>
        <w:t xml:space="preserve"> Konventë</w:t>
      </w:r>
      <w:r w:rsidRPr="00A6284F">
        <w:rPr>
          <w:rFonts w:eastAsia="Times New Roman"/>
          <w:color w:val="000000"/>
          <w:sz w:val="24"/>
          <w:lang w:val="sq-AL"/>
        </w:rPr>
        <w:t>s</w:t>
      </w:r>
      <w:r w:rsidR="00CE1051" w:rsidRPr="00A6284F">
        <w:rPr>
          <w:rFonts w:eastAsia="Times New Roman"/>
          <w:color w:val="000000"/>
          <w:sz w:val="24"/>
          <w:lang w:val="sq-AL"/>
        </w:rPr>
        <w:t xml:space="preserve"> </w:t>
      </w:r>
      <w:r w:rsidRPr="00A6284F">
        <w:rPr>
          <w:rFonts w:eastAsia="Times New Roman"/>
          <w:color w:val="000000"/>
          <w:sz w:val="24"/>
          <w:lang w:val="sq-AL"/>
        </w:rPr>
        <w:t xml:space="preserve">së </w:t>
      </w:r>
      <w:r w:rsidR="00CE1051" w:rsidRPr="00A6284F">
        <w:rPr>
          <w:rFonts w:eastAsia="Times New Roman"/>
          <w:color w:val="000000"/>
          <w:sz w:val="24"/>
          <w:lang w:val="sq-AL"/>
        </w:rPr>
        <w:t>Hagës të vitit 1980 për aspektet civile të rrëmbimit ndërkombëtar të fëmijëve, rastet relevante trajtohen nga Ministria e Drejtësisë. Kosova në mënyrë të njëanshme është përafruar me Konventën e Hagës të vitit 1961 për heqjen e kriterit të legalizimit për dokumentet e huaja publike.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Bashkëpunimi juridik në çështje penale rregullohet me Ligjin për Bashkëpunimin </w:t>
      </w:r>
      <w:r w:rsidR="00F44C16" w:rsidRPr="00A6284F">
        <w:rPr>
          <w:rFonts w:eastAsia="Times New Roman"/>
          <w:color w:val="000000"/>
          <w:sz w:val="24"/>
          <w:lang w:val="sq-AL"/>
        </w:rPr>
        <w:t>J</w:t>
      </w:r>
      <w:r w:rsidRPr="00A6284F">
        <w:rPr>
          <w:rFonts w:eastAsia="Times New Roman"/>
          <w:color w:val="000000"/>
          <w:sz w:val="24"/>
          <w:lang w:val="sq-AL"/>
        </w:rPr>
        <w:t xml:space="preserve">uridik </w:t>
      </w:r>
      <w:r w:rsidR="00F44C16" w:rsidRPr="00A6284F">
        <w:rPr>
          <w:rFonts w:eastAsia="Times New Roman"/>
          <w:color w:val="000000"/>
          <w:sz w:val="24"/>
          <w:lang w:val="sq-AL"/>
        </w:rPr>
        <w:t>N</w:t>
      </w:r>
      <w:r w:rsidRPr="00A6284F">
        <w:rPr>
          <w:rFonts w:eastAsia="Times New Roman"/>
          <w:color w:val="000000"/>
          <w:sz w:val="24"/>
          <w:lang w:val="sq-AL"/>
        </w:rPr>
        <w:t xml:space="preserve">dërkombëtar në </w:t>
      </w:r>
      <w:r w:rsidR="00F44C16" w:rsidRPr="00A6284F">
        <w:rPr>
          <w:rFonts w:eastAsia="Times New Roman"/>
          <w:color w:val="000000"/>
          <w:sz w:val="24"/>
          <w:lang w:val="sq-AL"/>
        </w:rPr>
        <w:t>Çështje Penale të vitit 2013</w:t>
      </w:r>
      <w:r w:rsidRPr="00A6284F">
        <w:rPr>
          <w:rFonts w:eastAsia="Times New Roman"/>
          <w:color w:val="000000"/>
          <w:sz w:val="24"/>
          <w:lang w:val="sq-AL"/>
        </w:rPr>
        <w:t xml:space="preserve"> si dhe </w:t>
      </w:r>
      <w:r w:rsidR="008F040D" w:rsidRPr="00A6284F">
        <w:rPr>
          <w:rFonts w:eastAsia="Times New Roman"/>
          <w:color w:val="000000"/>
          <w:sz w:val="24"/>
          <w:lang w:val="sq-AL"/>
        </w:rPr>
        <w:t xml:space="preserve">nga </w:t>
      </w:r>
      <w:r w:rsidRPr="00A6284F">
        <w:rPr>
          <w:rFonts w:eastAsia="Times New Roman"/>
          <w:color w:val="000000"/>
          <w:sz w:val="24"/>
          <w:lang w:val="sq-AL"/>
        </w:rPr>
        <w:t>24 marrëveshje</w:t>
      </w:r>
      <w:r w:rsidR="008F040D" w:rsidRPr="00A6284F">
        <w:rPr>
          <w:rFonts w:eastAsia="Times New Roman"/>
          <w:color w:val="000000"/>
          <w:sz w:val="24"/>
          <w:lang w:val="sq-AL"/>
        </w:rPr>
        <w:t>t</w:t>
      </w:r>
      <w:r w:rsidRPr="00A6284F">
        <w:rPr>
          <w:rFonts w:eastAsia="Times New Roman"/>
          <w:color w:val="000000"/>
          <w:sz w:val="24"/>
          <w:lang w:val="sq-AL"/>
        </w:rPr>
        <w:t xml:space="preserve"> dypalëshe me vendet </w:t>
      </w:r>
      <w:r w:rsidR="008F040D" w:rsidRPr="00A6284F">
        <w:rPr>
          <w:rFonts w:eastAsia="Times New Roman"/>
          <w:color w:val="000000"/>
          <w:sz w:val="24"/>
          <w:lang w:val="sq-AL"/>
        </w:rPr>
        <w:t xml:space="preserve">e </w:t>
      </w:r>
      <w:r w:rsidRPr="00A6284F">
        <w:rPr>
          <w:rFonts w:eastAsia="Times New Roman"/>
          <w:color w:val="000000"/>
          <w:sz w:val="24"/>
          <w:lang w:val="sq-AL"/>
        </w:rPr>
        <w:t>tjera.</w:t>
      </w:r>
      <w:r w:rsidR="00F44C16" w:rsidRPr="00A6284F">
        <w:rPr>
          <w:rFonts w:eastAsia="Times New Roman"/>
          <w:color w:val="000000"/>
          <w:sz w:val="24"/>
          <w:lang w:val="sq-AL"/>
        </w:rPr>
        <w:t xml:space="preserve"> </w:t>
      </w:r>
      <w:r w:rsidRPr="00A6284F">
        <w:rPr>
          <w:rFonts w:eastAsia="Times New Roman"/>
          <w:color w:val="000000"/>
          <w:sz w:val="24"/>
          <w:lang w:val="sq-AL"/>
        </w:rPr>
        <w:t>Korniza ligjore për bashkëpunim gjyqësor në çështje civile do të ndihmonte në sqarimin e rregullave dhe procedurave, dhe është bërë punë në projektligjin përkatës.</w:t>
      </w:r>
      <w:r w:rsidR="008F040D" w:rsidRPr="00A6284F">
        <w:rPr>
          <w:rFonts w:eastAsia="Times New Roman"/>
          <w:color w:val="000000"/>
          <w:sz w:val="24"/>
          <w:lang w:val="sq-AL"/>
        </w:rPr>
        <w:t xml:space="preserve"> </w:t>
      </w:r>
      <w:r w:rsidRPr="00A6284F">
        <w:rPr>
          <w:rFonts w:eastAsia="Times New Roman"/>
          <w:color w:val="000000"/>
          <w:sz w:val="24"/>
          <w:lang w:val="sq-AL"/>
        </w:rPr>
        <w:t>Bashkëpunimi bazohet në parimin e reciprocitetit me vendet me të cilat Kosova nuk ka marrëveshje bilaterale.</w:t>
      </w:r>
      <w:r w:rsidR="00F44C16" w:rsidRPr="00A6284F">
        <w:rPr>
          <w:rFonts w:eastAsia="Times New Roman"/>
          <w:color w:val="000000"/>
          <w:sz w:val="24"/>
          <w:lang w:val="sq-AL"/>
        </w:rPr>
        <w:t xml:space="preserve"> </w:t>
      </w:r>
      <w:r w:rsidRPr="00A6284F">
        <w:rPr>
          <w:rFonts w:eastAsia="Times New Roman"/>
          <w:color w:val="000000"/>
          <w:sz w:val="24"/>
          <w:lang w:val="sq-AL"/>
        </w:rPr>
        <w:t>Për bashkëpunimin gjyqësor në çështjet civile, Kosova ka lëshuar 199 kërkesa drejt Shteteve Anëtare të BE-së dhe ka marrë 173 përgjigje. Ka marrë 364 kërkesa nga Shtetet Anëtare të BE-së dhe ka ofruar 347 përgjigje.</w:t>
      </w:r>
      <w:r w:rsidR="008F040D" w:rsidRPr="00A6284F">
        <w:rPr>
          <w:rFonts w:eastAsia="Times New Roman"/>
          <w:color w:val="000000"/>
          <w:sz w:val="24"/>
          <w:lang w:val="sq-AL"/>
        </w:rPr>
        <w:t xml:space="preserve"> </w:t>
      </w:r>
      <w:r w:rsidRPr="00A6284F">
        <w:rPr>
          <w:rFonts w:eastAsia="Times New Roman"/>
          <w:color w:val="000000"/>
          <w:sz w:val="24"/>
          <w:lang w:val="sq-AL"/>
        </w:rPr>
        <w:t xml:space="preserve">Procedurat e vitit 2015 për </w:t>
      </w:r>
      <w:r w:rsidRPr="00A6284F">
        <w:rPr>
          <w:rFonts w:eastAsia="Times New Roman"/>
          <w:color w:val="000000"/>
          <w:sz w:val="24"/>
          <w:lang w:val="sq-AL"/>
        </w:rPr>
        <w:lastRenderedPageBreak/>
        <w:t xml:space="preserve">bashkëpunimin e ndërsjellë juridik </w:t>
      </w:r>
      <w:r w:rsidR="008F040D" w:rsidRPr="00A6284F">
        <w:rPr>
          <w:rFonts w:eastAsia="Times New Roman"/>
          <w:color w:val="000000"/>
          <w:sz w:val="24"/>
          <w:lang w:val="sq-AL"/>
        </w:rPr>
        <w:t xml:space="preserve">të </w:t>
      </w:r>
      <w:proofErr w:type="spellStart"/>
      <w:r w:rsidRPr="00A6284F">
        <w:rPr>
          <w:rFonts w:eastAsia="Times New Roman"/>
          <w:color w:val="000000"/>
          <w:sz w:val="24"/>
          <w:lang w:val="sq-AL"/>
        </w:rPr>
        <w:t>dakord</w:t>
      </w:r>
      <w:r w:rsidR="008F040D" w:rsidRPr="00A6284F">
        <w:rPr>
          <w:rFonts w:eastAsia="Times New Roman"/>
          <w:color w:val="000000"/>
          <w:sz w:val="24"/>
          <w:lang w:val="sq-AL"/>
        </w:rPr>
        <w:t>uara</w:t>
      </w:r>
      <w:proofErr w:type="spellEnd"/>
      <w:r w:rsidRPr="00A6284F">
        <w:rPr>
          <w:rFonts w:eastAsia="Times New Roman"/>
          <w:color w:val="000000"/>
          <w:sz w:val="24"/>
          <w:lang w:val="sq-AL"/>
        </w:rPr>
        <w:t xml:space="preserve"> m</w:t>
      </w:r>
      <w:r w:rsidR="008F040D" w:rsidRPr="00A6284F">
        <w:rPr>
          <w:rFonts w:eastAsia="Times New Roman"/>
          <w:color w:val="000000"/>
          <w:sz w:val="24"/>
          <w:lang w:val="sq-AL"/>
        </w:rPr>
        <w:t>e</w:t>
      </w:r>
      <w:r w:rsidRPr="00A6284F">
        <w:rPr>
          <w:rFonts w:eastAsia="Times New Roman"/>
          <w:color w:val="000000"/>
          <w:sz w:val="24"/>
          <w:lang w:val="sq-AL"/>
        </w:rPr>
        <w:t>s Beogradit dhe Prishtinës përbëjnë bazën për bashkëpunimin gjyqësor ndërmjet autoriteteve gjyqësore në Kosovë dhe Serbi.</w:t>
      </w:r>
      <w:r w:rsidR="008F040D" w:rsidRPr="00A6284F">
        <w:rPr>
          <w:rFonts w:eastAsia="Times New Roman"/>
          <w:color w:val="000000"/>
          <w:sz w:val="24"/>
          <w:lang w:val="sq-AL"/>
        </w:rPr>
        <w:t xml:space="preserve"> </w:t>
      </w:r>
      <w:r w:rsidRPr="00A6284F">
        <w:rPr>
          <w:rFonts w:eastAsia="Times New Roman"/>
          <w:color w:val="000000"/>
          <w:sz w:val="24"/>
          <w:lang w:val="sq-AL"/>
        </w:rPr>
        <w:t>Shumica e vendeve të tjera që nuk e njohin pavarësinë e Kosovës kanë pranuar vullnetarisht rolin lehtësues të BE-së.</w:t>
      </w:r>
      <w:r w:rsidR="008F040D" w:rsidRPr="00A6284F">
        <w:rPr>
          <w:rFonts w:eastAsia="Times New Roman"/>
          <w:color w:val="000000"/>
          <w:sz w:val="24"/>
          <w:lang w:val="sq-AL"/>
        </w:rPr>
        <w:t xml:space="preserve"> </w:t>
      </w:r>
      <w:r w:rsidRPr="00A6284F">
        <w:rPr>
          <w:rFonts w:eastAsia="Times New Roman"/>
          <w:color w:val="000000"/>
          <w:sz w:val="24"/>
          <w:lang w:val="sq-AL"/>
        </w:rPr>
        <w:t>Megjithatë, është vërejtur mungesa e bashkëpunimit të disa shteteve që nuk e njohin Kosovën, duke rezultuar në raste të mosndëshkimit.</w:t>
      </w:r>
      <w:r w:rsidR="00C904A3" w:rsidRPr="00A6284F">
        <w:rPr>
          <w:rFonts w:eastAsia="Times New Roman"/>
          <w:color w:val="000000"/>
          <w:sz w:val="24"/>
          <w:lang w:val="sq-AL"/>
        </w:rPr>
        <w:t xml:space="preserve"> </w:t>
      </w:r>
      <w:r w:rsidRPr="00A6284F">
        <w:rPr>
          <w:rFonts w:eastAsia="Times New Roman"/>
          <w:color w:val="000000"/>
          <w:sz w:val="24"/>
          <w:lang w:val="sq-AL"/>
        </w:rPr>
        <w:t xml:space="preserve">Për shkak të çështjeve të statusit, rastet e </w:t>
      </w:r>
      <w:proofErr w:type="spellStart"/>
      <w:r w:rsidRPr="00A6284F">
        <w:rPr>
          <w:rFonts w:eastAsia="Times New Roman"/>
          <w:color w:val="000000"/>
          <w:sz w:val="24"/>
          <w:lang w:val="sq-AL"/>
        </w:rPr>
        <w:t>Eurojust</w:t>
      </w:r>
      <w:proofErr w:type="spellEnd"/>
      <w:r w:rsidRPr="00A6284F">
        <w:rPr>
          <w:rFonts w:eastAsia="Times New Roman"/>
          <w:color w:val="000000"/>
          <w:sz w:val="24"/>
          <w:lang w:val="sq-AL"/>
        </w:rPr>
        <w:t xml:space="preserve">-it aktualisht mund të hapen ndaj EULEX dhe UNMIK. Që prej vitit 2015, nuk janë hapur raste ndaj këtyre </w:t>
      </w:r>
      <w:r w:rsidR="00C904A3" w:rsidRPr="00A6284F">
        <w:rPr>
          <w:rFonts w:eastAsia="Times New Roman"/>
          <w:color w:val="000000"/>
          <w:sz w:val="24"/>
          <w:lang w:val="sq-AL"/>
        </w:rPr>
        <w:t>subjekteve</w:t>
      </w:r>
      <w:r w:rsidRPr="00A6284F">
        <w:rPr>
          <w:rFonts w:eastAsia="Times New Roman"/>
          <w:color w:val="000000"/>
          <w:sz w:val="24"/>
          <w:lang w:val="sq-AL"/>
        </w:rPr>
        <w:t>.</w:t>
      </w:r>
    </w:p>
    <w:p w:rsidR="00CE1051" w:rsidRPr="00A6284F" w:rsidRDefault="00CE1051" w:rsidP="00CE1051">
      <w:pPr>
        <w:spacing w:line="399" w:lineRule="exact"/>
        <w:ind w:left="144" w:right="1152"/>
        <w:textAlignment w:val="baseline"/>
        <w:rPr>
          <w:rFonts w:eastAsia="Times New Roman"/>
          <w:i/>
          <w:color w:val="000000"/>
          <w:sz w:val="24"/>
          <w:lang w:val="sq-AL"/>
        </w:rPr>
      </w:pPr>
      <w:r w:rsidRPr="00A6284F">
        <w:rPr>
          <w:rFonts w:eastAsia="Times New Roman"/>
          <w:i/>
          <w:color w:val="000000"/>
          <w:sz w:val="24"/>
          <w:lang w:val="sq-AL"/>
        </w:rPr>
        <w:t xml:space="preserve">Të gjitha aspektet e bashkëpunimit doganor tani janë të përfshira në Kapitullin 29 - Bashkimi doganor. </w:t>
      </w:r>
      <w:r w:rsidRPr="00A6284F">
        <w:rPr>
          <w:rFonts w:eastAsia="Times New Roman"/>
          <w:b/>
          <w:color w:val="000000"/>
          <w:sz w:val="24"/>
          <w:lang w:val="sq-AL"/>
        </w:rPr>
        <w:t>Falsifikimi i euros (aspektet e të drejtës penale)</w:t>
      </w:r>
    </w:p>
    <w:p w:rsidR="00CE1051" w:rsidRPr="00A6284F" w:rsidRDefault="00CE1051" w:rsidP="00CE1051">
      <w:pPr>
        <w:spacing w:before="113" w:after="156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përgjithësisht në përputhje me </w:t>
      </w:r>
      <w:r w:rsidRPr="00A6284F">
        <w:rPr>
          <w:rFonts w:eastAsia="Times New Roman"/>
          <w:i/>
          <w:color w:val="000000"/>
          <w:sz w:val="24"/>
          <w:lang w:val="sq-AL"/>
        </w:rPr>
        <w:t>acquis</w:t>
      </w:r>
      <w:r w:rsidRPr="00A6284F">
        <w:rPr>
          <w:rFonts w:eastAsia="Times New Roman"/>
          <w:color w:val="000000"/>
          <w:sz w:val="24"/>
          <w:lang w:val="sq-AL"/>
        </w:rPr>
        <w:t xml:space="preserve"> për shtypjen e valutës së falsifikuar, si dhe autoritetet kompetente dhe procedurat për </w:t>
      </w:r>
      <w:r w:rsidR="001D57ED" w:rsidRPr="00A6284F">
        <w:rPr>
          <w:rFonts w:eastAsia="Times New Roman"/>
          <w:color w:val="000000"/>
          <w:sz w:val="24"/>
          <w:lang w:val="sq-AL"/>
        </w:rPr>
        <w:t>përballje</w:t>
      </w:r>
      <w:r w:rsidRPr="00A6284F">
        <w:rPr>
          <w:rFonts w:eastAsia="Times New Roman"/>
          <w:color w:val="000000"/>
          <w:sz w:val="24"/>
          <w:lang w:val="sq-AL"/>
        </w:rPr>
        <w:t xml:space="preserve"> me paratë e falsifikuara janë të vendosura.</w:t>
      </w:r>
      <w:r w:rsidR="00C904A3" w:rsidRPr="00A6284F">
        <w:rPr>
          <w:rFonts w:eastAsia="Times New Roman"/>
          <w:color w:val="000000"/>
          <w:sz w:val="24"/>
          <w:lang w:val="sq-AL"/>
        </w:rPr>
        <w:t xml:space="preserve"> </w:t>
      </w:r>
      <w:r w:rsidRPr="00A6284F">
        <w:rPr>
          <w:rFonts w:eastAsia="Times New Roman"/>
          <w:color w:val="000000"/>
          <w:sz w:val="24"/>
          <w:lang w:val="sq-AL"/>
        </w:rPr>
        <w:t>Megjithatë, Kodi Penal është vetëm pjesërisht në përputhje me Direktivën përkatëse të BE-së.</w:t>
      </w:r>
      <w:r w:rsidR="00C904A3" w:rsidRPr="00A6284F">
        <w:rPr>
          <w:rFonts w:eastAsia="Times New Roman"/>
          <w:color w:val="000000"/>
          <w:sz w:val="24"/>
          <w:lang w:val="sq-AL"/>
        </w:rPr>
        <w:t xml:space="preserve"> </w:t>
      </w:r>
      <w:r w:rsidRPr="00A6284F">
        <w:rPr>
          <w:rFonts w:eastAsia="Times New Roman"/>
          <w:color w:val="000000"/>
          <w:sz w:val="24"/>
          <w:lang w:val="sq-AL"/>
        </w:rPr>
        <w:t xml:space="preserve">Analiza teknike, në përputhje me standardet ndërkombëtare, e parave të falsifikuara, duke përfshirë bankënotat dhe monedhat, kryesisht kryhet nga agjencia </w:t>
      </w:r>
      <w:proofErr w:type="spellStart"/>
      <w:r w:rsidRPr="00A6284F">
        <w:rPr>
          <w:rFonts w:eastAsia="Times New Roman"/>
          <w:color w:val="000000"/>
          <w:sz w:val="24"/>
          <w:lang w:val="sq-AL"/>
        </w:rPr>
        <w:t>forenzike</w:t>
      </w:r>
      <w:proofErr w:type="spellEnd"/>
      <w:r w:rsidRPr="00A6284F">
        <w:rPr>
          <w:rFonts w:eastAsia="Times New Roman"/>
          <w:color w:val="000000"/>
          <w:sz w:val="24"/>
          <w:lang w:val="sq-AL"/>
        </w:rPr>
        <w:t xml:space="preserve"> në kuadër të Ministrisë së Punëve të Brendshme.</w:t>
      </w:r>
      <w:r w:rsidR="00C904A3" w:rsidRPr="00A6284F">
        <w:rPr>
          <w:rFonts w:eastAsia="Times New Roman"/>
          <w:color w:val="000000"/>
          <w:sz w:val="24"/>
          <w:lang w:val="sq-AL"/>
        </w:rPr>
        <w:t xml:space="preserve"> </w:t>
      </w:r>
      <w:r w:rsidRPr="00A6284F">
        <w:rPr>
          <w:rFonts w:eastAsia="Times New Roman"/>
          <w:color w:val="000000"/>
          <w:sz w:val="24"/>
          <w:lang w:val="sq-AL"/>
        </w:rPr>
        <w:t xml:space="preserve">Agjencia </w:t>
      </w:r>
      <w:proofErr w:type="spellStart"/>
      <w:r w:rsidRPr="00A6284F">
        <w:rPr>
          <w:rFonts w:eastAsia="Times New Roman"/>
          <w:color w:val="000000"/>
          <w:sz w:val="24"/>
          <w:lang w:val="sq-AL"/>
        </w:rPr>
        <w:t>forenzike</w:t>
      </w:r>
      <w:proofErr w:type="spellEnd"/>
      <w:r w:rsidRPr="00A6284F">
        <w:rPr>
          <w:rFonts w:eastAsia="Times New Roman"/>
          <w:color w:val="000000"/>
          <w:sz w:val="24"/>
          <w:lang w:val="sq-AL"/>
        </w:rPr>
        <w:t xml:space="preserve"> ka nënshkruar një marrëveshje me Komisionin Evropian për bashkëpunimin e mëtejshëm në shkëmbimin, ndihmën dhe trajnimin për mbrojtjen e euros nga falsifikimi (</w:t>
      </w:r>
      <w:r w:rsidRPr="00A6284F">
        <w:rPr>
          <w:rFonts w:eastAsia="Times New Roman"/>
          <w:i/>
          <w:color w:val="000000"/>
          <w:sz w:val="24"/>
          <w:lang w:val="sq-AL"/>
        </w:rPr>
        <w:t xml:space="preserve">programi </w:t>
      </w:r>
      <w:proofErr w:type="spellStart"/>
      <w:r w:rsidRPr="00A6284F">
        <w:rPr>
          <w:rFonts w:eastAsia="Times New Roman"/>
          <w:i/>
          <w:color w:val="000000"/>
          <w:sz w:val="24"/>
          <w:lang w:val="sq-AL"/>
        </w:rPr>
        <w:t>Perikli</w:t>
      </w:r>
      <w:proofErr w:type="spellEnd"/>
      <w:r w:rsidRPr="00A6284F">
        <w:rPr>
          <w:rFonts w:eastAsia="Times New Roman"/>
          <w:i/>
          <w:color w:val="000000"/>
          <w:sz w:val="24"/>
          <w:lang w:val="sq-AL"/>
        </w:rPr>
        <w:t xml:space="preserve"> 2020) (Shih pjesën për Kontrollin Financiar</w:t>
      </w:r>
      <w:r w:rsidRPr="00A6284F">
        <w:rPr>
          <w:rFonts w:eastAsia="Times New Roman"/>
          <w:color w:val="000000"/>
          <w:sz w:val="24"/>
          <w:lang w:val="sq-AL"/>
        </w:rPr>
        <w:t>).</w:t>
      </w:r>
    </w:p>
    <w:p w:rsidR="00CE1051" w:rsidRPr="00A6284F" w:rsidRDefault="00CE1051" w:rsidP="00CE1051">
      <w:pPr>
        <w:rPr>
          <w:lang w:val="sq-AL"/>
        </w:rPr>
        <w:sectPr w:rsidR="00CE1051" w:rsidRPr="00A6284F">
          <w:type w:val="continuous"/>
          <w:pgSz w:w="11909" w:h="16838"/>
          <w:pgMar w:top="1400" w:right="1281" w:bottom="562" w:left="1268" w:header="720" w:footer="720" w:gutter="0"/>
          <w:cols w:space="720"/>
        </w:sectPr>
      </w:pPr>
    </w:p>
    <w:p w:rsidR="00CE1051" w:rsidRPr="00A6284F" w:rsidRDefault="00CE1051" w:rsidP="00CE1051">
      <w:pPr>
        <w:tabs>
          <w:tab w:val="left" w:pos="792"/>
        </w:tabs>
        <w:spacing w:before="6" w:after="200" w:line="274" w:lineRule="exact"/>
        <w:ind w:left="144"/>
        <w:textAlignment w:val="baseline"/>
        <w:rPr>
          <w:rFonts w:eastAsia="Times New Roman"/>
          <w:b/>
          <w:color w:val="000000"/>
          <w:sz w:val="24"/>
          <w:lang w:val="sq-AL"/>
        </w:rPr>
      </w:pPr>
      <w:r w:rsidRPr="00A6284F">
        <w:rPr>
          <w:rFonts w:eastAsia="Times New Roman"/>
          <w:b/>
          <w:color w:val="000000"/>
          <w:sz w:val="24"/>
          <w:lang w:val="sq-AL"/>
        </w:rPr>
        <w:lastRenderedPageBreak/>
        <w:t>3.</w:t>
      </w:r>
      <w:r w:rsidRPr="00A6284F">
        <w:rPr>
          <w:rFonts w:eastAsia="Times New Roman"/>
          <w:b/>
          <w:color w:val="000000"/>
          <w:sz w:val="24"/>
          <w:lang w:val="sq-AL"/>
        </w:rPr>
        <w:tab/>
        <w:t>T</w:t>
      </w:r>
      <w:r w:rsidRPr="00A6284F">
        <w:rPr>
          <w:rFonts w:eastAsia="Times New Roman"/>
          <w:b/>
          <w:color w:val="000000"/>
          <w:sz w:val="19"/>
          <w:lang w:val="sq-AL"/>
        </w:rPr>
        <w:t>HEMELORET SË PARI</w:t>
      </w:r>
      <w:r w:rsidRPr="00A6284F">
        <w:rPr>
          <w:rFonts w:eastAsia="Times New Roman"/>
          <w:b/>
          <w:color w:val="000000"/>
          <w:sz w:val="24"/>
          <w:lang w:val="sq-AL"/>
        </w:rPr>
        <w:t xml:space="preserve">: </w:t>
      </w:r>
      <w:r w:rsidRPr="00A6284F">
        <w:rPr>
          <w:rFonts w:eastAsia="Times New Roman"/>
          <w:b/>
          <w:color w:val="000000"/>
          <w:sz w:val="19"/>
          <w:lang w:val="sq-AL"/>
        </w:rPr>
        <w:t>ZHVILLIMI EKONOMIK DHE KONKURRENCA</w:t>
      </w:r>
    </w:p>
    <w:tbl>
      <w:tblPr>
        <w:tblStyle w:val="TableGrid"/>
        <w:tblW w:w="10098" w:type="dxa"/>
        <w:tblLook w:val="04A0" w:firstRow="1" w:lastRow="0" w:firstColumn="1" w:lastColumn="0" w:noHBand="0" w:noVBand="1"/>
      </w:tblPr>
      <w:tblGrid>
        <w:gridCol w:w="10098"/>
      </w:tblGrid>
      <w:tr w:rsidR="00764C15" w:rsidRPr="00A6284F" w:rsidTr="005F227D">
        <w:tc>
          <w:tcPr>
            <w:tcW w:w="10098" w:type="dxa"/>
          </w:tcPr>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Kosovë: Shifrat kyçe ekonomike                                                       2010-15               2016               2017                2018</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 xml:space="preserve">                                                                                                             Mesatarja</w:t>
            </w:r>
          </w:p>
        </w:tc>
      </w:tr>
      <w:tr w:rsidR="00764C15" w:rsidRPr="00A6284F" w:rsidTr="00764C15">
        <w:tc>
          <w:tcPr>
            <w:tcW w:w="10098" w:type="dxa"/>
            <w:tcBorders>
              <w:bottom w:val="single" w:sz="4" w:space="0" w:color="auto"/>
            </w:tcBorders>
          </w:tcPr>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BPV për kokë banori</w:t>
            </w:r>
            <w:r w:rsidRPr="00A6284F">
              <w:rPr>
                <w:rFonts w:ascii="Times New Roman" w:hAnsi="Times New Roman" w:cs="Times New Roman"/>
                <w:sz w:val="20"/>
                <w:szCs w:val="20"/>
                <w:lang w:val="sq-AL"/>
              </w:rPr>
              <w:t xml:space="preserve"> (% e BE-28 në SFB)                                          24.4                   26.0                  26.3                  :</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 xml:space="preserve">Rritja reale e BPV-së                                                                            </w:t>
            </w:r>
            <w:r w:rsidRPr="00A6284F">
              <w:rPr>
                <w:rFonts w:ascii="Times New Roman" w:hAnsi="Times New Roman" w:cs="Times New Roman"/>
                <w:sz w:val="20"/>
                <w:szCs w:val="20"/>
                <w:lang w:val="sq-AL"/>
              </w:rPr>
              <w:t>3.2                      4.1                    4.2                  3.9</w:t>
            </w:r>
          </w:p>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 xml:space="preserve">Shkalla e aktivitetit ekonomik të popullsisë së moshës 15-64 </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 xml:space="preserve">vjeçare, </w:t>
            </w:r>
            <w:r w:rsidRPr="00A6284F">
              <w:rPr>
                <w:rFonts w:ascii="Times New Roman" w:hAnsi="Times New Roman" w:cs="Times New Roman"/>
                <w:sz w:val="20"/>
                <w:szCs w:val="20"/>
                <w:lang w:val="sq-AL"/>
              </w:rPr>
              <w:t>gjithsejte (%)                                                                            39.2*                 38.7                 42.8                  40.9</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Gjinia femërore                                                                                       19.6                   18.6                  20.0                 18.4</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Gjinia mashkullore                                                                                  58.5                   58.5                  65.3                 63.9</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 xml:space="preserve">Shkalla e papunësisë, </w:t>
            </w:r>
            <w:r w:rsidRPr="00A6284F">
              <w:rPr>
                <w:rFonts w:ascii="Times New Roman" w:hAnsi="Times New Roman" w:cs="Times New Roman"/>
                <w:sz w:val="20"/>
                <w:szCs w:val="20"/>
                <w:lang w:val="sq-AL"/>
              </w:rPr>
              <w:t>gjithsejte (%)                                                      32.3*                 27.9                 30.5                 29.6</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Gjinia femërore                                                                                        39.3                  31.8                  36.6                 33.4</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Gjinia mashkullore                                                                                  30.0                   26.2                  28.7                 28.5</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Punësimi</w:t>
            </w:r>
            <w:r w:rsidRPr="00A6284F">
              <w:rPr>
                <w:rFonts w:ascii="Times New Roman" w:hAnsi="Times New Roman" w:cs="Times New Roman"/>
                <w:sz w:val="20"/>
                <w:szCs w:val="20"/>
                <w:lang w:val="sq-AL"/>
              </w:rPr>
              <w:t xml:space="preserve"> (rritja vjetore në %)                                                                 -0.3**               11.1                  6.4                    -3.4 </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Paga nominale</w:t>
            </w:r>
            <w:r w:rsidRPr="00A6284F">
              <w:rPr>
                <w:rFonts w:ascii="Times New Roman" w:hAnsi="Times New Roman" w:cs="Times New Roman"/>
                <w:sz w:val="20"/>
                <w:szCs w:val="20"/>
                <w:lang w:val="sq-AL"/>
              </w:rPr>
              <w:t xml:space="preserve"> (rritja vjetore në %)                                                        5.8**                 1.8                    1.7                    :</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Indeksi i çmimeve të konsumit</w:t>
            </w:r>
            <w:r w:rsidRPr="00A6284F">
              <w:rPr>
                <w:rFonts w:ascii="Times New Roman" w:hAnsi="Times New Roman" w:cs="Times New Roman"/>
                <w:sz w:val="20"/>
                <w:szCs w:val="20"/>
                <w:lang w:val="sq-AL"/>
              </w:rPr>
              <w:t xml:space="preserve"> (rritja vjetore në %)                              2.5                     0.3                   1.5                    1.1    </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b/>
                <w:sz w:val="20"/>
                <w:szCs w:val="20"/>
                <w:lang w:val="sq-AL"/>
              </w:rPr>
              <w:t xml:space="preserve">Kursi i këmbimit kundrejt EUR                                                            </w:t>
            </w:r>
            <w:r w:rsidRPr="00A6284F">
              <w:rPr>
                <w:rFonts w:ascii="Times New Roman" w:hAnsi="Times New Roman" w:cs="Times New Roman"/>
                <w:sz w:val="20"/>
                <w:szCs w:val="20"/>
                <w:lang w:val="sq-AL"/>
              </w:rPr>
              <w:t>1.0                     1.0                   1.0                    1.0</w:t>
            </w:r>
          </w:p>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 xml:space="preserve">Bilanci i llogarisë rrjedhëse </w:t>
            </w:r>
            <w:r w:rsidRPr="00A6284F">
              <w:rPr>
                <w:rFonts w:ascii="Times New Roman" w:hAnsi="Times New Roman" w:cs="Times New Roman"/>
                <w:sz w:val="20"/>
                <w:szCs w:val="20"/>
                <w:lang w:val="sq-AL"/>
              </w:rPr>
              <w:t>(% e BPV-së)                                             -8.2                   -8.3                  -6.8                  -8.1</w:t>
            </w:r>
          </w:p>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 xml:space="preserve">Investimet e huaja </w:t>
            </w:r>
            <w:proofErr w:type="spellStart"/>
            <w:r w:rsidRPr="00A6284F">
              <w:rPr>
                <w:rFonts w:ascii="Times New Roman" w:hAnsi="Times New Roman" w:cs="Times New Roman"/>
                <w:b/>
                <w:sz w:val="20"/>
                <w:szCs w:val="20"/>
                <w:lang w:val="sq-AL"/>
              </w:rPr>
              <w:t>direkte</w:t>
            </w:r>
            <w:proofErr w:type="spellEnd"/>
            <w:r w:rsidRPr="00A6284F">
              <w:rPr>
                <w:rFonts w:ascii="Times New Roman" w:hAnsi="Times New Roman" w:cs="Times New Roman"/>
                <w:b/>
                <w:sz w:val="20"/>
                <w:szCs w:val="20"/>
                <w:lang w:val="sq-AL"/>
              </w:rPr>
              <w:t xml:space="preserve"> neto, FDI </w:t>
            </w:r>
            <w:r w:rsidRPr="00A6284F">
              <w:rPr>
                <w:rFonts w:ascii="Times New Roman" w:hAnsi="Times New Roman" w:cs="Times New Roman"/>
                <w:sz w:val="20"/>
                <w:szCs w:val="20"/>
                <w:lang w:val="sq-AL"/>
              </w:rPr>
              <w:t>(% e BPV-së)                               5.7                    3.6                    3.9                   3.3</w:t>
            </w:r>
          </w:p>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 xml:space="preserve">Bilanci i qeverisë së përgjithshme </w:t>
            </w:r>
            <w:r w:rsidRPr="00A6284F">
              <w:rPr>
                <w:rFonts w:ascii="Times New Roman" w:hAnsi="Times New Roman" w:cs="Times New Roman"/>
                <w:sz w:val="20"/>
                <w:szCs w:val="20"/>
                <w:lang w:val="sq-AL"/>
              </w:rPr>
              <w:t>(% e BPV-së)                                   -2.4                   -1.2                  -1.3                  -2.8</w:t>
            </w:r>
          </w:p>
          <w:p w:rsidR="00764C15" w:rsidRPr="00A6284F" w:rsidRDefault="00764C15" w:rsidP="00764C15">
            <w:pPr>
              <w:rPr>
                <w:rFonts w:ascii="Times New Roman" w:hAnsi="Times New Roman" w:cs="Times New Roman"/>
                <w:b/>
                <w:sz w:val="20"/>
                <w:szCs w:val="20"/>
                <w:lang w:val="sq-AL"/>
              </w:rPr>
            </w:pPr>
            <w:r w:rsidRPr="00A6284F">
              <w:rPr>
                <w:rFonts w:ascii="Times New Roman" w:hAnsi="Times New Roman" w:cs="Times New Roman"/>
                <w:b/>
                <w:sz w:val="20"/>
                <w:szCs w:val="20"/>
                <w:lang w:val="sq-AL"/>
              </w:rPr>
              <w:t xml:space="preserve">Borxhi i qeverisë së përgjithshme </w:t>
            </w:r>
            <w:r w:rsidRPr="00A6284F">
              <w:rPr>
                <w:rFonts w:ascii="Times New Roman" w:hAnsi="Times New Roman" w:cs="Times New Roman"/>
                <w:sz w:val="20"/>
                <w:szCs w:val="20"/>
                <w:lang w:val="sq-AL"/>
              </w:rPr>
              <w:t>(% e BPV-së)                                    8.7                    14.3                 15.5                  16.2</w:t>
            </w:r>
          </w:p>
        </w:tc>
      </w:tr>
      <w:tr w:rsidR="00764C15" w:rsidRPr="00A6284F" w:rsidTr="00764C15">
        <w:tc>
          <w:tcPr>
            <w:tcW w:w="10098" w:type="dxa"/>
            <w:tcBorders>
              <w:left w:val="nil"/>
              <w:bottom w:val="nil"/>
              <w:right w:val="nil"/>
            </w:tcBorders>
          </w:tcPr>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Burimi: Statistikat e Kosovës, Banka Botërore dhe FMN</w:t>
            </w:r>
          </w:p>
          <w:p w:rsidR="00764C15" w:rsidRPr="00A6284F" w:rsidRDefault="00764C15" w:rsidP="00764C15">
            <w:pPr>
              <w:rPr>
                <w:rFonts w:ascii="Times New Roman" w:hAnsi="Times New Roman" w:cs="Times New Roman"/>
                <w:sz w:val="20"/>
                <w:szCs w:val="20"/>
                <w:lang w:val="sq-AL"/>
              </w:rPr>
            </w:pPr>
            <w:r w:rsidRPr="00A6284F">
              <w:rPr>
                <w:rFonts w:ascii="Times New Roman" w:hAnsi="Times New Roman" w:cs="Times New Roman"/>
                <w:sz w:val="20"/>
                <w:szCs w:val="20"/>
                <w:lang w:val="sq-AL"/>
              </w:rPr>
              <w:t>Shënim: # e fundit në dispozicion, *mesatarja e 2012-2015, **mesatarja e 2013-2015</w:t>
            </w:r>
          </w:p>
        </w:tc>
      </w:tr>
    </w:tbl>
    <w:p w:rsidR="00CE1051" w:rsidRPr="00A6284F" w:rsidRDefault="00CE1051" w:rsidP="00CE1051">
      <w:pPr>
        <w:spacing w:after="155"/>
        <w:ind w:left="194" w:right="147"/>
        <w:textAlignment w:val="baseline"/>
        <w:rPr>
          <w:lang w:val="sq-AL"/>
        </w:rPr>
      </w:pPr>
    </w:p>
    <w:p w:rsidR="00CE1051" w:rsidRPr="00A6284F" w:rsidRDefault="00CE1051" w:rsidP="00CE1051">
      <w:pPr>
        <w:spacing w:line="276" w:lineRule="exact"/>
        <w:ind w:left="144" w:right="144"/>
        <w:jc w:val="both"/>
        <w:textAlignment w:val="baseline"/>
        <w:rPr>
          <w:rFonts w:eastAsia="Times New Roman"/>
          <w:i/>
          <w:color w:val="000000"/>
          <w:sz w:val="24"/>
          <w:lang w:val="sq-AL"/>
        </w:rPr>
      </w:pPr>
      <w:r w:rsidRPr="00A6284F">
        <w:rPr>
          <w:rFonts w:eastAsia="Times New Roman"/>
          <w:i/>
          <w:color w:val="000000"/>
          <w:sz w:val="24"/>
          <w:lang w:val="sq-AL"/>
        </w:rPr>
        <w:t>Në përputhje me konkluzionet e Këshillit Evropian në Kopenhagë, në qershor të vitit 1993, aderimi në BE kërkon ekzistencën e një ekonomie funksionale tregu, si dhe kapacitetin për t’u përballur me presionin konkurrues dhe forcat e tregut brenda Bashkimit Evropian.</w:t>
      </w:r>
    </w:p>
    <w:p w:rsidR="00CE1051" w:rsidRPr="00A6284F" w:rsidRDefault="00CE1051" w:rsidP="00CE1051">
      <w:pPr>
        <w:spacing w:before="120" w:line="276" w:lineRule="exact"/>
        <w:ind w:left="144" w:right="144"/>
        <w:jc w:val="both"/>
        <w:textAlignment w:val="baseline"/>
        <w:rPr>
          <w:rFonts w:eastAsia="Times New Roman"/>
          <w:i/>
          <w:color w:val="000000"/>
          <w:sz w:val="24"/>
          <w:lang w:val="sq-AL"/>
        </w:rPr>
      </w:pPr>
      <w:r w:rsidRPr="00A6284F">
        <w:rPr>
          <w:rFonts w:eastAsia="Times New Roman"/>
          <w:i/>
          <w:color w:val="000000"/>
          <w:sz w:val="24"/>
          <w:lang w:val="sq-AL"/>
        </w:rPr>
        <w:t>Qeverisja ekonomike është bërë edhe më e rëndësishme në procesin e zgjerimit gjatë viteve të fundit.</w:t>
      </w:r>
      <w:r w:rsidR="00C70029" w:rsidRPr="00A6284F">
        <w:rPr>
          <w:rFonts w:eastAsia="Times New Roman"/>
          <w:i/>
          <w:color w:val="000000"/>
          <w:sz w:val="24"/>
          <w:lang w:val="sq-AL"/>
        </w:rPr>
        <w:t xml:space="preserve"> </w:t>
      </w:r>
      <w:r w:rsidRPr="00A6284F">
        <w:rPr>
          <w:rFonts w:eastAsia="Times New Roman"/>
          <w:i/>
          <w:color w:val="000000"/>
          <w:sz w:val="24"/>
          <w:lang w:val="sq-AL"/>
        </w:rPr>
        <w:t>Monitorimi i Komisionit zhvillohet në dy procese: ushtrimin e Programit të Reformës Ekonomike dhe vlerësimin (shih më poshtë) të përputhshmërisë me kriteret ekonomike për anëtarësim.</w:t>
      </w:r>
      <w:r w:rsidR="00C70029" w:rsidRPr="00A6284F">
        <w:rPr>
          <w:rFonts w:eastAsia="Times New Roman"/>
          <w:i/>
          <w:color w:val="000000"/>
          <w:sz w:val="24"/>
          <w:lang w:val="sq-AL"/>
        </w:rPr>
        <w:t xml:space="preserve"> </w:t>
      </w:r>
      <w:r w:rsidRPr="00A6284F">
        <w:rPr>
          <w:rFonts w:eastAsia="Times New Roman"/>
          <w:i/>
          <w:color w:val="000000"/>
          <w:sz w:val="24"/>
          <w:lang w:val="sq-AL"/>
        </w:rPr>
        <w:t xml:space="preserve">Secili vend aderues përgatit çdo vit një </w:t>
      </w:r>
      <w:r w:rsidR="00C70029" w:rsidRPr="00A6284F">
        <w:rPr>
          <w:rFonts w:eastAsia="Times New Roman"/>
          <w:i/>
          <w:color w:val="000000"/>
          <w:sz w:val="24"/>
          <w:lang w:val="sq-AL"/>
        </w:rPr>
        <w:t xml:space="preserve">Program </w:t>
      </w:r>
      <w:r w:rsidRPr="00A6284F">
        <w:rPr>
          <w:rFonts w:eastAsia="Times New Roman"/>
          <w:i/>
          <w:color w:val="000000"/>
          <w:sz w:val="24"/>
          <w:lang w:val="sq-AL"/>
        </w:rPr>
        <w:t xml:space="preserve">të </w:t>
      </w:r>
      <w:r w:rsidR="00C70029" w:rsidRPr="00A6284F">
        <w:rPr>
          <w:rFonts w:eastAsia="Times New Roman"/>
          <w:i/>
          <w:color w:val="000000"/>
          <w:sz w:val="24"/>
          <w:lang w:val="sq-AL"/>
        </w:rPr>
        <w:t xml:space="preserve">Reformave Ekonomike </w:t>
      </w:r>
      <w:r w:rsidRPr="00A6284F">
        <w:rPr>
          <w:rFonts w:eastAsia="Times New Roman"/>
          <w:i/>
          <w:color w:val="000000"/>
          <w:sz w:val="24"/>
          <w:lang w:val="sq-AL"/>
        </w:rPr>
        <w:t>(</w:t>
      </w:r>
      <w:r w:rsidR="00C70029" w:rsidRPr="00A6284F">
        <w:rPr>
          <w:rFonts w:eastAsia="Times New Roman"/>
          <w:i/>
          <w:color w:val="000000"/>
          <w:sz w:val="24"/>
          <w:lang w:val="sq-AL"/>
        </w:rPr>
        <w:t>PRE</w:t>
      </w:r>
      <w:r w:rsidRPr="00A6284F">
        <w:rPr>
          <w:rFonts w:eastAsia="Times New Roman"/>
          <w:i/>
          <w:color w:val="000000"/>
          <w:sz w:val="24"/>
          <w:lang w:val="sq-AL"/>
        </w:rPr>
        <w:t>), i cili vendos kornizën e politikave makro-fiskale afatmesme, si dhe një agjendë të reformave strukturore, me qëllim të sigurimit të konkurrencës dhe rritjes gjithëpërfshirëse.</w:t>
      </w:r>
      <w:r w:rsidR="00C70029" w:rsidRPr="00A6284F">
        <w:rPr>
          <w:rFonts w:eastAsia="Times New Roman"/>
          <w:i/>
          <w:color w:val="000000"/>
          <w:sz w:val="24"/>
          <w:lang w:val="sq-AL"/>
        </w:rPr>
        <w:t xml:space="preserve"> </w:t>
      </w:r>
      <w:r w:rsidRPr="00A6284F">
        <w:rPr>
          <w:rFonts w:eastAsia="Times New Roman"/>
          <w:i/>
          <w:color w:val="000000"/>
          <w:sz w:val="24"/>
          <w:lang w:val="sq-AL"/>
        </w:rPr>
        <w:t>P</w:t>
      </w:r>
      <w:r w:rsidR="00C70029" w:rsidRPr="00A6284F">
        <w:rPr>
          <w:rFonts w:eastAsia="Times New Roman"/>
          <w:i/>
          <w:color w:val="000000"/>
          <w:sz w:val="24"/>
          <w:lang w:val="sq-AL"/>
        </w:rPr>
        <w:t>RE</w:t>
      </w:r>
      <w:r w:rsidRPr="00A6284F">
        <w:rPr>
          <w:rFonts w:eastAsia="Times New Roman"/>
          <w:i/>
          <w:color w:val="000000"/>
          <w:sz w:val="24"/>
          <w:lang w:val="sq-AL"/>
        </w:rPr>
        <w:t xml:space="preserve"> janë baza për orientimet e politikave të shteteve specifike që bashkërisht miratohen nga BE-ja dhe Ballkani Perëndimor dhe Turqia, në nivel ministror, në maj të çdo viti.</w:t>
      </w:r>
    </w:p>
    <w:p w:rsidR="00CE1051" w:rsidRPr="00A6284F" w:rsidRDefault="00CE1051" w:rsidP="00CE1051">
      <w:pPr>
        <w:spacing w:before="126" w:after="104" w:line="274" w:lineRule="exact"/>
        <w:ind w:left="144"/>
        <w:textAlignment w:val="baseline"/>
        <w:rPr>
          <w:rFonts w:eastAsia="Times New Roman"/>
          <w:b/>
          <w:color w:val="000000"/>
          <w:spacing w:val="5"/>
          <w:sz w:val="24"/>
          <w:lang w:val="sq-AL"/>
        </w:rPr>
      </w:pPr>
      <w:r w:rsidRPr="00A6284F">
        <w:rPr>
          <w:rFonts w:eastAsia="Times New Roman"/>
          <w:b/>
          <w:color w:val="000000"/>
          <w:spacing w:val="5"/>
          <w:sz w:val="24"/>
          <w:lang w:val="sq-AL"/>
        </w:rPr>
        <w:t>3.1. Ekzistenca e ekonomisë funksionale të tregut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390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0A4761">
            <w:pPr>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arritur progres</w:t>
            </w:r>
            <w:r w:rsidRPr="00A6284F">
              <w:rPr>
                <w:rFonts w:eastAsia="Times New Roman"/>
                <w:color w:val="000000"/>
                <w:sz w:val="24"/>
                <w:lang w:val="sq-AL"/>
              </w:rPr>
              <w:t xml:space="preserve"> </w:t>
            </w:r>
            <w:r w:rsidR="008929B0" w:rsidRPr="00A6284F">
              <w:rPr>
                <w:rFonts w:eastAsia="Times New Roman"/>
                <w:color w:val="000000"/>
                <w:sz w:val="24"/>
                <w:lang w:val="sq-AL"/>
              </w:rPr>
              <w:t xml:space="preserve">të mirë </w:t>
            </w:r>
            <w:r w:rsidRPr="00A6284F">
              <w:rPr>
                <w:rFonts w:eastAsia="Times New Roman"/>
                <w:color w:val="000000"/>
                <w:sz w:val="24"/>
                <w:lang w:val="sq-AL"/>
              </w:rPr>
              <w:t>si dhe është në fazë të hershme të zhvillimit të një ekonomie funksionale të tregut. Rritja ekonomike në vitin 2018</w:t>
            </w:r>
            <w:r w:rsidR="00DB4FBE" w:rsidRPr="00A6284F">
              <w:rPr>
                <w:rFonts w:eastAsia="Times New Roman"/>
                <w:color w:val="000000"/>
                <w:sz w:val="24"/>
                <w:lang w:val="sq-AL"/>
              </w:rPr>
              <w:t xml:space="preserve"> ishte e qëndrueshme</w:t>
            </w:r>
            <w:r w:rsidRPr="00A6284F">
              <w:rPr>
                <w:rFonts w:eastAsia="Times New Roman"/>
                <w:color w:val="000000"/>
                <w:sz w:val="24"/>
                <w:lang w:val="sq-AL"/>
              </w:rPr>
              <w:t xml:space="preserve">, por situata shumë e vështirë e tregut të punës mbetet shqetësim. Pjesëmarrja në tregun e punës dhe shkalla e punësimit nuk janë përmirësuar në krahasim me vitin 2017. Qeveria </w:t>
            </w:r>
            <w:r w:rsidR="00DB4FBE" w:rsidRPr="00A6284F">
              <w:rPr>
                <w:rFonts w:eastAsia="Times New Roman"/>
                <w:color w:val="000000"/>
                <w:sz w:val="24"/>
                <w:lang w:val="sq-AL"/>
              </w:rPr>
              <w:t xml:space="preserve">i </w:t>
            </w:r>
            <w:r w:rsidRPr="00A6284F">
              <w:rPr>
                <w:rFonts w:eastAsia="Times New Roman"/>
                <w:color w:val="000000"/>
                <w:sz w:val="24"/>
                <w:lang w:val="sq-AL"/>
              </w:rPr>
              <w:t xml:space="preserve">përmbahet rregullës fiskale, por presionet e shpenzimeve në lidhje me përfitimet sociale për grupe të caktuara të popullsisë dhe pagat e punonjësve publikë paraqesin rrezik për financat publike dhe pengojnë zhvillimin e sektorit privat. </w:t>
            </w:r>
            <w:r w:rsidR="00DB4FBE" w:rsidRPr="00A6284F">
              <w:rPr>
                <w:rFonts w:eastAsia="Times New Roman"/>
                <w:color w:val="000000"/>
                <w:sz w:val="24"/>
                <w:lang w:val="sq-AL"/>
              </w:rPr>
              <w:t xml:space="preserve">Mjedisi </w:t>
            </w:r>
            <w:r w:rsidRPr="00A6284F">
              <w:rPr>
                <w:rFonts w:eastAsia="Times New Roman"/>
                <w:color w:val="000000"/>
                <w:sz w:val="24"/>
                <w:lang w:val="sq-AL"/>
              </w:rPr>
              <w:t xml:space="preserve">i biznesit është përmirësuar disi, por mbeten sfida të vazhdueshme, përfshirë </w:t>
            </w:r>
            <w:r w:rsidR="00DB4FBE" w:rsidRPr="00A6284F">
              <w:rPr>
                <w:rFonts w:eastAsia="Times New Roman"/>
                <w:color w:val="000000"/>
                <w:sz w:val="24"/>
                <w:lang w:val="sq-AL"/>
              </w:rPr>
              <w:t xml:space="preserve">edhe përhapjen e </w:t>
            </w:r>
            <w:r w:rsidRPr="00A6284F">
              <w:rPr>
                <w:rFonts w:eastAsia="Times New Roman"/>
                <w:color w:val="000000"/>
                <w:sz w:val="24"/>
                <w:lang w:val="sq-AL"/>
              </w:rPr>
              <w:t>ekonomi</w:t>
            </w:r>
            <w:r w:rsidR="00DB4FBE" w:rsidRPr="00A6284F">
              <w:rPr>
                <w:rFonts w:eastAsia="Times New Roman"/>
                <w:color w:val="000000"/>
                <w:sz w:val="24"/>
                <w:lang w:val="sq-AL"/>
              </w:rPr>
              <w:t>s</w:t>
            </w:r>
            <w:r w:rsidRPr="00A6284F">
              <w:rPr>
                <w:rFonts w:eastAsia="Times New Roman"/>
                <w:color w:val="000000"/>
                <w:sz w:val="24"/>
                <w:lang w:val="sq-AL"/>
              </w:rPr>
              <w:t>ë joformale, gjyqësor</w:t>
            </w:r>
            <w:r w:rsidR="00DB4FBE" w:rsidRPr="00A6284F">
              <w:rPr>
                <w:rFonts w:eastAsia="Times New Roman"/>
                <w:color w:val="000000"/>
                <w:sz w:val="24"/>
                <w:lang w:val="sq-AL"/>
              </w:rPr>
              <w:t>it</w:t>
            </w:r>
            <w:r w:rsidRPr="00A6284F">
              <w:rPr>
                <w:rFonts w:eastAsia="Times New Roman"/>
                <w:color w:val="000000"/>
                <w:sz w:val="24"/>
                <w:lang w:val="sq-AL"/>
              </w:rPr>
              <w:t xml:space="preserve"> të ngadaltë dhe joefikas, </w:t>
            </w:r>
            <w:proofErr w:type="spellStart"/>
            <w:r w:rsidRPr="00A6284F">
              <w:rPr>
                <w:rFonts w:eastAsia="Times New Roman"/>
                <w:color w:val="000000"/>
                <w:sz w:val="24"/>
                <w:lang w:val="sq-AL"/>
              </w:rPr>
              <w:t>prevalencë</w:t>
            </w:r>
            <w:r w:rsidR="00DB4FBE" w:rsidRPr="00A6284F">
              <w:rPr>
                <w:rFonts w:eastAsia="Times New Roman"/>
                <w:color w:val="000000"/>
                <w:sz w:val="24"/>
                <w:lang w:val="sq-AL"/>
              </w:rPr>
              <w:t>s</w:t>
            </w:r>
            <w:proofErr w:type="spellEnd"/>
            <w:r w:rsidRPr="00A6284F">
              <w:rPr>
                <w:rFonts w:eastAsia="Times New Roman"/>
                <w:color w:val="000000"/>
                <w:sz w:val="24"/>
                <w:lang w:val="sq-AL"/>
              </w:rPr>
              <w:t xml:space="preserve"> </w:t>
            </w:r>
            <w:r w:rsidR="00DB4FBE" w:rsidRPr="00A6284F">
              <w:rPr>
                <w:rFonts w:eastAsia="Times New Roman"/>
                <w:color w:val="000000"/>
                <w:sz w:val="24"/>
                <w:lang w:val="sq-AL"/>
              </w:rPr>
              <w:t>s</w:t>
            </w:r>
            <w:r w:rsidRPr="00A6284F">
              <w:rPr>
                <w:rFonts w:eastAsia="Times New Roman"/>
                <w:color w:val="000000"/>
                <w:sz w:val="24"/>
                <w:lang w:val="sq-AL"/>
              </w:rPr>
              <w:t xml:space="preserve">ë lartë të korrupsionit dhe sundim të dobët të ligjit. Përkundër rritjes së fortë të eksporteve të shërbimeve, </w:t>
            </w:r>
            <w:proofErr w:type="spellStart"/>
            <w:r w:rsidRPr="00A6284F">
              <w:rPr>
                <w:rFonts w:eastAsia="Times New Roman"/>
                <w:color w:val="000000"/>
                <w:sz w:val="24"/>
                <w:lang w:val="sq-AL"/>
              </w:rPr>
              <w:t>diversifikimi</w:t>
            </w:r>
            <w:proofErr w:type="spellEnd"/>
            <w:r w:rsidRPr="00A6284F">
              <w:rPr>
                <w:rFonts w:eastAsia="Times New Roman"/>
                <w:color w:val="000000"/>
                <w:sz w:val="24"/>
                <w:lang w:val="sq-AL"/>
              </w:rPr>
              <w:t xml:space="preserve"> ekonomik ka avancuar ngadalë.</w:t>
            </w:r>
          </w:p>
          <w:p w:rsidR="00CE1051" w:rsidRPr="00A6284F" w:rsidRDefault="00CE1051" w:rsidP="000A4761">
            <w:pPr>
              <w:spacing w:before="122" w:line="276" w:lineRule="exact"/>
              <w:ind w:left="144"/>
              <w:textAlignment w:val="baseline"/>
              <w:rPr>
                <w:rFonts w:eastAsia="Times New Roman"/>
                <w:color w:val="000000"/>
                <w:sz w:val="24"/>
                <w:lang w:val="sq-AL"/>
              </w:rPr>
            </w:pPr>
            <w:r w:rsidRPr="00A6284F">
              <w:rPr>
                <w:rFonts w:eastAsia="Times New Roman"/>
                <w:color w:val="000000"/>
                <w:sz w:val="24"/>
                <w:lang w:val="sq-AL"/>
              </w:rPr>
              <w:t>Me qëllim të përmirësimit të funksionimit të ekonomisë së tregut,</w:t>
            </w:r>
            <w:r w:rsidR="00DB4FBE" w:rsidRPr="00A6284F">
              <w:rPr>
                <w:rFonts w:eastAsia="Times New Roman"/>
                <w:color w:val="000000"/>
                <w:sz w:val="24"/>
                <w:lang w:val="sq-AL"/>
              </w:rPr>
              <w:t xml:space="preserve"> </w:t>
            </w:r>
            <w:r w:rsidRPr="00A6284F">
              <w:rPr>
                <w:rFonts w:eastAsia="Times New Roman"/>
                <w:color w:val="000000"/>
                <w:sz w:val="24"/>
                <w:lang w:val="sq-AL"/>
              </w:rPr>
              <w:t xml:space="preserve">Kosova duhet t’i kushtojë vëmendje </w:t>
            </w:r>
            <w:r w:rsidR="00D327DA" w:rsidRPr="00A6284F">
              <w:rPr>
                <w:rFonts w:eastAsia="Times New Roman"/>
                <w:color w:val="000000"/>
                <w:sz w:val="24"/>
                <w:lang w:val="sq-AL"/>
              </w:rPr>
              <w:t>posaçërisht:</w:t>
            </w:r>
          </w:p>
          <w:p w:rsidR="00CE1051" w:rsidRPr="00A6284F" w:rsidRDefault="00CE1051" w:rsidP="00C341CC">
            <w:pPr>
              <w:spacing w:before="134" w:line="275" w:lineRule="exact"/>
              <w:ind w:left="144"/>
              <w:textAlignment w:val="baseline"/>
              <w:rPr>
                <w:rFonts w:ascii="Segoe UI Symbol" w:eastAsia="Segoe UI Symbol" w:hAnsi="Segoe UI Symbol"/>
                <w:color w:val="000000"/>
                <w:spacing w:val="1"/>
                <w:lang w:val="sq-AL"/>
              </w:rPr>
            </w:pPr>
            <w:r w:rsidRPr="00A6284F">
              <w:rPr>
                <w:rFonts w:ascii="Segoe UI Symbol" w:eastAsia="Segoe UI Symbol" w:hAnsi="Segoe UI Symbol"/>
                <w:color w:val="000000"/>
                <w:spacing w:val="1"/>
                <w:lang w:val="sq-AL"/>
              </w:rPr>
              <w:t>-*</w:t>
            </w:r>
            <w:r w:rsidRPr="00A6284F">
              <w:rPr>
                <w:rFonts w:eastAsia="Times New Roman"/>
                <w:color w:val="000000"/>
                <w:spacing w:val="1"/>
                <w:sz w:val="24"/>
                <w:lang w:val="sq-AL"/>
              </w:rPr>
              <w:t xml:space="preserve">të sigurojë që buxheti i vitit 2020 </w:t>
            </w:r>
            <w:r w:rsidR="00C341CC" w:rsidRPr="00A6284F">
              <w:rPr>
                <w:rFonts w:eastAsia="Times New Roman"/>
                <w:color w:val="000000"/>
                <w:spacing w:val="1"/>
                <w:sz w:val="24"/>
                <w:lang w:val="sq-AL"/>
              </w:rPr>
              <w:t>është</w:t>
            </w:r>
            <w:r w:rsidRPr="00A6284F">
              <w:rPr>
                <w:rFonts w:eastAsia="Times New Roman"/>
                <w:color w:val="000000"/>
                <w:spacing w:val="1"/>
                <w:sz w:val="24"/>
                <w:lang w:val="sq-AL"/>
              </w:rPr>
              <w:t xml:space="preserve"> në përputhje me rregullat ekzistuese fiskale, në </w:t>
            </w:r>
          </w:p>
        </w:tc>
      </w:tr>
    </w:tbl>
    <w:p w:rsidR="00CE1051" w:rsidRPr="00A6284F" w:rsidRDefault="00CE1051" w:rsidP="00CE1051">
      <w:pPr>
        <w:rPr>
          <w:lang w:val="sq-AL"/>
        </w:rPr>
        <w:sectPr w:rsidR="00CE1051" w:rsidRPr="00A6284F">
          <w:pgSz w:w="11909" w:h="16838"/>
          <w:pgMar w:top="1420" w:right="1274" w:bottom="562" w:left="1275" w:header="720" w:footer="720" w:gutter="0"/>
          <w:cols w:space="720"/>
        </w:sectPr>
      </w:pPr>
    </w:p>
    <w:p w:rsidR="00CE1051" w:rsidRPr="00A6284F" w:rsidRDefault="00CE1051" w:rsidP="00CE1051">
      <w:pPr>
        <w:spacing w:before="268" w:line="288" w:lineRule="exact"/>
        <w:textAlignment w:val="baseline"/>
        <w:rPr>
          <w:rFonts w:eastAsia="Times New Roman"/>
          <w:color w:val="000000"/>
          <w:sz w:val="24"/>
          <w:lang w:val="sq-AL"/>
        </w:rPr>
      </w:pPr>
    </w:p>
    <w:p w:rsidR="00CE1051" w:rsidRPr="00A6284F" w:rsidRDefault="00CE1051" w:rsidP="00CE1051">
      <w:pPr>
        <w:rPr>
          <w:lang w:val="sq-AL"/>
        </w:rPr>
        <w:sectPr w:rsidR="00CE1051" w:rsidRPr="00A6284F">
          <w:type w:val="continuous"/>
          <w:pgSz w:w="11909" w:h="16838"/>
          <w:pgMar w:top="1420" w:right="1274" w:bottom="562" w:left="1272" w:header="720" w:footer="720" w:gutter="0"/>
          <w:cols w:space="720"/>
        </w:sectPr>
      </w:pPr>
    </w:p>
    <w:p w:rsidR="00CE1051" w:rsidRPr="00A6284F" w:rsidRDefault="00CE1051" w:rsidP="00CE1051">
      <w:pPr>
        <w:spacing w:before="4" w:line="249" w:lineRule="exact"/>
        <w:jc w:val="center"/>
        <w:textAlignment w:val="baseline"/>
        <w:rPr>
          <w:rFonts w:eastAsia="Times New Roman"/>
          <w:color w:val="000000"/>
          <w:spacing w:val="42"/>
          <w:lang w:val="sq-AL"/>
        </w:rPr>
      </w:pPr>
      <w:r w:rsidRPr="00A6284F">
        <w:rPr>
          <w:rFonts w:eastAsia="Times New Roman"/>
          <w:color w:val="000000"/>
          <w:spacing w:val="42"/>
          <w:lang w:val="sq-AL"/>
        </w:rPr>
        <w:lastRenderedPageBreak/>
        <w:t>44</w:t>
      </w:r>
    </w:p>
    <w:p w:rsidR="00CE1051" w:rsidRPr="00A6284F" w:rsidRDefault="00CE1051" w:rsidP="00CE1051">
      <w:pPr>
        <w:rPr>
          <w:lang w:val="sq-AL"/>
        </w:rPr>
        <w:sectPr w:rsidR="00CE1051" w:rsidRPr="00A6284F">
          <w:type w:val="continuous"/>
          <w:pgSz w:w="11909" w:h="16838"/>
          <w:pgMar w:top="1420" w:right="1277" w:bottom="562" w:left="1272"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2502"/>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0A4761">
            <w:pPr>
              <w:spacing w:before="18" w:line="275" w:lineRule="exact"/>
              <w:ind w:left="504"/>
              <w:textAlignment w:val="baseline"/>
              <w:rPr>
                <w:rFonts w:eastAsia="Times New Roman"/>
                <w:color w:val="000000"/>
                <w:spacing w:val="-4"/>
                <w:sz w:val="24"/>
                <w:lang w:val="sq-AL"/>
              </w:rPr>
            </w:pPr>
            <w:r w:rsidRPr="00A6284F">
              <w:rPr>
                <w:rFonts w:eastAsia="Times New Roman"/>
                <w:color w:val="000000"/>
                <w:spacing w:val="1"/>
                <w:sz w:val="24"/>
                <w:lang w:val="sq-AL"/>
              </w:rPr>
              <w:lastRenderedPageBreak/>
              <w:t>veçanti rregullin e pagave</w:t>
            </w:r>
            <w:r w:rsidRPr="00A6284F">
              <w:rPr>
                <w:rFonts w:eastAsia="Times New Roman"/>
                <w:color w:val="000000"/>
                <w:spacing w:val="-4"/>
                <w:sz w:val="24"/>
                <w:lang w:val="sq-AL"/>
              </w:rPr>
              <w:t>;</w:t>
            </w:r>
          </w:p>
          <w:p w:rsidR="00CE1051" w:rsidRPr="00A6284F" w:rsidRDefault="00CE1051" w:rsidP="000A4761">
            <w:pPr>
              <w:spacing w:before="137" w:line="275" w:lineRule="exact"/>
              <w:ind w:left="504" w:right="144" w:hanging="360"/>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përmirësimin e mbikëqyrjes financiare dhe llogaridhënien e ndërmarrjeve publike dhe avancimin e privatizimit të tyre;</w:t>
            </w:r>
          </w:p>
          <w:p w:rsidR="00CE1051" w:rsidRPr="00A6284F" w:rsidRDefault="00CE1051" w:rsidP="008B31CC">
            <w:pPr>
              <w:spacing w:before="141" w:line="275"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përmirësimin e mëtejshëm të qasjes në financa për NVM-të duke adresuar faktorët themelorë ligjorë dhe institucionalë;</w:t>
            </w:r>
          </w:p>
          <w:p w:rsidR="00CE1051" w:rsidRPr="00A6284F" w:rsidRDefault="00CE1051" w:rsidP="000A4761">
            <w:pPr>
              <w:spacing w:before="136" w:after="117" w:line="275" w:lineRule="exact"/>
              <w:ind w:left="504" w:right="144" w:hanging="360"/>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zhvillimin e masave aktive për rritjen e pjesëmarrjes dhe punësimit të femrave në tregun e punës.</w:t>
            </w:r>
          </w:p>
        </w:tc>
      </w:tr>
    </w:tbl>
    <w:p w:rsidR="00CE1051" w:rsidRPr="00A6284F" w:rsidRDefault="00CE1051" w:rsidP="00CE1051">
      <w:pPr>
        <w:spacing w:before="3"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Qeverisja ekonomike</w:t>
      </w:r>
    </w:p>
    <w:p w:rsidR="00CE1051" w:rsidRPr="00A6284F" w:rsidRDefault="00CE1051" w:rsidP="00CE1051">
      <w:pPr>
        <w:spacing w:before="127"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Korniza e politikave të Kosovë e bazuar në rregulla mbështet qëndrueshmërinë fiskale.</w:t>
      </w:r>
      <w:r w:rsidR="008B31CC" w:rsidRPr="00A6284F">
        <w:rPr>
          <w:rFonts w:eastAsia="Times New Roman"/>
          <w:b/>
          <w:color w:val="000000"/>
          <w:sz w:val="24"/>
          <w:lang w:val="sq-AL"/>
        </w:rPr>
        <w:t xml:space="preserve"> </w:t>
      </w:r>
      <w:r w:rsidRPr="00A6284F">
        <w:rPr>
          <w:rFonts w:eastAsia="Times New Roman"/>
          <w:color w:val="000000"/>
          <w:sz w:val="24"/>
          <w:lang w:val="sq-AL"/>
        </w:rPr>
        <w:t>Megjithatë, iniciativat e reja të qeverisë paraqesin rreziqe për stabilitetin makroekonomik.</w:t>
      </w:r>
      <w:r w:rsidR="008B31CC" w:rsidRPr="00A6284F">
        <w:rPr>
          <w:rFonts w:eastAsia="Times New Roman"/>
          <w:color w:val="000000"/>
          <w:sz w:val="24"/>
          <w:lang w:val="sq-AL"/>
        </w:rPr>
        <w:t xml:space="preserve"> </w:t>
      </w:r>
      <w:r w:rsidRPr="00A6284F">
        <w:rPr>
          <w:rFonts w:eastAsia="Times New Roman"/>
          <w:color w:val="000000"/>
          <w:sz w:val="24"/>
          <w:lang w:val="sq-AL"/>
        </w:rPr>
        <w:t>Parashikimet fiskale në kornizën afatmesme të shpenzimeve 2019-2021 (KASH) dhe në buxhetin e vitit 2019 janë në përputhje me rregullat fiskale.</w:t>
      </w:r>
      <w:r w:rsidR="00FD66C7" w:rsidRPr="00A6284F">
        <w:rPr>
          <w:rFonts w:eastAsia="Times New Roman"/>
          <w:color w:val="000000"/>
          <w:sz w:val="24"/>
          <w:lang w:val="sq-AL"/>
        </w:rPr>
        <w:t xml:space="preserve"> </w:t>
      </w:r>
      <w:r w:rsidRPr="00A6284F">
        <w:rPr>
          <w:rFonts w:eastAsia="Times New Roman"/>
          <w:color w:val="000000"/>
          <w:sz w:val="24"/>
          <w:lang w:val="sq-AL"/>
        </w:rPr>
        <w:t>Në të njëjtën kohë, qeveria është e angazhuar në iniciativat fiskale, siç është së fundmi miratimi i Ligjit për pagat për punonjësit publikë dhe transferimet sociale për grupe të veçanta që krijojnë rreziqe të rëndësishme fiskale me një ndikim potencial negativ në stabilitetin makroekonomik.</w:t>
      </w:r>
      <w:r w:rsidR="008B31CC" w:rsidRPr="00A6284F">
        <w:rPr>
          <w:rFonts w:eastAsia="Times New Roman"/>
          <w:color w:val="000000"/>
          <w:sz w:val="24"/>
          <w:lang w:val="sq-AL"/>
        </w:rPr>
        <w:t xml:space="preserve"> </w:t>
      </w:r>
      <w:r w:rsidRPr="00A6284F">
        <w:rPr>
          <w:rFonts w:eastAsia="Times New Roman"/>
          <w:color w:val="000000"/>
          <w:sz w:val="24"/>
          <w:lang w:val="sq-AL"/>
        </w:rPr>
        <w:t xml:space="preserve">Udhëzimet e politikave të përbashkëta të </w:t>
      </w:r>
      <w:proofErr w:type="spellStart"/>
      <w:r w:rsidRPr="00A6284F">
        <w:rPr>
          <w:rFonts w:eastAsia="Times New Roman"/>
          <w:color w:val="000000"/>
          <w:sz w:val="24"/>
          <w:lang w:val="sq-AL"/>
        </w:rPr>
        <w:t>dakorduara</w:t>
      </w:r>
      <w:proofErr w:type="spellEnd"/>
      <w:r w:rsidRPr="00A6284F">
        <w:rPr>
          <w:rFonts w:eastAsia="Times New Roman"/>
          <w:color w:val="000000"/>
          <w:sz w:val="24"/>
          <w:lang w:val="sq-AL"/>
        </w:rPr>
        <w:t xml:space="preserve"> në Dialogun Ekonomik dhe Financiar të majit të vitit 2018 m</w:t>
      </w:r>
      <w:r w:rsidR="00FD66C7" w:rsidRPr="00A6284F">
        <w:rPr>
          <w:rFonts w:eastAsia="Times New Roman"/>
          <w:color w:val="000000"/>
          <w:sz w:val="24"/>
          <w:lang w:val="sq-AL"/>
        </w:rPr>
        <w:t>e</w:t>
      </w:r>
      <w:r w:rsidRPr="00A6284F">
        <w:rPr>
          <w:rFonts w:eastAsia="Times New Roman"/>
          <w:color w:val="000000"/>
          <w:sz w:val="24"/>
          <w:lang w:val="sq-AL"/>
        </w:rPr>
        <w:t>s BE dhe Ballkanit Perëndimor dhe Turqisë janë zbatuar pjesërisht.</w:t>
      </w:r>
      <w:r w:rsidR="00FD66C7" w:rsidRPr="00A6284F">
        <w:rPr>
          <w:rFonts w:eastAsia="Times New Roman"/>
          <w:color w:val="000000"/>
          <w:sz w:val="24"/>
          <w:lang w:val="sq-AL"/>
        </w:rPr>
        <w:t xml:space="preserve"> </w:t>
      </w:r>
      <w:r w:rsidRPr="00A6284F">
        <w:rPr>
          <w:rFonts w:eastAsia="Times New Roman"/>
          <w:color w:val="000000"/>
          <w:sz w:val="24"/>
          <w:lang w:val="sq-AL"/>
        </w:rPr>
        <w:t>Nga ana tjetër, së fundi futja e tarifave 100% për të gjitha importet e mallrave me origjinë nga Serbia dhe Bosnja dhe Hercegovina përbën një shkelje të drejtpërdrejtë të Marrëveshjes së Tregtisë së Lirë të Evropës Qendrore (CEFTA).</w:t>
      </w:r>
    </w:p>
    <w:p w:rsidR="00CE1051" w:rsidRPr="00A6284F" w:rsidRDefault="00CE1051" w:rsidP="00CE1051">
      <w:pPr>
        <w:spacing w:before="126"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Stabiliteti makroekonomik</w:t>
      </w:r>
    </w:p>
    <w:p w:rsidR="00CE1051" w:rsidRPr="00A6284F" w:rsidRDefault="00AE58C8" w:rsidP="00CE1051">
      <w:pPr>
        <w:ind w:left="144"/>
        <w:jc w:val="both"/>
        <w:textAlignment w:val="baseline"/>
        <w:rPr>
          <w:rFonts w:eastAsia="Times New Roman"/>
          <w:color w:val="000000"/>
          <w:spacing w:val="1"/>
          <w:sz w:val="24"/>
          <w:lang w:val="sq-AL"/>
        </w:rPr>
      </w:pPr>
      <w:r w:rsidRPr="00A6284F">
        <w:rPr>
          <w:rFonts w:eastAsia="Times New Roman"/>
          <w:b/>
          <w:color w:val="000000"/>
          <w:sz w:val="24"/>
          <w:lang w:val="sq-AL"/>
        </w:rPr>
        <w:pict>
          <v:shape id="_x0000_s1120" type="#_x0000_t202" style="position:absolute;left:0;text-align:left;margin-left:80.65pt;margin-top:588.8pt;width:240.15pt;height:30.85pt;z-index:-251601920;mso-wrap-distance-left:0;mso-wrap-distance-right:0;mso-position-horizontal-relative:page;mso-position-vertical-relative:page" filled="f" stroked="f">
            <v:textbox inset="0,0,0,0">
              <w:txbxContent>
                <w:p w:rsidR="00F23D22" w:rsidRDefault="00F23D22" w:rsidP="00CE1051">
                  <w:pPr>
                    <w:tabs>
                      <w:tab w:val="left" w:leader="underscore" w:pos="288"/>
                      <w:tab w:val="left" w:pos="1656"/>
                      <w:tab w:val="left" w:pos="3096"/>
                    </w:tabs>
                    <w:spacing w:before="29" w:line="157" w:lineRule="exact"/>
                    <w:textAlignment w:val="baseline"/>
                    <w:rPr>
                      <w:rFonts w:ascii="Calibri" w:eastAsia="Calibri" w:hAnsi="Calibri"/>
                      <w:color w:val="000000"/>
                      <w:sz w:val="16"/>
                    </w:rPr>
                  </w:pPr>
                  <w:r>
                    <w:rPr>
                      <w:rFonts w:ascii="Calibri" w:eastAsia="Calibri" w:hAnsi="Calibri"/>
                      <w:color w:val="000000"/>
                      <w:sz w:val="16"/>
                    </w:rPr>
                    <w:tab/>
                    <w:t>Priv. cons.</w:t>
                  </w:r>
                  <w:r>
                    <w:rPr>
                      <w:rFonts w:ascii="Calibri" w:eastAsia="Calibri" w:hAnsi="Calibri"/>
                      <w:color w:val="000000"/>
                      <w:sz w:val="16"/>
                    </w:rPr>
                    <w:tab/>
                    <w:t xml:space="preserve"> Gov. cons.</w:t>
                  </w:r>
                  <w:r>
                    <w:rPr>
                      <w:rFonts w:ascii="Calibri" w:eastAsia="Calibri" w:hAnsi="Calibri"/>
                      <w:color w:val="000000"/>
                      <w:sz w:val="16"/>
                    </w:rPr>
                    <w:tab/>
                  </w:r>
                  <w:r w:rsidRPr="00011E49">
                    <w:rPr>
                      <w:rFonts w:ascii="Calibri" w:eastAsia="Calibri" w:hAnsi="Calibri"/>
                      <w:color w:val="000000"/>
                      <w:sz w:val="16"/>
                    </w:rPr>
                    <w:t>FBKF</w:t>
                  </w:r>
                </w:p>
              </w:txbxContent>
            </v:textbox>
            <w10:wrap type="square" anchorx="page" anchory="page"/>
          </v:shape>
        </w:pict>
      </w:r>
      <w:r w:rsidR="00CE1051" w:rsidRPr="00A6284F">
        <w:rPr>
          <w:rFonts w:eastAsia="Times New Roman"/>
          <w:b/>
          <w:color w:val="000000"/>
          <w:sz w:val="24"/>
          <w:lang w:val="sq-AL"/>
        </w:rPr>
        <w:t>Aktiviteti ekonomik është rritur në mënyrë të qëndrueshme që nga viti 2015, por kufiz</w:t>
      </w:r>
      <w:r w:rsidR="00FD66C7" w:rsidRPr="00A6284F">
        <w:rPr>
          <w:rFonts w:eastAsia="Times New Roman"/>
          <w:b/>
          <w:color w:val="000000"/>
          <w:sz w:val="24"/>
          <w:lang w:val="sq-AL"/>
        </w:rPr>
        <w:t xml:space="preserve">ohet </w:t>
      </w:r>
      <w:r w:rsidR="00CE1051" w:rsidRPr="00A6284F">
        <w:rPr>
          <w:rFonts w:eastAsia="Times New Roman"/>
          <w:b/>
          <w:color w:val="000000"/>
          <w:sz w:val="24"/>
          <w:lang w:val="sq-AL"/>
        </w:rPr>
        <w:t>nga një bazë e ngushtë e prodhimit dhe nën-shfrytëzimi i konsiderueshëm i punës</w:t>
      </w:r>
      <w:r w:rsidR="00CE1051" w:rsidRPr="00A6284F">
        <w:rPr>
          <w:rFonts w:eastAsia="Times New Roman"/>
          <w:b/>
          <w:color w:val="000000"/>
          <w:spacing w:val="9"/>
          <w:sz w:val="24"/>
          <w:lang w:val="sq-AL"/>
        </w:rPr>
        <w:t>.</w:t>
      </w:r>
      <w:r w:rsidR="00FD66C7" w:rsidRPr="00A6284F">
        <w:rPr>
          <w:rFonts w:eastAsia="Times New Roman"/>
          <w:b/>
          <w:color w:val="000000"/>
          <w:spacing w:val="9"/>
          <w:sz w:val="24"/>
          <w:lang w:val="sq-AL"/>
        </w:rPr>
        <w:t xml:space="preserve"> </w:t>
      </w:r>
      <w:r w:rsidR="00CE1051" w:rsidRPr="00A6284F">
        <w:rPr>
          <w:rFonts w:eastAsia="Times New Roman"/>
          <w:color w:val="000000"/>
          <w:sz w:val="24"/>
          <w:lang w:val="sq-AL"/>
        </w:rPr>
        <w:t>Bazuar në totalin e katër tremujorëve, rritja reale e BPV-së arriti në 3.9%</w:t>
      </w:r>
      <w:r w:rsidR="001C5B09" w:rsidRPr="00A6284F">
        <w:rPr>
          <w:rStyle w:val="FootnoteReference"/>
          <w:rFonts w:eastAsia="Times New Roman"/>
          <w:color w:val="000000"/>
          <w:sz w:val="24"/>
          <w:lang w:val="sq-AL"/>
        </w:rPr>
        <w:footnoteReference w:id="3"/>
      </w:r>
      <w:r w:rsidR="00CE1051" w:rsidRPr="00A6284F">
        <w:rPr>
          <w:rFonts w:eastAsia="Times New Roman"/>
          <w:color w:val="000000"/>
          <w:sz w:val="24"/>
          <w:lang w:val="sq-AL"/>
        </w:rPr>
        <w:t>.</w:t>
      </w:r>
      <w:r w:rsidR="001C5B09" w:rsidRPr="00A6284F">
        <w:rPr>
          <w:rFonts w:eastAsia="Times New Roman"/>
          <w:color w:val="000000"/>
          <w:sz w:val="24"/>
          <w:lang w:val="sq-AL"/>
        </w:rPr>
        <w:t xml:space="preserve"> </w:t>
      </w:r>
      <w:r w:rsidR="00CE1051" w:rsidRPr="00A6284F">
        <w:rPr>
          <w:rFonts w:eastAsia="Times New Roman"/>
          <w:color w:val="000000"/>
          <w:sz w:val="24"/>
          <w:lang w:val="sq-AL"/>
        </w:rPr>
        <w:t>Në vitet e fundit, ekonomia është nxitur nga investimet publike në infrastrukturë dhe në konsum privat,</w:t>
      </w:r>
      <w:r w:rsidRPr="00A6284F">
        <w:rPr>
          <w:rFonts w:eastAsia="Times New Roman"/>
          <w:color w:val="000000"/>
          <w:sz w:val="24"/>
          <w:lang w:val="sq-AL"/>
        </w:rPr>
        <w:pict>
          <v:shape id="_x0000_s1105" type="#_x0000_t202" style="position:absolute;left:0;text-align:left;margin-left:63.75pt;margin-top:470.9pt;width:262.15pt;height:150.65pt;z-index:-251617280;mso-wrap-distance-left:0;mso-wrap-distance-top:9.6pt;mso-wrap-distance-right:8.9pt;mso-wrap-distance-bottom:14.65pt;mso-position-horizontal-relative:page;mso-position-vertical-relative:page" filled="f" stroked="f">
            <v:textbox inset="0,0,0,0">
              <w:txbxContent>
                <w:p w:rsidR="00F23D22" w:rsidRDefault="00F23D22" w:rsidP="00CE1051">
                  <w:pPr>
                    <w:pBdr>
                      <w:top w:val="single" w:sz="4" w:space="9" w:color="858585"/>
                      <w:left w:val="single" w:sz="4" w:space="0" w:color="858585"/>
                      <w:bottom w:val="single" w:sz="4" w:space="14" w:color="858585"/>
                      <w:right w:val="single" w:sz="4" w:space="8" w:color="858585"/>
                    </w:pBdr>
                  </w:pPr>
                </w:p>
              </w:txbxContent>
            </v:textbox>
            <w10:wrap type="square" anchorx="page" anchory="page"/>
          </v:shape>
        </w:pict>
      </w:r>
      <w:r w:rsidRPr="00A6284F">
        <w:rPr>
          <w:rFonts w:eastAsia="Times New Roman"/>
          <w:color w:val="000000"/>
          <w:sz w:val="24"/>
          <w:lang w:val="sq-AL"/>
        </w:rPr>
        <w:pict>
          <v:shape id="_x0000_s1106" type="#_x0000_t202" style="position:absolute;left:0;text-align:left;margin-left:68.85pt;margin-top:470.9pt;width:251.95pt;height:14.85pt;z-index:-251616256;mso-wrap-distance-left:0;mso-wrap-distance-right:0;mso-position-horizontal-relative:page;mso-position-vertical-relative:page" filled="f" stroked="f">
            <v:textbox inset="0,0,0,0">
              <w:txbxContent>
                <w:p w:rsidR="00F23D22" w:rsidRDefault="00F23D22" w:rsidP="00CE1051">
                  <w:pPr>
                    <w:spacing w:before="100" w:line="187" w:lineRule="exact"/>
                    <w:jc w:val="center"/>
                    <w:textAlignment w:val="baseline"/>
                    <w:rPr>
                      <w:rFonts w:ascii="Calibri" w:eastAsia="Calibri" w:hAnsi="Calibri"/>
                      <w:b/>
                      <w:color w:val="000000"/>
                      <w:spacing w:val="-1"/>
                      <w:sz w:val="19"/>
                    </w:rPr>
                  </w:pPr>
                  <w:proofErr w:type="spellStart"/>
                  <w:r>
                    <w:rPr>
                      <w:rFonts w:ascii="Calibri" w:eastAsia="Calibri" w:hAnsi="Calibri"/>
                      <w:b/>
                      <w:color w:val="000000"/>
                      <w:spacing w:val="-1"/>
                      <w:sz w:val="19"/>
                    </w:rPr>
                    <w:t>Kosovë</w:t>
                  </w:r>
                  <w:proofErr w:type="spellEnd"/>
                  <w:r>
                    <w:rPr>
                      <w:rFonts w:ascii="Calibri" w:eastAsia="Calibri" w:hAnsi="Calibri"/>
                      <w:b/>
                      <w:color w:val="000000"/>
                      <w:spacing w:val="-1"/>
                      <w:sz w:val="19"/>
                    </w:rPr>
                    <w:t xml:space="preserve">: </w:t>
                  </w:r>
                  <w:proofErr w:type="spellStart"/>
                  <w:r w:rsidRPr="001F35F1">
                    <w:rPr>
                      <w:rFonts w:ascii="Calibri" w:eastAsia="Calibri" w:hAnsi="Calibri"/>
                      <w:b/>
                      <w:color w:val="000000"/>
                      <w:spacing w:val="-1"/>
                      <w:sz w:val="19"/>
                    </w:rPr>
                    <w:t>Rritja</w:t>
                  </w:r>
                  <w:proofErr w:type="spellEnd"/>
                  <w:r w:rsidRPr="001F35F1">
                    <w:rPr>
                      <w:rFonts w:ascii="Calibri" w:eastAsia="Calibri" w:hAnsi="Calibri"/>
                      <w:b/>
                      <w:color w:val="000000"/>
                      <w:spacing w:val="-1"/>
                      <w:sz w:val="19"/>
                    </w:rPr>
                    <w:t xml:space="preserve"> e BPV-</w:t>
                  </w:r>
                  <w:proofErr w:type="spellStart"/>
                  <w:r w:rsidRPr="001F35F1">
                    <w:rPr>
                      <w:rFonts w:ascii="Calibri" w:eastAsia="Calibri" w:hAnsi="Calibri"/>
                      <w:b/>
                      <w:color w:val="000000"/>
                      <w:spacing w:val="-1"/>
                      <w:sz w:val="19"/>
                    </w:rPr>
                    <w:t>së</w:t>
                  </w:r>
                  <w:proofErr w:type="spellEnd"/>
                  <w:r w:rsidRPr="001F35F1">
                    <w:rPr>
                      <w:rFonts w:ascii="Calibri" w:eastAsia="Calibri" w:hAnsi="Calibri"/>
                      <w:b/>
                      <w:color w:val="000000"/>
                      <w:spacing w:val="-1"/>
                      <w:sz w:val="19"/>
                    </w:rPr>
                    <w:t xml:space="preserve"> </w:t>
                  </w:r>
                  <w:proofErr w:type="spellStart"/>
                  <w:r w:rsidRPr="001F35F1">
                    <w:rPr>
                      <w:rFonts w:ascii="Calibri" w:eastAsia="Calibri" w:hAnsi="Calibri"/>
                      <w:b/>
                      <w:color w:val="000000"/>
                      <w:spacing w:val="-1"/>
                      <w:sz w:val="19"/>
                    </w:rPr>
                    <w:t>reale</w:t>
                  </w:r>
                  <w:proofErr w:type="spellEnd"/>
                  <w:r w:rsidRPr="001F35F1">
                    <w:rPr>
                      <w:rFonts w:ascii="Calibri" w:eastAsia="Calibri" w:hAnsi="Calibri"/>
                      <w:b/>
                      <w:color w:val="000000"/>
                      <w:spacing w:val="-1"/>
                      <w:sz w:val="19"/>
                    </w:rPr>
                    <w:t xml:space="preserve"> </w:t>
                  </w:r>
                  <w:proofErr w:type="spellStart"/>
                  <w:r w:rsidRPr="001F35F1">
                    <w:rPr>
                      <w:rFonts w:ascii="Calibri" w:eastAsia="Calibri" w:hAnsi="Calibri"/>
                      <w:b/>
                      <w:color w:val="000000"/>
                      <w:spacing w:val="-1"/>
                      <w:sz w:val="19"/>
                    </w:rPr>
                    <w:t>dhe</w:t>
                  </w:r>
                  <w:proofErr w:type="spellEnd"/>
                  <w:r w:rsidRPr="001F35F1">
                    <w:rPr>
                      <w:rFonts w:ascii="Calibri" w:eastAsia="Calibri" w:hAnsi="Calibri"/>
                      <w:b/>
                      <w:color w:val="000000"/>
                      <w:spacing w:val="-1"/>
                      <w:sz w:val="19"/>
                    </w:rPr>
                    <w:t xml:space="preserve"> </w:t>
                  </w:r>
                  <w:proofErr w:type="spellStart"/>
                  <w:r w:rsidRPr="001F35F1">
                    <w:rPr>
                      <w:rFonts w:ascii="Calibri" w:eastAsia="Calibri" w:hAnsi="Calibri"/>
                      <w:b/>
                      <w:color w:val="000000"/>
                      <w:spacing w:val="-1"/>
                      <w:sz w:val="19"/>
                    </w:rPr>
                    <w:t>kontributet</w:t>
                  </w:r>
                  <w:proofErr w:type="spellEnd"/>
                </w:p>
              </w:txbxContent>
            </v:textbox>
            <w10:wrap type="square" anchorx="page" anchory="page"/>
          </v:shape>
        </w:pict>
      </w:r>
      <w:r w:rsidRPr="00A6284F">
        <w:rPr>
          <w:rFonts w:eastAsia="Times New Roman"/>
          <w:color w:val="000000"/>
          <w:sz w:val="24"/>
          <w:lang w:val="sq-AL"/>
        </w:rPr>
        <w:pict>
          <v:shape id="_x0000_s1107" type="#_x0000_t202" style="position:absolute;left:0;text-align:left;margin-left:77.5pt;margin-top:485.75pt;width:12.15pt;height:7.95pt;z-index:-251615232;mso-wrap-distance-left:0;mso-wrap-distance-right:0;mso-position-horizontal-relative:page;mso-position-vertical-relative:page" filled="f" stroked="f">
            <v:textbox inset="0,0,0,0">
              <w:txbxContent>
                <w:p w:rsidR="00F23D22" w:rsidRDefault="00F23D22" w:rsidP="00CE1051">
                  <w:pPr>
                    <w:spacing w:before="2" w:line="147" w:lineRule="exact"/>
                    <w:textAlignment w:val="baseline"/>
                    <w:rPr>
                      <w:rFonts w:ascii="Calibri" w:eastAsia="Calibri" w:hAnsi="Calibri"/>
                      <w:color w:val="000000"/>
                      <w:spacing w:val="-12"/>
                      <w:sz w:val="16"/>
                    </w:rPr>
                  </w:pPr>
                  <w:r>
                    <w:rPr>
                      <w:rFonts w:ascii="Calibri" w:eastAsia="Calibri" w:hAnsi="Calibri"/>
                      <w:color w:val="000000"/>
                      <w:spacing w:val="-12"/>
                      <w:sz w:val="16"/>
                    </w:rPr>
                    <w:t>10</w:t>
                  </w:r>
                </w:p>
              </w:txbxContent>
            </v:textbox>
            <w10:wrap type="square" anchorx="page" anchory="page"/>
          </v:shape>
        </w:pict>
      </w:r>
      <w:r w:rsidRPr="00A6284F">
        <w:rPr>
          <w:rFonts w:eastAsia="Times New Roman"/>
          <w:color w:val="000000"/>
          <w:sz w:val="24"/>
          <w:lang w:val="sq-AL"/>
        </w:rPr>
        <w:pict>
          <v:shape id="_x0000_s1108" type="#_x0000_t202" style="position:absolute;left:0;text-align:left;margin-left:78.65pt;margin-top:493.7pt;width:8.75pt;height:9.35pt;z-index:-251614208;mso-wrap-distance-left:0;mso-wrap-distance-right:0;mso-position-horizontal-relative:page;mso-position-vertical-relative:page" filled="f" stroked="f">
            <v:textbox inset="0,0,0,0">
              <w:txbxContent>
                <w:p w:rsidR="00F23D22" w:rsidRDefault="00F23D22" w:rsidP="00CE1051">
                  <w:pPr>
                    <w:spacing w:before="30" w:line="147" w:lineRule="exact"/>
                    <w:textAlignment w:val="baseline"/>
                    <w:rPr>
                      <w:rFonts w:ascii="Calibri" w:eastAsia="Calibri" w:hAnsi="Calibri"/>
                      <w:color w:val="000000"/>
                      <w:sz w:val="16"/>
                    </w:rPr>
                  </w:pPr>
                  <w:r>
                    <w:rPr>
                      <w:rFonts w:ascii="Calibri" w:eastAsia="Calibri" w:hAnsi="Calibri"/>
                      <w:color w:val="000000"/>
                      <w:sz w:val="16"/>
                    </w:rPr>
                    <w:t>8</w:t>
                  </w:r>
                </w:p>
              </w:txbxContent>
            </v:textbox>
            <w10:wrap type="square" anchorx="page" anchory="page"/>
          </v:shape>
        </w:pict>
      </w:r>
      <w:r w:rsidRPr="00A6284F">
        <w:rPr>
          <w:rFonts w:eastAsia="Times New Roman"/>
          <w:color w:val="000000"/>
          <w:sz w:val="24"/>
          <w:lang w:val="sq-AL"/>
        </w:rPr>
        <w:pict>
          <v:shape id="_x0000_s1109" type="#_x0000_t202" style="position:absolute;left:0;text-align:left;margin-left:78.65pt;margin-top:503.05pt;width:8.75pt;height:9.35pt;z-index:-251613184;mso-wrap-distance-left:0;mso-wrap-distance-right:0;mso-position-horizontal-relative:page;mso-position-vertical-relative:page" filled="f" stroked="f">
            <v:textbox inset="0,0,0,0">
              <w:txbxContent>
                <w:p w:rsidR="00F23D22" w:rsidRDefault="00F23D22" w:rsidP="00CE1051">
                  <w:pPr>
                    <w:spacing w:before="30" w:line="147" w:lineRule="exact"/>
                    <w:textAlignment w:val="baseline"/>
                    <w:rPr>
                      <w:rFonts w:ascii="Calibri" w:eastAsia="Calibri" w:hAnsi="Calibri"/>
                      <w:color w:val="000000"/>
                      <w:sz w:val="16"/>
                    </w:rPr>
                  </w:pPr>
                  <w:r>
                    <w:rPr>
                      <w:rFonts w:ascii="Calibri" w:eastAsia="Calibri" w:hAnsi="Calibri"/>
                      <w:color w:val="000000"/>
                      <w:sz w:val="16"/>
                    </w:rPr>
                    <w:t>6</w:t>
                  </w:r>
                </w:p>
              </w:txbxContent>
            </v:textbox>
            <w10:wrap type="square" anchorx="page" anchory="page"/>
          </v:shape>
        </w:pict>
      </w:r>
      <w:r w:rsidRPr="00A6284F">
        <w:rPr>
          <w:rFonts w:eastAsia="Times New Roman"/>
          <w:color w:val="000000"/>
          <w:sz w:val="24"/>
          <w:lang w:val="sq-AL"/>
        </w:rPr>
        <w:pict>
          <v:shape id="_x0000_s1110" type="#_x0000_t202" style="position:absolute;left:0;text-align:left;margin-left:78.1pt;margin-top:512.4pt;width:9.85pt;height:9.35pt;z-index:-251612160;mso-wrap-distance-left:0;mso-wrap-distance-right:0;mso-position-horizontal-relative:page;mso-position-vertical-relative:page" filled="f" stroked="f">
            <v:textbox inset="0,0,0,0">
              <w:txbxContent>
                <w:p w:rsidR="00F23D22" w:rsidRDefault="00F23D22" w:rsidP="00CE1051">
                  <w:pPr>
                    <w:spacing w:before="30" w:line="147" w:lineRule="exact"/>
                    <w:textAlignment w:val="baseline"/>
                    <w:rPr>
                      <w:rFonts w:ascii="Calibri" w:eastAsia="Calibri" w:hAnsi="Calibri"/>
                      <w:color w:val="000000"/>
                      <w:sz w:val="16"/>
                    </w:rPr>
                  </w:pPr>
                  <w:r>
                    <w:rPr>
                      <w:rFonts w:ascii="Calibri" w:eastAsia="Calibri" w:hAnsi="Calibri"/>
                      <w:color w:val="000000"/>
                      <w:sz w:val="16"/>
                    </w:rPr>
                    <w:t>4</w:t>
                  </w:r>
                </w:p>
              </w:txbxContent>
            </v:textbox>
            <w10:wrap type="square" anchorx="page" anchory="page"/>
          </v:shape>
        </w:pict>
      </w:r>
      <w:r w:rsidRPr="00A6284F">
        <w:rPr>
          <w:rFonts w:eastAsia="Times New Roman"/>
          <w:color w:val="000000"/>
          <w:sz w:val="24"/>
          <w:lang w:val="sq-AL"/>
        </w:rPr>
        <w:pict>
          <v:shape id="_x0000_s1111" type="#_x0000_t202" style="position:absolute;left:0;text-align:left;margin-left:78.65pt;margin-top:521.8pt;width:8.75pt;height:9.35pt;z-index:-251611136;mso-wrap-distance-left:0;mso-wrap-distance-right:0;mso-position-horizontal-relative:page;mso-position-vertical-relative:page" filled="f" stroked="f">
            <v:textbox inset="0,0,0,0">
              <w:txbxContent>
                <w:p w:rsidR="00F23D22" w:rsidRDefault="00F23D22" w:rsidP="00CE1051">
                  <w:pPr>
                    <w:spacing w:before="30" w:line="146" w:lineRule="exact"/>
                    <w:textAlignment w:val="baseline"/>
                    <w:rPr>
                      <w:rFonts w:ascii="Calibri" w:eastAsia="Calibri" w:hAnsi="Calibri"/>
                      <w:color w:val="000000"/>
                      <w:sz w:val="16"/>
                    </w:rPr>
                  </w:pPr>
                  <w:r>
                    <w:rPr>
                      <w:rFonts w:ascii="Calibri" w:eastAsia="Calibri" w:hAnsi="Calibri"/>
                      <w:color w:val="000000"/>
                      <w:sz w:val="16"/>
                    </w:rPr>
                    <w:t>2</w:t>
                  </w:r>
                </w:p>
              </w:txbxContent>
            </v:textbox>
            <w10:wrap type="square" anchorx="page" anchory="page"/>
          </v:shape>
        </w:pict>
      </w:r>
      <w:r w:rsidRPr="00A6284F">
        <w:rPr>
          <w:rFonts w:eastAsia="Times New Roman"/>
          <w:color w:val="000000"/>
          <w:sz w:val="24"/>
          <w:lang w:val="sq-AL"/>
        </w:rPr>
        <w:pict>
          <v:shape id="_x0000_s1112" type="#_x0000_t202" style="position:absolute;left:0;text-align:left;margin-left:78.5pt;margin-top:531.15pt;width:9.3pt;height:9.35pt;z-index:-251610112;mso-wrap-distance-left:0;mso-wrap-distance-right:0;mso-position-horizontal-relative:page;mso-position-vertical-relative:page" filled="f" stroked="f">
            <v:textbox inset="0,0,0,0">
              <w:txbxContent>
                <w:p w:rsidR="00F23D22" w:rsidRDefault="00F23D22" w:rsidP="00CE1051">
                  <w:pPr>
                    <w:spacing w:before="30" w:line="147" w:lineRule="exact"/>
                    <w:textAlignment w:val="baseline"/>
                    <w:rPr>
                      <w:rFonts w:ascii="Calibri" w:eastAsia="Calibri" w:hAnsi="Calibri"/>
                      <w:color w:val="000000"/>
                      <w:sz w:val="16"/>
                    </w:rPr>
                  </w:pPr>
                  <w:r>
                    <w:rPr>
                      <w:rFonts w:ascii="Calibri" w:eastAsia="Calibri" w:hAnsi="Calibri"/>
                      <w:color w:val="000000"/>
                      <w:sz w:val="16"/>
                    </w:rPr>
                    <w:t>0</w:t>
                  </w:r>
                </w:p>
              </w:txbxContent>
            </v:textbox>
            <w10:wrap type="square" anchorx="page" anchory="page"/>
          </v:shape>
        </w:pict>
      </w:r>
      <w:r w:rsidRPr="00A6284F">
        <w:rPr>
          <w:rFonts w:eastAsia="Times New Roman"/>
          <w:color w:val="000000"/>
          <w:sz w:val="24"/>
          <w:lang w:val="sq-AL"/>
        </w:rPr>
        <w:pict>
          <v:shape id="_x0000_s1113" type="#_x0000_t202" style="position:absolute;left:0;text-align:left;margin-left:74.3pt;margin-top:540.5pt;width:15.3pt;height:9.35pt;z-index:-251609088;mso-wrap-distance-left:0;mso-wrap-distance-right:0;mso-position-horizontal-relative:page;mso-position-vertical-relative:page" filled="f" stroked="f">
            <v:textbox inset="0,0,0,0">
              <w:txbxContent>
                <w:p w:rsidR="00F23D22" w:rsidRDefault="00F23D22" w:rsidP="00CE1051">
                  <w:pPr>
                    <w:spacing w:before="30" w:line="147" w:lineRule="exact"/>
                    <w:textAlignment w:val="baseline"/>
                    <w:rPr>
                      <w:rFonts w:ascii="Calibri" w:eastAsia="Calibri" w:hAnsi="Calibri"/>
                      <w:color w:val="000000"/>
                      <w:spacing w:val="20"/>
                      <w:sz w:val="16"/>
                    </w:rPr>
                  </w:pPr>
                  <w:r>
                    <w:rPr>
                      <w:rFonts w:ascii="Calibri" w:eastAsia="Calibri" w:hAnsi="Calibri"/>
                      <w:color w:val="000000"/>
                      <w:spacing w:val="20"/>
                      <w:sz w:val="16"/>
                    </w:rPr>
                    <w:t>-2</w:t>
                  </w:r>
                </w:p>
              </w:txbxContent>
            </v:textbox>
            <w10:wrap type="square" anchorx="page" anchory="page"/>
          </v:shape>
        </w:pict>
      </w:r>
      <w:r w:rsidRPr="00A6284F">
        <w:rPr>
          <w:rFonts w:eastAsia="Times New Roman"/>
          <w:color w:val="000000"/>
          <w:sz w:val="24"/>
          <w:lang w:val="sq-AL"/>
        </w:rPr>
        <w:pict>
          <v:shape id="_x0000_s1114" type="#_x0000_t202" style="position:absolute;left:0;text-align:left;margin-left:74.15pt;margin-top:550.1pt;width:11.3pt;height:9.35pt;z-index:-251608064;mso-wrap-distance-left:0;mso-wrap-distance-right:0;mso-position-horizontal-relative:page;mso-position-vertical-relative:page" filled="f" stroked="f">
            <v:textbox inset="0,0,0,0">
              <w:txbxContent>
                <w:p w:rsidR="00F23D22" w:rsidRDefault="00F23D22" w:rsidP="00CE1051">
                  <w:pPr>
                    <w:spacing w:before="30" w:line="156" w:lineRule="exact"/>
                    <w:jc w:val="right"/>
                    <w:textAlignment w:val="baseline"/>
                    <w:rPr>
                      <w:rFonts w:ascii="Calibri" w:eastAsia="Calibri" w:hAnsi="Calibri"/>
                      <w:color w:val="000000"/>
                      <w:spacing w:val="-6"/>
                      <w:sz w:val="16"/>
                    </w:rPr>
                  </w:pPr>
                  <w:r>
                    <w:rPr>
                      <w:rFonts w:ascii="Calibri" w:eastAsia="Calibri" w:hAnsi="Calibri"/>
                      <w:color w:val="000000"/>
                      <w:spacing w:val="-6"/>
                      <w:sz w:val="16"/>
                    </w:rPr>
                    <w:t>-4</w:t>
                  </w:r>
                </w:p>
              </w:txbxContent>
            </v:textbox>
            <w10:wrap type="square" anchorx="page" anchory="page"/>
          </v:shape>
        </w:pict>
      </w:r>
      <w:r w:rsidRPr="00A6284F">
        <w:rPr>
          <w:rFonts w:eastAsia="Times New Roman"/>
          <w:color w:val="000000"/>
          <w:sz w:val="24"/>
          <w:lang w:val="sq-AL"/>
        </w:rPr>
        <w:pict>
          <v:shape id="_x0000_s1115" type="#_x0000_t202" style="position:absolute;left:0;text-align:left;margin-left:74.3pt;margin-top:559.45pt;width:15.3pt;height:9.35pt;z-index:-251607040;mso-wrap-distance-left:0;mso-wrap-distance-right:0;mso-position-horizontal-relative:page;mso-position-vertical-relative:page" filled="f" stroked="f">
            <v:textbox inset="0,0,0,0">
              <w:txbxContent>
                <w:p w:rsidR="00F23D22" w:rsidRDefault="00F23D22" w:rsidP="00CE1051">
                  <w:pPr>
                    <w:spacing w:before="30" w:line="157" w:lineRule="exact"/>
                    <w:textAlignment w:val="baseline"/>
                    <w:rPr>
                      <w:rFonts w:ascii="Calibri" w:eastAsia="Calibri" w:hAnsi="Calibri"/>
                      <w:color w:val="000000"/>
                      <w:spacing w:val="20"/>
                      <w:sz w:val="16"/>
                    </w:rPr>
                  </w:pPr>
                  <w:r>
                    <w:rPr>
                      <w:rFonts w:ascii="Calibri" w:eastAsia="Calibri" w:hAnsi="Calibri"/>
                      <w:color w:val="000000"/>
                      <w:spacing w:val="20"/>
                      <w:sz w:val="16"/>
                    </w:rPr>
                    <w:t>-6</w:t>
                  </w:r>
                </w:p>
              </w:txbxContent>
            </v:textbox>
            <w10:wrap type="square" anchorx="page" anchory="page"/>
          </v:shape>
        </w:pict>
      </w:r>
      <w:r w:rsidRPr="00A6284F">
        <w:rPr>
          <w:rFonts w:eastAsia="Times New Roman"/>
          <w:color w:val="000000"/>
          <w:sz w:val="24"/>
          <w:lang w:val="sq-AL"/>
        </w:rPr>
        <w:pict>
          <v:shape id="_x0000_s1116" type="#_x0000_t202" style="position:absolute;left:0;text-align:left;margin-left:74.3pt;margin-top:568.8pt;width:15.3pt;height:9.35pt;z-index:-251606016;mso-wrap-distance-left:0;mso-wrap-distance-right:0;mso-position-horizontal-relative:page;mso-position-vertical-relative:page" filled="f" stroked="f">
            <v:textbox inset="0,0,0,0">
              <w:txbxContent>
                <w:p w:rsidR="00F23D22" w:rsidRDefault="00F23D22" w:rsidP="00CE1051">
                  <w:pPr>
                    <w:spacing w:before="30" w:line="142" w:lineRule="exact"/>
                    <w:textAlignment w:val="baseline"/>
                    <w:rPr>
                      <w:rFonts w:ascii="Calibri" w:eastAsia="Calibri" w:hAnsi="Calibri"/>
                      <w:color w:val="000000"/>
                      <w:spacing w:val="20"/>
                      <w:sz w:val="16"/>
                    </w:rPr>
                  </w:pPr>
                  <w:r>
                    <w:rPr>
                      <w:rFonts w:ascii="Calibri" w:eastAsia="Calibri" w:hAnsi="Calibri"/>
                      <w:color w:val="000000"/>
                      <w:spacing w:val="20"/>
                      <w:sz w:val="16"/>
                    </w:rPr>
                    <w:t>-8</w:t>
                  </w:r>
                </w:p>
              </w:txbxContent>
            </v:textbox>
            <w10:wrap type="square" anchorx="page" anchory="page"/>
          </v:shape>
        </w:pict>
      </w:r>
      <w:r w:rsidRPr="00A6284F">
        <w:rPr>
          <w:rFonts w:eastAsia="Times New Roman"/>
          <w:color w:val="000000"/>
          <w:sz w:val="24"/>
          <w:lang w:val="sq-AL"/>
        </w:rPr>
        <w:pict>
          <v:shape id="_x0000_s1117" type="#_x0000_t202" style="position:absolute;left:0;text-align:left;margin-left:89.75pt;margin-top:490.55pt;width:213.6pt;height:86.65pt;z-index:-251604992;mso-wrap-distance-left:0;mso-wrap-distance-right:0;mso-position-horizontal-relative:page;mso-position-vertical-relative:page" filled="f" stroked="f">
            <v:textbox inset="0,0,0,0">
              <w:txbxContent>
                <w:p w:rsidR="00F23D22" w:rsidRDefault="00F23D22" w:rsidP="00CE1051">
                  <w:pPr>
                    <w:textAlignment w:val="baseline"/>
                  </w:pPr>
                  <w:r>
                    <w:rPr>
                      <w:noProof/>
                    </w:rPr>
                    <w:drawing>
                      <wp:inline distT="0" distB="0" distL="0" distR="0" wp14:anchorId="4C13D130" wp14:editId="2F4CEE8A">
                        <wp:extent cx="2712720" cy="110045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2712720" cy="1100455"/>
                                </a:xfrm>
                                <a:prstGeom prst="rect">
                                  <a:avLst/>
                                </a:prstGeom>
                              </pic:spPr>
                            </pic:pic>
                          </a:graphicData>
                        </a:graphic>
                      </wp:inline>
                    </w:drawing>
                  </w:r>
                </w:p>
              </w:txbxContent>
            </v:textbox>
            <w10:wrap type="square" anchorx="page" anchory="page"/>
          </v:shape>
        </w:pict>
      </w:r>
      <w:r w:rsidRPr="00A6284F">
        <w:rPr>
          <w:rFonts w:eastAsia="Times New Roman"/>
          <w:color w:val="000000"/>
          <w:sz w:val="24"/>
          <w:lang w:val="sq-AL"/>
        </w:rPr>
        <w:pict>
          <v:shape id="_x0000_s1118" type="#_x0000_t202" style="position:absolute;left:0;text-align:left;margin-left:92pt;margin-top:490.8pt;width:32.95pt;height:6.7pt;z-index:-251603968;mso-wrap-distance-left:0;mso-wrap-distance-right:0;mso-position-horizontal-relative:page;mso-position-vertical-relative:page" filled="f" stroked="f">
            <v:textbox inset="0,0,0,0">
              <w:txbxContent>
                <w:p w:rsidR="00F23D22" w:rsidRDefault="00F23D22" w:rsidP="00CE1051">
                  <w:pPr>
                    <w:spacing w:line="120" w:lineRule="exact"/>
                    <w:textAlignment w:val="baseline"/>
                    <w:rPr>
                      <w:rFonts w:ascii="Calibri" w:eastAsia="Calibri" w:hAnsi="Calibri"/>
                      <w:color w:val="000000"/>
                      <w:spacing w:val="7"/>
                      <w:sz w:val="16"/>
                    </w:rPr>
                  </w:pPr>
                  <w:r>
                    <w:rPr>
                      <w:rFonts w:ascii="Calibri" w:eastAsia="Calibri" w:hAnsi="Calibri"/>
                      <w:color w:val="000000"/>
                      <w:spacing w:val="7"/>
                      <w:sz w:val="16"/>
                    </w:rPr>
                    <w:t>% y-o-y</w:t>
                  </w:r>
                </w:p>
              </w:txbxContent>
            </v:textbox>
            <w10:wrap type="square" anchorx="page" anchory="page"/>
          </v:shape>
        </w:pict>
      </w:r>
      <w:r w:rsidRPr="00A6284F">
        <w:rPr>
          <w:rFonts w:eastAsia="Times New Roman"/>
          <w:color w:val="000000"/>
          <w:sz w:val="24"/>
          <w:lang w:val="sq-AL"/>
        </w:rPr>
        <w:pict>
          <v:shape id="_x0000_s1119" type="#_x0000_t202" style="position:absolute;left:0;text-align:left;margin-left:68.85pt;margin-top:578.15pt;width:251.95pt;height:10.65pt;z-index:-251602944;mso-wrap-distance-left:0;mso-wrap-distance-right:0;mso-position-horizontal-relative:page;mso-position-vertical-relative:page" filled="f" stroked="f">
            <v:textbox inset="0,0,0,0">
              <w:txbxContent>
                <w:p w:rsidR="00F23D22" w:rsidRDefault="00F23D22" w:rsidP="00CE1051">
                  <w:pPr>
                    <w:tabs>
                      <w:tab w:val="left" w:pos="1368"/>
                      <w:tab w:val="left" w:pos="2160"/>
                      <w:tab w:val="left" w:pos="2880"/>
                      <w:tab w:val="left" w:pos="3600"/>
                      <w:tab w:val="left" w:pos="4392"/>
                    </w:tabs>
                    <w:spacing w:before="46" w:line="155" w:lineRule="exact"/>
                    <w:ind w:left="648"/>
                    <w:textAlignment w:val="baseline"/>
                    <w:rPr>
                      <w:rFonts w:ascii="Calibri" w:eastAsia="Calibri" w:hAnsi="Calibri"/>
                      <w:b/>
                      <w:color w:val="000000"/>
                      <w:spacing w:val="-1"/>
                      <w:sz w:val="15"/>
                    </w:rPr>
                  </w:pPr>
                  <w:r>
                    <w:rPr>
                      <w:rFonts w:ascii="Calibri" w:eastAsia="Calibri" w:hAnsi="Calibri"/>
                      <w:b/>
                      <w:color w:val="000000"/>
                      <w:spacing w:val="-1"/>
                      <w:sz w:val="15"/>
                    </w:rPr>
                    <w:t>2013</w:t>
                  </w:r>
                  <w:r>
                    <w:rPr>
                      <w:rFonts w:ascii="Calibri" w:eastAsia="Calibri" w:hAnsi="Calibri"/>
                      <w:b/>
                      <w:color w:val="000000"/>
                      <w:spacing w:val="-1"/>
                      <w:sz w:val="15"/>
                    </w:rPr>
                    <w:tab/>
                    <w:t>2014</w:t>
                  </w:r>
                  <w:r>
                    <w:rPr>
                      <w:rFonts w:ascii="Calibri" w:eastAsia="Calibri" w:hAnsi="Calibri"/>
                      <w:b/>
                      <w:color w:val="000000"/>
                      <w:spacing w:val="-1"/>
                      <w:sz w:val="15"/>
                    </w:rPr>
                    <w:tab/>
                    <w:t>2015</w:t>
                  </w:r>
                  <w:r>
                    <w:rPr>
                      <w:rFonts w:ascii="Calibri" w:eastAsia="Calibri" w:hAnsi="Calibri"/>
                      <w:b/>
                      <w:color w:val="000000"/>
                      <w:spacing w:val="-1"/>
                      <w:sz w:val="15"/>
                    </w:rPr>
                    <w:tab/>
                    <w:t>2016</w:t>
                  </w:r>
                  <w:r>
                    <w:rPr>
                      <w:rFonts w:ascii="Calibri" w:eastAsia="Calibri" w:hAnsi="Calibri"/>
                      <w:b/>
                      <w:color w:val="000000"/>
                      <w:spacing w:val="-1"/>
                      <w:sz w:val="15"/>
                    </w:rPr>
                    <w:tab/>
                    <w:t>2017</w:t>
                  </w:r>
                  <w:r>
                    <w:rPr>
                      <w:rFonts w:ascii="Calibri" w:eastAsia="Calibri" w:hAnsi="Calibri"/>
                      <w:b/>
                      <w:color w:val="000000"/>
                      <w:spacing w:val="-1"/>
                      <w:sz w:val="15"/>
                    </w:rPr>
                    <w:tab/>
                    <w:t>2018</w:t>
                  </w:r>
                </w:p>
              </w:txbxContent>
            </v:textbox>
            <w10:wrap type="square" anchorx="page" anchory="page"/>
          </v:shape>
        </w:pict>
      </w:r>
      <w:r w:rsidRPr="00A6284F">
        <w:rPr>
          <w:rFonts w:eastAsia="Times New Roman"/>
          <w:color w:val="000000"/>
          <w:sz w:val="24"/>
          <w:lang w:val="sq-AL"/>
        </w:rPr>
        <w:pict>
          <v:shape id="_x0000_s1121" type="#_x0000_t202" style="position:absolute;left:0;text-align:left;margin-left:95.75pt;margin-top:597.1pt;width:225.05pt;height:23.55pt;z-index:-251600896;mso-wrap-distance-left:0;mso-wrap-distance-right:0;mso-position-horizontal-relative:page;mso-position-vertical-relative:page" filled="f" stroked="f">
            <v:textbox inset="0,0,0,0">
              <w:txbxContent>
                <w:p w:rsidR="00F23D22" w:rsidRDefault="00F23D22" w:rsidP="00CE1051">
                  <w:pPr>
                    <w:tabs>
                      <w:tab w:val="left" w:pos="1354"/>
                      <w:tab w:val="left" w:pos="2794"/>
                    </w:tabs>
                    <w:spacing w:before="20" w:line="157" w:lineRule="exact"/>
                    <w:textAlignment w:val="baseline"/>
                    <w:rPr>
                      <w:rFonts w:ascii="Calibri" w:eastAsia="Calibri" w:hAnsi="Calibri"/>
                      <w:color w:val="000000"/>
                      <w:spacing w:val="-1"/>
                      <w:sz w:val="16"/>
                    </w:rPr>
                  </w:pPr>
                  <w:proofErr w:type="spellStart"/>
                  <w:r>
                    <w:rPr>
                      <w:rFonts w:ascii="Calibri" w:eastAsia="Calibri" w:hAnsi="Calibri"/>
                      <w:color w:val="000000"/>
                      <w:spacing w:val="-1"/>
                      <w:sz w:val="16"/>
                    </w:rPr>
                    <w:t>Rezervat</w:t>
                  </w:r>
                  <w:proofErr w:type="spellEnd"/>
                  <w:r>
                    <w:rPr>
                      <w:rFonts w:ascii="Calibri" w:eastAsia="Calibri" w:hAnsi="Calibri"/>
                      <w:color w:val="000000"/>
                      <w:spacing w:val="-1"/>
                      <w:sz w:val="16"/>
                    </w:rPr>
                    <w:tab/>
                  </w:r>
                  <w:proofErr w:type="spellStart"/>
                  <w:r w:rsidRPr="00011E49">
                    <w:rPr>
                      <w:rFonts w:ascii="Calibri" w:eastAsia="Calibri" w:hAnsi="Calibri"/>
                      <w:color w:val="000000"/>
                      <w:spacing w:val="-1"/>
                      <w:sz w:val="16"/>
                    </w:rPr>
                    <w:t>Eksportet</w:t>
                  </w:r>
                  <w:proofErr w:type="spellEnd"/>
                  <w:r w:rsidRPr="00011E49">
                    <w:rPr>
                      <w:rFonts w:ascii="Calibri" w:eastAsia="Calibri" w:hAnsi="Calibri"/>
                      <w:color w:val="000000"/>
                      <w:spacing w:val="-1"/>
                      <w:sz w:val="16"/>
                    </w:rPr>
                    <w:t xml:space="preserve"> </w:t>
                  </w:r>
                  <w:proofErr w:type="spellStart"/>
                  <w:r w:rsidRPr="00011E49">
                    <w:rPr>
                      <w:rFonts w:ascii="Calibri" w:eastAsia="Calibri" w:hAnsi="Calibri"/>
                      <w:color w:val="000000"/>
                      <w:spacing w:val="-1"/>
                      <w:sz w:val="16"/>
                    </w:rPr>
                    <w:t>neto</w:t>
                  </w:r>
                  <w:proofErr w:type="spellEnd"/>
                  <w:r>
                    <w:rPr>
                      <w:rFonts w:ascii="Calibri" w:eastAsia="Calibri" w:hAnsi="Calibri"/>
                      <w:color w:val="000000"/>
                      <w:spacing w:val="-1"/>
                      <w:sz w:val="16"/>
                    </w:rPr>
                    <w:tab/>
                  </w:r>
                  <w:proofErr w:type="spellStart"/>
                  <w:r w:rsidRPr="00011E49">
                    <w:rPr>
                      <w:rFonts w:ascii="Calibri" w:eastAsia="Calibri" w:hAnsi="Calibri"/>
                      <w:color w:val="000000"/>
                      <w:spacing w:val="-1"/>
                      <w:sz w:val="16"/>
                    </w:rPr>
                    <w:t>rritja</w:t>
                  </w:r>
                  <w:proofErr w:type="spellEnd"/>
                  <w:r w:rsidRPr="00011E49">
                    <w:rPr>
                      <w:rFonts w:ascii="Calibri" w:eastAsia="Calibri" w:hAnsi="Calibri"/>
                      <w:color w:val="000000"/>
                      <w:spacing w:val="-1"/>
                      <w:sz w:val="16"/>
                    </w:rPr>
                    <w:t xml:space="preserve"> </w:t>
                  </w:r>
                  <w:proofErr w:type="spellStart"/>
                  <w:r w:rsidRPr="00011E49">
                    <w:rPr>
                      <w:rFonts w:ascii="Calibri" w:eastAsia="Calibri" w:hAnsi="Calibri"/>
                      <w:color w:val="000000"/>
                      <w:spacing w:val="-1"/>
                      <w:sz w:val="16"/>
                    </w:rPr>
                    <w:t>reale</w:t>
                  </w:r>
                  <w:proofErr w:type="spellEnd"/>
                  <w:r w:rsidRPr="00011E49">
                    <w:rPr>
                      <w:rFonts w:ascii="Calibri" w:eastAsia="Calibri" w:hAnsi="Calibri"/>
                      <w:color w:val="000000"/>
                      <w:spacing w:val="-1"/>
                      <w:sz w:val="16"/>
                    </w:rPr>
                    <w:t xml:space="preserve"> e B</w:t>
                  </w:r>
                  <w:r>
                    <w:rPr>
                      <w:rFonts w:ascii="Calibri" w:eastAsia="Calibri" w:hAnsi="Calibri"/>
                      <w:color w:val="000000"/>
                      <w:spacing w:val="-1"/>
                      <w:sz w:val="16"/>
                    </w:rPr>
                    <w:t>PV</w:t>
                  </w:r>
                  <w:r w:rsidRPr="00011E49">
                    <w:rPr>
                      <w:rFonts w:ascii="Calibri" w:eastAsia="Calibri" w:hAnsi="Calibri"/>
                      <w:color w:val="000000"/>
                      <w:spacing w:val="-1"/>
                      <w:sz w:val="16"/>
                    </w:rPr>
                    <w:t>-</w:t>
                  </w:r>
                  <w:proofErr w:type="spellStart"/>
                  <w:r w:rsidRPr="00011E49">
                    <w:rPr>
                      <w:rFonts w:ascii="Calibri" w:eastAsia="Calibri" w:hAnsi="Calibri"/>
                      <w:color w:val="000000"/>
                      <w:spacing w:val="-1"/>
                      <w:sz w:val="16"/>
                    </w:rPr>
                    <w:t>së</w:t>
                  </w:r>
                  <w:proofErr w:type="spellEnd"/>
                </w:p>
                <w:p w:rsidR="00F23D22" w:rsidRDefault="00F23D22" w:rsidP="00CE1051">
                  <w:pPr>
                    <w:spacing w:before="45" w:after="76" w:line="152" w:lineRule="exact"/>
                    <w:jc w:val="right"/>
                    <w:textAlignment w:val="baseline"/>
                    <w:rPr>
                      <w:rFonts w:ascii="Calibri" w:eastAsia="Calibri" w:hAnsi="Calibri"/>
                      <w:i/>
                      <w:color w:val="000000"/>
                      <w:spacing w:val="-2"/>
                      <w:sz w:val="16"/>
                    </w:rPr>
                  </w:pPr>
                  <w:proofErr w:type="spellStart"/>
                  <w:r>
                    <w:rPr>
                      <w:rFonts w:ascii="Calibri" w:eastAsia="Calibri" w:hAnsi="Calibri"/>
                      <w:i/>
                      <w:color w:val="000000"/>
                      <w:spacing w:val="-2"/>
                      <w:sz w:val="16"/>
                    </w:rPr>
                    <w:t>Burimi</w:t>
                  </w:r>
                  <w:proofErr w:type="spellEnd"/>
                  <w:r>
                    <w:rPr>
                      <w:rFonts w:ascii="Calibri" w:eastAsia="Calibri" w:hAnsi="Calibri"/>
                      <w:i/>
                      <w:color w:val="000000"/>
                      <w:spacing w:val="-2"/>
                      <w:sz w:val="16"/>
                    </w:rPr>
                    <w:t xml:space="preserve">: </w:t>
                  </w:r>
                  <w:proofErr w:type="spellStart"/>
                  <w:r w:rsidRPr="00011E49">
                    <w:rPr>
                      <w:rFonts w:ascii="Calibri" w:eastAsia="Calibri" w:hAnsi="Calibri"/>
                      <w:i/>
                      <w:color w:val="000000"/>
                      <w:spacing w:val="-2"/>
                      <w:sz w:val="16"/>
                    </w:rPr>
                    <w:t>Llogaritjet</w:t>
                  </w:r>
                  <w:proofErr w:type="spellEnd"/>
                  <w:r w:rsidRPr="00011E49">
                    <w:rPr>
                      <w:rFonts w:ascii="Calibri" w:eastAsia="Calibri" w:hAnsi="Calibri"/>
                      <w:i/>
                      <w:color w:val="000000"/>
                      <w:spacing w:val="-2"/>
                      <w:sz w:val="16"/>
                    </w:rPr>
                    <w:t xml:space="preserve"> e </w:t>
                  </w:r>
                  <w:proofErr w:type="spellStart"/>
                  <w:r w:rsidRPr="00011E49">
                    <w:rPr>
                      <w:rFonts w:ascii="Calibri" w:eastAsia="Calibri" w:hAnsi="Calibri"/>
                      <w:i/>
                      <w:color w:val="000000"/>
                      <w:spacing w:val="-2"/>
                      <w:sz w:val="16"/>
                    </w:rPr>
                    <w:t>Macrobond</w:t>
                  </w:r>
                  <w:proofErr w:type="spellEnd"/>
                </w:p>
              </w:txbxContent>
            </v:textbox>
            <w10:wrap type="square" anchorx="page" anchory="page"/>
          </v:shape>
        </w:pict>
      </w:r>
      <w:r w:rsidRPr="00A6284F">
        <w:rPr>
          <w:rFonts w:eastAsia="Times New Roman"/>
          <w:color w:val="000000"/>
          <w:sz w:val="24"/>
          <w:lang w:val="sq-AL"/>
        </w:rPr>
        <w:pict>
          <v:shape id="_x0000_s1122" type="#_x0000_t202" style="position:absolute;left:0;text-align:left;margin-left:80.15pt;margin-top:591.35pt;width:14.15pt;height:5.75pt;z-index:-251599872;mso-wrap-distance-left:0;mso-wrap-distance-right:0;mso-position-horizontal-relative:page;mso-position-vertical-relative:page" filled="f" stroked="f">
            <v:textbox inset="0,0,0,0">
              <w:txbxContent>
                <w:p w:rsidR="00F23D22" w:rsidRDefault="00F23D22" w:rsidP="00CE1051">
                  <w:pPr>
                    <w:spacing w:line="115" w:lineRule="exact"/>
                    <w:textAlignment w:val="baseline"/>
                  </w:pPr>
                  <w:r>
                    <w:rPr>
                      <w:noProof/>
                    </w:rPr>
                    <w:drawing>
                      <wp:inline distT="0" distB="0" distL="0" distR="0" wp14:anchorId="15F5522A" wp14:editId="7F5DBF70">
                        <wp:extent cx="179705" cy="7302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179705" cy="73025"/>
                                </a:xfrm>
                                <a:prstGeom prst="rect">
                                  <a:avLst/>
                                </a:prstGeom>
                              </pic:spPr>
                            </pic:pic>
                          </a:graphicData>
                        </a:graphic>
                      </wp:inline>
                    </w:drawing>
                  </w:r>
                </w:p>
              </w:txbxContent>
            </v:textbox>
            <w10:wrap anchorx="page" anchory="page"/>
          </v:shape>
        </w:pict>
      </w:r>
      <w:r w:rsidRPr="00A6284F">
        <w:rPr>
          <w:rFonts w:eastAsia="Times New Roman"/>
          <w:color w:val="000000"/>
          <w:sz w:val="24"/>
          <w:lang w:val="sq-AL"/>
        </w:rPr>
        <w:pict>
          <v:shape id="_x0000_s1123" type="#_x0000_t202" style="position:absolute;left:0;text-align:left;margin-left:65.25pt;margin-top:597.1pt;width:30.5pt;height:22.55pt;z-index:-251598848;mso-wrap-distance-left:0;mso-wrap-distance-right:0;mso-position-horizontal-relative:page;mso-position-vertical-relative:page" filled="f" stroked="f">
            <v:textbox inset="0,0,0,0">
              <w:txbxContent>
                <w:p w:rsidR="00F23D22" w:rsidRDefault="00F23D22" w:rsidP="00CE1051">
                  <w:pPr>
                    <w:spacing w:before="68" w:after="283" w:line="100" w:lineRule="exact"/>
                    <w:ind w:left="298" w:right="29"/>
                    <w:textAlignment w:val="baseline"/>
                  </w:pPr>
                  <w:r>
                    <w:rPr>
                      <w:noProof/>
                    </w:rPr>
                    <w:drawing>
                      <wp:inline distT="0" distB="0" distL="0" distR="0" wp14:anchorId="41D22E21" wp14:editId="3740826D">
                        <wp:extent cx="179705" cy="635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179705" cy="63500"/>
                                </a:xfrm>
                                <a:prstGeom prst="rect">
                                  <a:avLst/>
                                </a:prstGeom>
                              </pic:spPr>
                            </pic:pic>
                          </a:graphicData>
                        </a:graphic>
                      </wp:inline>
                    </w:drawing>
                  </w:r>
                </w:p>
              </w:txbxContent>
            </v:textbox>
            <w10:wrap type="square" anchorx="page" anchory="page"/>
          </v:shape>
        </w:pict>
      </w:r>
      <w:r w:rsidRPr="00A6284F">
        <w:rPr>
          <w:rFonts w:eastAsia="Times New Roman"/>
          <w:color w:val="000000"/>
          <w:sz w:val="24"/>
          <w:lang w:val="sq-AL"/>
        </w:rPr>
        <w:pict>
          <v:shape id="_x0000_s1124" type="#_x0000_t202" style="position:absolute;left:0;text-align:left;margin-left:150.95pt;margin-top:591.6pt;width:14.65pt;height:13.9pt;z-index:-251597824;mso-wrap-distance-left:0;mso-wrap-distance-right:0;mso-position-horizontal-relative:page;mso-position-vertical-relative:page" filled="f" stroked="f">
            <v:textbox inset="0,0,0,0">
              <w:txbxContent>
                <w:p w:rsidR="00F23D22" w:rsidRDefault="00F23D22" w:rsidP="00CE1051">
                  <w:pPr>
                    <w:spacing w:line="278" w:lineRule="exact"/>
                    <w:textAlignment w:val="baseline"/>
                  </w:pPr>
                  <w:r>
                    <w:rPr>
                      <w:noProof/>
                    </w:rPr>
                    <w:drawing>
                      <wp:inline distT="0" distB="0" distL="0" distR="0" wp14:anchorId="5BFBE65D" wp14:editId="69C153BA">
                        <wp:extent cx="186055" cy="17653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186055" cy="176530"/>
                                </a:xfrm>
                                <a:prstGeom prst="rect">
                                  <a:avLst/>
                                </a:prstGeom>
                              </pic:spPr>
                            </pic:pic>
                          </a:graphicData>
                        </a:graphic>
                      </wp:inline>
                    </w:drawing>
                  </w:r>
                </w:p>
              </w:txbxContent>
            </v:textbox>
            <w10:wrap anchorx="page" anchory="page"/>
          </v:shape>
        </w:pict>
      </w:r>
      <w:r w:rsidRPr="00A6284F">
        <w:rPr>
          <w:rFonts w:eastAsia="Times New Roman"/>
          <w:color w:val="000000"/>
          <w:sz w:val="24"/>
          <w:lang w:val="sq-AL"/>
        </w:rPr>
        <w:pict>
          <v:shape id="_x0000_s1125" type="#_x0000_t202" style="position:absolute;left:0;text-align:left;margin-left:221.5pt;margin-top:591.6pt;width:14.4pt;height:5.5pt;z-index:-251596800;mso-wrap-distance-left:0;mso-wrap-distance-right:0;mso-position-horizontal-relative:page;mso-position-vertical-relative:page" filled="f" stroked="f">
            <v:textbox inset="0,0,0,0">
              <w:txbxContent>
                <w:p w:rsidR="00F23D22" w:rsidRDefault="00F23D22" w:rsidP="00CE1051">
                  <w:pPr>
                    <w:spacing w:line="110" w:lineRule="exact"/>
                    <w:textAlignment w:val="baseline"/>
                  </w:pPr>
                  <w:r>
                    <w:rPr>
                      <w:noProof/>
                    </w:rPr>
                    <w:drawing>
                      <wp:inline distT="0" distB="0" distL="0" distR="0" wp14:anchorId="00C8A72F" wp14:editId="2CC27923">
                        <wp:extent cx="182880" cy="698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182880" cy="69850"/>
                                </a:xfrm>
                                <a:prstGeom prst="rect">
                                  <a:avLst/>
                                </a:prstGeom>
                              </pic:spPr>
                            </pic:pic>
                          </a:graphicData>
                        </a:graphic>
                      </wp:inline>
                    </w:drawing>
                  </w:r>
                </w:p>
              </w:txbxContent>
            </v:textbox>
            <w10:wrap anchorx="page" anchory="page"/>
          </v:shape>
        </w:pict>
      </w:r>
      <w:r w:rsidR="00FD66C7" w:rsidRPr="00A6284F">
        <w:rPr>
          <w:rFonts w:eastAsia="Times New Roman"/>
          <w:color w:val="000000"/>
          <w:sz w:val="24"/>
          <w:lang w:val="sq-AL"/>
        </w:rPr>
        <w:t xml:space="preserve"> ku </w:t>
      </w:r>
      <w:r w:rsidR="00CE1051" w:rsidRPr="00A6284F">
        <w:rPr>
          <w:rFonts w:eastAsia="Times New Roman"/>
          <w:color w:val="000000"/>
          <w:sz w:val="24"/>
          <w:lang w:val="sq-AL"/>
        </w:rPr>
        <w:t xml:space="preserve">ky i fundit financohet nga </w:t>
      </w:r>
      <w:proofErr w:type="spellStart"/>
      <w:r w:rsidR="00CE1051" w:rsidRPr="00A6284F">
        <w:rPr>
          <w:rFonts w:eastAsia="Times New Roman"/>
          <w:color w:val="000000"/>
          <w:sz w:val="24"/>
          <w:lang w:val="sq-AL"/>
        </w:rPr>
        <w:t>remitancat</w:t>
      </w:r>
      <w:proofErr w:type="spellEnd"/>
      <w:r w:rsidR="00CE1051" w:rsidRPr="00A6284F">
        <w:rPr>
          <w:rFonts w:eastAsia="Times New Roman"/>
          <w:color w:val="000000"/>
          <w:sz w:val="24"/>
          <w:lang w:val="sq-AL"/>
        </w:rPr>
        <w:t xml:space="preserve"> </w:t>
      </w:r>
      <w:r w:rsidR="00CE1051" w:rsidRPr="00A6284F">
        <w:rPr>
          <w:rFonts w:eastAsia="Times New Roman"/>
          <w:color w:val="000000"/>
          <w:spacing w:val="10"/>
          <w:sz w:val="24"/>
          <w:lang w:val="sq-AL"/>
        </w:rPr>
        <w:t>e mëdha nga jashtë dhe rritja e fuqishme e pagave dhe kredive</w:t>
      </w:r>
      <w:r w:rsidR="00CE1051" w:rsidRPr="00A6284F">
        <w:rPr>
          <w:rFonts w:eastAsia="Times New Roman"/>
          <w:color w:val="000000"/>
          <w:spacing w:val="1"/>
          <w:sz w:val="24"/>
          <w:lang w:val="sq-AL"/>
        </w:rPr>
        <w:t xml:space="preserve">. </w:t>
      </w:r>
      <w:r w:rsidR="00CE1051" w:rsidRPr="00A6284F">
        <w:rPr>
          <w:rFonts w:eastAsia="Times New Roman"/>
          <w:color w:val="000000"/>
          <w:sz w:val="24"/>
          <w:lang w:val="sq-AL"/>
        </w:rPr>
        <w:t xml:space="preserve">Rritja e jashtëzakonshme (18.8%) e eksporteve në vitin 2017, e mbështetur nga mallrat dhe shërbimet, u ngadalësua në 13.9% </w:t>
      </w:r>
      <w:r w:rsidR="00FD66C7" w:rsidRPr="00A6284F">
        <w:rPr>
          <w:rFonts w:eastAsia="Times New Roman"/>
          <w:color w:val="000000"/>
          <w:sz w:val="24"/>
          <w:lang w:val="sq-AL"/>
        </w:rPr>
        <w:t>gjat</w:t>
      </w:r>
      <w:r w:rsidR="00CE1051" w:rsidRPr="00A6284F">
        <w:rPr>
          <w:rFonts w:eastAsia="Times New Roman"/>
          <w:color w:val="000000"/>
          <w:sz w:val="24"/>
          <w:lang w:val="sq-AL"/>
        </w:rPr>
        <w:t xml:space="preserve">ë </w:t>
      </w:r>
      <w:r w:rsidR="00FD66C7" w:rsidRPr="00A6284F">
        <w:rPr>
          <w:rFonts w:eastAsia="Times New Roman"/>
          <w:color w:val="000000"/>
          <w:sz w:val="24"/>
          <w:lang w:val="sq-AL"/>
        </w:rPr>
        <w:t xml:space="preserve">vitit </w:t>
      </w:r>
      <w:r w:rsidR="00CE1051" w:rsidRPr="00A6284F">
        <w:rPr>
          <w:rFonts w:eastAsia="Times New Roman"/>
          <w:color w:val="000000"/>
          <w:sz w:val="24"/>
          <w:lang w:val="sq-AL"/>
        </w:rPr>
        <w:t xml:space="preserve">2018 për shkak të rënies së përkohshme të eksporteve të metaleve bazë. </w:t>
      </w:r>
      <w:proofErr w:type="spellStart"/>
      <w:r w:rsidR="00CE1051" w:rsidRPr="00A6284F">
        <w:rPr>
          <w:rFonts w:eastAsia="Times New Roman"/>
          <w:color w:val="000000"/>
          <w:sz w:val="24"/>
          <w:lang w:val="sq-AL"/>
        </w:rPr>
        <w:t>Diversifikimi</w:t>
      </w:r>
      <w:proofErr w:type="spellEnd"/>
      <w:r w:rsidR="00CE1051" w:rsidRPr="00A6284F">
        <w:rPr>
          <w:rFonts w:eastAsia="Times New Roman"/>
          <w:color w:val="000000"/>
          <w:sz w:val="24"/>
          <w:lang w:val="sq-AL"/>
        </w:rPr>
        <w:t xml:space="preserve"> ekonomik po ecën ngadalë. Eksportet e mallrave mbeten të </w:t>
      </w:r>
      <w:proofErr w:type="spellStart"/>
      <w:r w:rsidR="00CE1051" w:rsidRPr="00A6284F">
        <w:rPr>
          <w:rFonts w:eastAsia="Times New Roman"/>
          <w:color w:val="000000"/>
          <w:sz w:val="24"/>
          <w:lang w:val="sq-AL"/>
        </w:rPr>
        <w:t>dominuara</w:t>
      </w:r>
      <w:proofErr w:type="spellEnd"/>
      <w:r w:rsidR="00CE1051" w:rsidRPr="00A6284F">
        <w:rPr>
          <w:rFonts w:eastAsia="Times New Roman"/>
          <w:color w:val="000000"/>
          <w:sz w:val="24"/>
          <w:lang w:val="sq-AL"/>
        </w:rPr>
        <w:t xml:space="preserve"> nga metalet bazë dhe produktet minerale, të cilat ende përbëjnë rreth 48% të totalit të eksporteve. Eksportet e shërbimeve vazhdojnë të rriten, kryesisht të lidhura me shpenzimet e turizmit nga diaspora</w:t>
      </w:r>
      <w:r w:rsidR="00CE1051" w:rsidRPr="00A6284F">
        <w:rPr>
          <w:rFonts w:eastAsia="Times New Roman"/>
          <w:color w:val="000000"/>
          <w:spacing w:val="1"/>
          <w:sz w:val="24"/>
          <w:lang w:val="sq-AL"/>
        </w:rPr>
        <w:t>.</w:t>
      </w:r>
    </w:p>
    <w:p w:rsidR="00CE1051" w:rsidRPr="00A6284F" w:rsidRDefault="00CE1051" w:rsidP="00CE1051">
      <w:pPr>
        <w:spacing w:before="126" w:after="120"/>
        <w:ind w:left="144" w:right="144"/>
        <w:jc w:val="both"/>
        <w:textAlignment w:val="baseline"/>
        <w:rPr>
          <w:rFonts w:eastAsia="Times New Roman"/>
          <w:b/>
          <w:color w:val="000000"/>
          <w:sz w:val="24"/>
          <w:lang w:val="sq-AL"/>
        </w:rPr>
      </w:pPr>
      <w:r w:rsidRPr="00A6284F">
        <w:rPr>
          <w:rFonts w:eastAsia="Times New Roman"/>
          <w:b/>
          <w:color w:val="000000"/>
          <w:sz w:val="24"/>
          <w:lang w:val="sq-AL"/>
        </w:rPr>
        <w:t>BPV-ja për kokë banori në Kosovë është më e ulëta në rajon.</w:t>
      </w:r>
      <w:r w:rsidR="00FD66C7" w:rsidRPr="00A6284F">
        <w:rPr>
          <w:rFonts w:eastAsia="Times New Roman"/>
          <w:b/>
          <w:color w:val="000000"/>
          <w:sz w:val="24"/>
          <w:lang w:val="sq-AL"/>
        </w:rPr>
        <w:t xml:space="preserve"> </w:t>
      </w:r>
      <w:r w:rsidRPr="00A6284F">
        <w:rPr>
          <w:rFonts w:eastAsia="Times New Roman"/>
          <w:color w:val="000000"/>
          <w:sz w:val="24"/>
          <w:lang w:val="sq-AL"/>
        </w:rPr>
        <w:t>Ajo qëndroi në 3,566 euro në terma nominalë në 2017, që është rreth 26.3% e mesatares së BE-së</w:t>
      </w:r>
      <w:r w:rsidR="008929B0" w:rsidRPr="00A6284F">
        <w:rPr>
          <w:rStyle w:val="FootnoteReference"/>
          <w:rFonts w:eastAsia="Times New Roman"/>
          <w:color w:val="000000"/>
          <w:sz w:val="24"/>
          <w:lang w:val="sq-AL"/>
        </w:rPr>
        <w:footnoteReference w:id="4"/>
      </w:r>
      <w:r w:rsidRPr="00A6284F">
        <w:rPr>
          <w:rFonts w:eastAsia="Times New Roman"/>
          <w:color w:val="000000"/>
          <w:sz w:val="24"/>
          <w:lang w:val="sq-AL"/>
        </w:rPr>
        <w:t xml:space="preserve"> (mesatarja rajonale është 4,853 Euro). Megjithatë, në aspektin e pagës mesatare bruto (519 euro në 2016), Kosova renditet e dyta në rajon (pas Malit të Zi), gjë që sugjeron një </w:t>
      </w:r>
      <w:proofErr w:type="spellStart"/>
      <w:r w:rsidRPr="00A6284F">
        <w:rPr>
          <w:rFonts w:eastAsia="Times New Roman"/>
          <w:color w:val="000000"/>
          <w:sz w:val="24"/>
          <w:lang w:val="sq-AL"/>
        </w:rPr>
        <w:t>konkurr</w:t>
      </w:r>
      <w:r w:rsidR="00C341CC" w:rsidRPr="00A6284F">
        <w:rPr>
          <w:rFonts w:eastAsia="Times New Roman"/>
          <w:color w:val="000000"/>
          <w:sz w:val="24"/>
          <w:lang w:val="sq-AL"/>
        </w:rPr>
        <w:t>ueshmëri</w:t>
      </w:r>
      <w:proofErr w:type="spellEnd"/>
      <w:r w:rsidR="00C341CC" w:rsidRPr="00A6284F">
        <w:rPr>
          <w:rFonts w:eastAsia="Times New Roman"/>
          <w:color w:val="000000"/>
          <w:sz w:val="24"/>
          <w:lang w:val="sq-AL"/>
        </w:rPr>
        <w:t xml:space="preserve"> </w:t>
      </w:r>
      <w:r w:rsidRPr="00A6284F">
        <w:rPr>
          <w:rFonts w:eastAsia="Times New Roman"/>
          <w:color w:val="000000"/>
          <w:sz w:val="24"/>
          <w:lang w:val="sq-AL"/>
        </w:rPr>
        <w:t>të dobët në kontekst</w:t>
      </w:r>
      <w:r w:rsidR="00C341CC" w:rsidRPr="00A6284F">
        <w:rPr>
          <w:rFonts w:eastAsia="Times New Roman"/>
          <w:color w:val="000000"/>
          <w:sz w:val="24"/>
          <w:lang w:val="sq-AL"/>
        </w:rPr>
        <w:t>in</w:t>
      </w:r>
      <w:r w:rsidRPr="00A6284F">
        <w:rPr>
          <w:rFonts w:eastAsia="Times New Roman"/>
          <w:color w:val="000000"/>
          <w:sz w:val="24"/>
          <w:lang w:val="sq-AL"/>
        </w:rPr>
        <w:t xml:space="preserve"> ndërkombëtar.</w:t>
      </w:r>
      <w:r w:rsidR="00FD66C7" w:rsidRPr="00A6284F">
        <w:rPr>
          <w:rFonts w:eastAsia="Times New Roman"/>
          <w:color w:val="000000"/>
          <w:sz w:val="24"/>
          <w:lang w:val="sq-AL"/>
        </w:rPr>
        <w:t xml:space="preserve"> </w:t>
      </w:r>
      <w:r w:rsidRPr="00A6284F">
        <w:rPr>
          <w:rFonts w:eastAsia="Times New Roman"/>
          <w:color w:val="000000"/>
          <w:sz w:val="24"/>
          <w:lang w:val="sq-AL"/>
        </w:rPr>
        <w:t xml:space="preserve">Pabarazitë mbeten të përhapura për shkak të një sektori të madh </w:t>
      </w:r>
      <w:r w:rsidR="00FD66C7" w:rsidRPr="00A6284F">
        <w:rPr>
          <w:rFonts w:eastAsia="Times New Roman"/>
          <w:color w:val="000000"/>
          <w:sz w:val="24"/>
          <w:lang w:val="sq-AL"/>
        </w:rPr>
        <w:t>jo formal</w:t>
      </w:r>
      <w:r w:rsidRPr="00A6284F">
        <w:rPr>
          <w:rFonts w:eastAsia="Times New Roman"/>
          <w:color w:val="000000"/>
          <w:sz w:val="24"/>
          <w:lang w:val="sq-AL"/>
        </w:rPr>
        <w:t>, niveleve të larta të pasivitetit dhe pagave të larta në sektorin publik.</w:t>
      </w:r>
    </w:p>
    <w:p w:rsidR="008929B0" w:rsidRPr="00A6284F" w:rsidRDefault="008929B0" w:rsidP="00CE1051">
      <w:pPr>
        <w:spacing w:before="23" w:line="275" w:lineRule="exact"/>
        <w:ind w:left="72" w:right="144"/>
        <w:jc w:val="both"/>
        <w:textAlignment w:val="baseline"/>
        <w:rPr>
          <w:rFonts w:eastAsia="Times New Roman"/>
          <w:b/>
          <w:color w:val="000000"/>
          <w:sz w:val="24"/>
          <w:lang w:val="sq-AL"/>
        </w:rPr>
      </w:pPr>
    </w:p>
    <w:p w:rsidR="00CE1051" w:rsidRPr="00A6284F" w:rsidRDefault="00CE1051" w:rsidP="00CE1051">
      <w:pPr>
        <w:spacing w:before="23" w:line="275"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lastRenderedPageBreak/>
        <w:t>Deficiti tradicionalisht i madh i llogarisë rrjedhëse vazhdoi edhe në vitin 2018.</w:t>
      </w:r>
      <w:r w:rsidR="00C341CC" w:rsidRPr="00A6284F">
        <w:rPr>
          <w:rFonts w:eastAsia="Times New Roman"/>
          <w:b/>
          <w:color w:val="000000"/>
          <w:sz w:val="24"/>
          <w:lang w:val="sq-AL"/>
        </w:rPr>
        <w:t xml:space="preserve"> </w:t>
      </w:r>
      <w:r w:rsidRPr="00A6284F">
        <w:rPr>
          <w:rFonts w:eastAsia="Times New Roman"/>
          <w:color w:val="000000"/>
          <w:sz w:val="24"/>
          <w:lang w:val="sq-AL"/>
        </w:rPr>
        <w:t xml:space="preserve">Deficiti tregtar i mallrave u rrit në 43% të BPV-së nga 38.4% </w:t>
      </w:r>
      <w:r w:rsidR="009E49F0" w:rsidRPr="00A6284F">
        <w:rPr>
          <w:rFonts w:eastAsia="Times New Roman"/>
          <w:color w:val="000000"/>
          <w:sz w:val="24"/>
          <w:lang w:val="sq-AL"/>
        </w:rPr>
        <w:t xml:space="preserve">sa ishte </w:t>
      </w:r>
      <w:r w:rsidRPr="00A6284F">
        <w:rPr>
          <w:rFonts w:eastAsia="Times New Roman"/>
          <w:color w:val="000000"/>
          <w:sz w:val="24"/>
          <w:lang w:val="sq-AL"/>
        </w:rPr>
        <w:t xml:space="preserve">në vitin 2017, duke rritur deficitin e llogarisë rrjedhëse në 8.1%.Kjo ishte nxitur nga rritja e fortë e importeve (13.6% nga viti në vit) dhe nga rënia e eksporteve të mallrave (7% </w:t>
      </w:r>
      <w:r w:rsidR="009E49F0" w:rsidRPr="00A6284F">
        <w:rPr>
          <w:rFonts w:eastAsia="Times New Roman"/>
          <w:color w:val="000000"/>
          <w:sz w:val="24"/>
          <w:lang w:val="sq-AL"/>
        </w:rPr>
        <w:t>vit pas viti</w:t>
      </w:r>
      <w:r w:rsidRPr="00A6284F">
        <w:rPr>
          <w:rFonts w:eastAsia="Times New Roman"/>
          <w:color w:val="000000"/>
          <w:sz w:val="24"/>
          <w:lang w:val="sq-AL"/>
        </w:rPr>
        <w:t>).</w:t>
      </w:r>
      <w:r w:rsidR="009E49F0" w:rsidRPr="00A6284F">
        <w:rPr>
          <w:rFonts w:eastAsia="Times New Roman"/>
          <w:color w:val="000000"/>
          <w:sz w:val="24"/>
          <w:lang w:val="sq-AL"/>
        </w:rPr>
        <w:t xml:space="preserve"> </w:t>
      </w:r>
      <w:r w:rsidRPr="00A6284F">
        <w:rPr>
          <w:rFonts w:eastAsia="Times New Roman"/>
          <w:color w:val="000000"/>
          <w:sz w:val="24"/>
          <w:lang w:val="sq-AL"/>
        </w:rPr>
        <w:t xml:space="preserve">Deficiti tregtar </w:t>
      </w:r>
      <w:proofErr w:type="spellStart"/>
      <w:r w:rsidRPr="00A6284F">
        <w:rPr>
          <w:rFonts w:eastAsia="Times New Roman"/>
          <w:color w:val="000000"/>
          <w:sz w:val="24"/>
          <w:lang w:val="sq-AL"/>
        </w:rPr>
        <w:t>zgjerues</w:t>
      </w:r>
      <w:proofErr w:type="spellEnd"/>
      <w:r w:rsidRPr="00A6284F">
        <w:rPr>
          <w:rFonts w:eastAsia="Times New Roman"/>
          <w:color w:val="000000"/>
          <w:sz w:val="24"/>
          <w:lang w:val="sq-AL"/>
        </w:rPr>
        <w:t xml:space="preserve"> u zbut pjesërisht nga bilancet pozitive të shërbimeve dhe </w:t>
      </w:r>
      <w:proofErr w:type="spellStart"/>
      <w:r w:rsidRPr="00A6284F">
        <w:rPr>
          <w:rFonts w:eastAsia="Times New Roman"/>
          <w:color w:val="000000"/>
          <w:sz w:val="24"/>
          <w:lang w:val="sq-AL"/>
        </w:rPr>
        <w:t>remitancave</w:t>
      </w:r>
      <w:proofErr w:type="spellEnd"/>
      <w:r w:rsidRPr="00A6284F">
        <w:rPr>
          <w:rFonts w:eastAsia="Times New Roman"/>
          <w:color w:val="000000"/>
          <w:sz w:val="24"/>
          <w:lang w:val="sq-AL"/>
        </w:rPr>
        <w:t xml:space="preserve"> (respektivisht 1.4% dhe 12% të BPV-së).</w:t>
      </w:r>
    </w:p>
    <w:p w:rsidR="00CE1051" w:rsidRPr="00A6284F" w:rsidRDefault="00CE1051" w:rsidP="00CE1051">
      <w:pPr>
        <w:spacing w:before="127" w:line="275"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 xml:space="preserve">Nga ana e financimit, investimet e huaja </w:t>
      </w:r>
      <w:proofErr w:type="spellStart"/>
      <w:r w:rsidRPr="00A6284F">
        <w:rPr>
          <w:rFonts w:eastAsia="Times New Roman"/>
          <w:b/>
          <w:color w:val="000000"/>
          <w:sz w:val="24"/>
          <w:lang w:val="sq-AL"/>
        </w:rPr>
        <w:t>direkte</w:t>
      </w:r>
      <w:proofErr w:type="spellEnd"/>
      <w:r w:rsidRPr="00A6284F">
        <w:rPr>
          <w:rFonts w:eastAsia="Times New Roman"/>
          <w:b/>
          <w:color w:val="000000"/>
          <w:sz w:val="24"/>
          <w:lang w:val="sq-AL"/>
        </w:rPr>
        <w:t xml:space="preserve"> neto (</w:t>
      </w:r>
      <w:r w:rsidR="009E49F0" w:rsidRPr="00A6284F">
        <w:rPr>
          <w:rFonts w:eastAsia="Times New Roman"/>
          <w:b/>
          <w:color w:val="000000"/>
          <w:sz w:val="24"/>
          <w:lang w:val="sq-AL"/>
        </w:rPr>
        <w:t>IHD</w:t>
      </w:r>
      <w:r w:rsidRPr="00A6284F">
        <w:rPr>
          <w:rFonts w:eastAsia="Times New Roman"/>
          <w:b/>
          <w:color w:val="000000"/>
          <w:sz w:val="24"/>
          <w:lang w:val="sq-AL"/>
        </w:rPr>
        <w:t xml:space="preserve">) u ulën me 16% </w:t>
      </w:r>
      <w:r w:rsidR="009E49F0" w:rsidRPr="00A6284F">
        <w:rPr>
          <w:rFonts w:eastAsia="Times New Roman"/>
          <w:b/>
          <w:color w:val="000000"/>
          <w:sz w:val="24"/>
          <w:lang w:val="sq-AL"/>
        </w:rPr>
        <w:t xml:space="preserve">vit pas viti gjatë </w:t>
      </w:r>
      <w:r w:rsidRPr="00A6284F">
        <w:rPr>
          <w:rFonts w:eastAsia="Times New Roman"/>
          <w:b/>
          <w:color w:val="000000"/>
          <w:sz w:val="24"/>
          <w:lang w:val="sq-AL"/>
        </w:rPr>
        <w:t>2018.</w:t>
      </w:r>
      <w:r w:rsidR="009E49F0" w:rsidRPr="00A6284F">
        <w:rPr>
          <w:rFonts w:eastAsia="Times New Roman"/>
          <w:b/>
          <w:color w:val="000000"/>
          <w:sz w:val="24"/>
          <w:lang w:val="sq-AL"/>
        </w:rPr>
        <w:t xml:space="preserve"> </w:t>
      </w:r>
      <w:r w:rsidRPr="00A6284F">
        <w:rPr>
          <w:rFonts w:eastAsia="Times New Roman"/>
          <w:color w:val="000000"/>
          <w:sz w:val="24"/>
          <w:lang w:val="sq-AL"/>
        </w:rPr>
        <w:t>Hyrja e përgjithshme e IHD-ve ishte 3.3% e BPV-së, duke mbuluar më pak se gjysmën e deficitit të llogarisë rrjedhëse.</w:t>
      </w:r>
      <w:r w:rsidR="009E49F0" w:rsidRPr="00A6284F">
        <w:rPr>
          <w:rFonts w:eastAsia="Times New Roman"/>
          <w:color w:val="000000"/>
          <w:sz w:val="24"/>
          <w:lang w:val="sq-AL"/>
        </w:rPr>
        <w:t xml:space="preserve"> </w:t>
      </w:r>
      <w:r w:rsidRPr="00A6284F">
        <w:rPr>
          <w:rFonts w:eastAsia="Times New Roman"/>
          <w:color w:val="000000"/>
          <w:sz w:val="24"/>
          <w:lang w:val="sq-AL"/>
        </w:rPr>
        <w:t xml:space="preserve">Rënia në IHD ishte për shkak të riatdhesimit më të madh të fitimeve të firmave të huaja për shlyerjen e borxheve, gjë që reduktoi hapësirën për </w:t>
      </w:r>
      <w:proofErr w:type="spellStart"/>
      <w:r w:rsidRPr="00A6284F">
        <w:rPr>
          <w:rFonts w:eastAsia="Times New Roman"/>
          <w:color w:val="000000"/>
          <w:sz w:val="24"/>
          <w:lang w:val="sq-AL"/>
        </w:rPr>
        <w:t>riinvestimin</w:t>
      </w:r>
      <w:proofErr w:type="spellEnd"/>
      <w:r w:rsidRPr="00A6284F">
        <w:rPr>
          <w:rFonts w:eastAsia="Times New Roman"/>
          <w:color w:val="000000"/>
          <w:sz w:val="24"/>
          <w:lang w:val="sq-AL"/>
        </w:rPr>
        <w:t xml:space="preserve"> e të ardhurave.</w:t>
      </w:r>
      <w:r w:rsidR="009E49F0" w:rsidRPr="00A6284F">
        <w:rPr>
          <w:rFonts w:eastAsia="Times New Roman"/>
          <w:color w:val="000000"/>
          <w:sz w:val="24"/>
          <w:lang w:val="sq-AL"/>
        </w:rPr>
        <w:t xml:space="preserve"> Asetet</w:t>
      </w:r>
      <w:r w:rsidRPr="00A6284F">
        <w:rPr>
          <w:rFonts w:eastAsia="Times New Roman"/>
          <w:color w:val="000000"/>
          <w:sz w:val="24"/>
          <w:lang w:val="sq-AL"/>
        </w:rPr>
        <w:t xml:space="preserve"> rezervë vazhdojnë të bien, nga 4.8 muaj importe mallrash dhe shërbimesh në vitin 2015 në 3.5 muaj në 2018</w:t>
      </w:r>
      <w:r w:rsidR="00575C25" w:rsidRPr="00A6284F">
        <w:rPr>
          <w:rStyle w:val="FootnoteReference"/>
          <w:rFonts w:eastAsia="Times New Roman"/>
          <w:color w:val="000000"/>
          <w:sz w:val="24"/>
          <w:lang w:val="sq-AL"/>
        </w:rPr>
        <w:footnoteReference w:id="5"/>
      </w:r>
      <w:r w:rsidRPr="00A6284F">
        <w:rPr>
          <w:rFonts w:eastAsia="Times New Roman"/>
          <w:color w:val="000000"/>
          <w:sz w:val="24"/>
          <w:lang w:val="sq-AL"/>
        </w:rPr>
        <w:t>.</w:t>
      </w:r>
    </w:p>
    <w:p w:rsidR="00CE1051" w:rsidRPr="00A6284F" w:rsidRDefault="00CE1051" w:rsidP="00CE1051">
      <w:pPr>
        <w:spacing w:before="123" w:line="275"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Zhvillimet e çmimeve nxiten kryesisht nga çmimet e importit për ushqim dhe energji.</w:t>
      </w:r>
      <w:r w:rsidR="00F270BA" w:rsidRPr="00A6284F">
        <w:rPr>
          <w:rFonts w:eastAsia="Times New Roman"/>
          <w:b/>
          <w:color w:val="000000"/>
          <w:sz w:val="24"/>
          <w:lang w:val="sq-AL"/>
        </w:rPr>
        <w:t xml:space="preserve"> </w:t>
      </w:r>
      <w:r w:rsidRPr="00A6284F">
        <w:rPr>
          <w:rFonts w:eastAsia="Times New Roman"/>
          <w:color w:val="000000"/>
          <w:sz w:val="24"/>
          <w:lang w:val="sq-AL"/>
        </w:rPr>
        <w:t>Inflacioni mesatar vjetor arriti në 1.1% në vitin 2018, pasi rritja e çmimeve u rikuperua gradualisht gjatë vitit, nga -0.2% y-o-y në janar në 2.9% y-o-y në dhjetor.</w:t>
      </w:r>
      <w:r w:rsidR="00417E15" w:rsidRPr="00A6284F">
        <w:rPr>
          <w:rFonts w:eastAsia="Times New Roman"/>
          <w:color w:val="000000"/>
          <w:sz w:val="24"/>
          <w:lang w:val="sq-AL"/>
        </w:rPr>
        <w:t xml:space="preserve"> </w:t>
      </w:r>
      <w:r w:rsidRPr="00A6284F">
        <w:rPr>
          <w:rFonts w:eastAsia="Times New Roman"/>
          <w:color w:val="000000"/>
          <w:sz w:val="24"/>
          <w:lang w:val="sq-AL"/>
        </w:rPr>
        <w:t>Faktor kryesor ishte çmimet e ushqimeve, të cilat ishin në rritje që nga korriku dhe arritën në 5.5% y-o-y në dhjetor pas futjes së tarifave 100% për mallrat e importuara nga Serbia dhe Bosnja dhe Hercegovina.</w:t>
      </w:r>
    </w:p>
    <w:p w:rsidR="00CE1051" w:rsidRPr="00A6284F" w:rsidRDefault="00AE58C8" w:rsidP="003E26C6">
      <w:pPr>
        <w:spacing w:before="137" w:line="275" w:lineRule="exact"/>
        <w:ind w:left="72" w:right="144"/>
        <w:jc w:val="both"/>
        <w:textAlignment w:val="baseline"/>
        <w:rPr>
          <w:rFonts w:eastAsia="Times New Roman"/>
          <w:color w:val="000000"/>
          <w:spacing w:val="-3"/>
          <w:sz w:val="24"/>
          <w:lang w:val="sq-AL"/>
        </w:rPr>
      </w:pPr>
      <w:r w:rsidRPr="00A6284F">
        <w:rPr>
          <w:lang w:val="sq-AL"/>
        </w:rPr>
        <w:pict>
          <v:shape id="_x0000_s1126" type="#_x0000_t202" style="position:absolute;left:0;text-align:left;margin-left:64.35pt;margin-top:406.1pt;width:251.15pt;height:158.3pt;z-index:-251595776;mso-wrap-distance-left:0;mso-wrap-distance-right:8.9pt;mso-wrap-distance-bottom:16.6pt;mso-position-horizontal-relative:page;mso-position-vertical-relative:page" filled="f" stroked="f">
            <v:textbox style="mso-next-textbox:#_x0000_s1126" inset="0,0,0,0">
              <w:txbxContent>
                <w:p w:rsidR="00F23D22" w:rsidRDefault="00F23D22" w:rsidP="00CE1051">
                  <w:pPr>
                    <w:pBdr>
                      <w:top w:val="single" w:sz="4" w:space="0" w:color="858585"/>
                      <w:left w:val="single" w:sz="4" w:space="0" w:color="858585"/>
                      <w:bottom w:val="single" w:sz="4" w:space="16" w:color="858585"/>
                      <w:right w:val="single" w:sz="4" w:space="8" w:color="858585"/>
                    </w:pBdr>
                  </w:pPr>
                </w:p>
              </w:txbxContent>
            </v:textbox>
            <w10:wrap type="square" anchorx="page" anchory="page"/>
          </v:shape>
        </w:pict>
      </w:r>
      <w:r w:rsidRPr="00A6284F">
        <w:rPr>
          <w:lang w:val="sq-AL"/>
        </w:rPr>
        <w:pict>
          <v:shape id="_x0000_s1127" type="#_x0000_t202" style="position:absolute;left:0;text-align:left;margin-left:92.15pt;margin-top:406.1pt;width:203.05pt;height:23pt;z-index:-251594752;mso-wrap-distance-left:0;mso-wrap-distance-right:0;mso-position-horizontal-relative:page;mso-position-vertical-relative:page" filled="f" stroked="f">
            <v:textbox inset="0,0,0,0">
              <w:txbxContent>
                <w:p w:rsidR="00F23D22" w:rsidRDefault="00F23D22" w:rsidP="00CE1051">
                  <w:pPr>
                    <w:spacing w:before="263" w:line="193" w:lineRule="exact"/>
                    <w:jc w:val="center"/>
                    <w:textAlignment w:val="baseline"/>
                    <w:rPr>
                      <w:rFonts w:ascii="Calibri" w:eastAsia="Calibri" w:hAnsi="Calibri"/>
                      <w:b/>
                      <w:color w:val="000000"/>
                      <w:spacing w:val="-1"/>
                      <w:sz w:val="19"/>
                    </w:rPr>
                  </w:pPr>
                  <w:proofErr w:type="spellStart"/>
                  <w:r>
                    <w:rPr>
                      <w:rFonts w:ascii="Calibri" w:eastAsia="Calibri" w:hAnsi="Calibri"/>
                      <w:b/>
                      <w:color w:val="000000"/>
                      <w:spacing w:val="-1"/>
                      <w:sz w:val="19"/>
                    </w:rPr>
                    <w:t>Kosovë</w:t>
                  </w:r>
                  <w:proofErr w:type="spellEnd"/>
                  <w:r>
                    <w:rPr>
                      <w:rFonts w:ascii="Calibri" w:eastAsia="Calibri" w:hAnsi="Calibri"/>
                      <w:b/>
                      <w:color w:val="000000"/>
                      <w:spacing w:val="-1"/>
                      <w:sz w:val="19"/>
                    </w:rPr>
                    <w:t xml:space="preserve">: </w:t>
                  </w:r>
                  <w:proofErr w:type="spellStart"/>
                  <w:r w:rsidRPr="00D50BAB">
                    <w:rPr>
                      <w:rFonts w:ascii="Calibri" w:eastAsia="Calibri" w:hAnsi="Calibri"/>
                      <w:b/>
                      <w:color w:val="000000"/>
                      <w:spacing w:val="-1"/>
                      <w:sz w:val="19"/>
                    </w:rPr>
                    <w:t>Zhvillimet</w:t>
                  </w:r>
                  <w:proofErr w:type="spellEnd"/>
                  <w:r w:rsidRPr="00D50BAB">
                    <w:rPr>
                      <w:rFonts w:ascii="Calibri" w:eastAsia="Calibri" w:hAnsi="Calibri"/>
                      <w:b/>
                      <w:color w:val="000000"/>
                      <w:spacing w:val="-1"/>
                      <w:sz w:val="19"/>
                    </w:rPr>
                    <w:t xml:space="preserve"> </w:t>
                  </w:r>
                  <w:proofErr w:type="spellStart"/>
                  <w:r w:rsidRPr="00D50BAB">
                    <w:rPr>
                      <w:rFonts w:ascii="Calibri" w:eastAsia="Calibri" w:hAnsi="Calibri"/>
                      <w:b/>
                      <w:color w:val="000000"/>
                      <w:spacing w:val="-1"/>
                      <w:sz w:val="19"/>
                    </w:rPr>
                    <w:t>fiskale</w:t>
                  </w:r>
                  <w:proofErr w:type="spellEnd"/>
                </w:p>
              </w:txbxContent>
            </v:textbox>
            <w10:wrap type="square" anchorx="page" anchory="page"/>
          </v:shape>
        </w:pict>
      </w:r>
      <w:r w:rsidRPr="00A6284F">
        <w:rPr>
          <w:lang w:val="sq-AL"/>
        </w:rPr>
        <w:pict>
          <v:shape id="_x0000_s1128" type="#_x0000_t202" style="position:absolute;left:0;text-align:left;margin-left:92.15pt;margin-top:429.1pt;width:229.2pt;height:9.15pt;z-index:-251593728;mso-wrap-distance-left:0;mso-wrap-distance-right:0;mso-position-horizontal-relative:page;mso-position-vertical-relative:page" filled="f" stroked="f">
            <v:textbox inset="0,0,0,0">
              <w:txbxContent>
                <w:p w:rsidR="00F23D22" w:rsidRDefault="00F23D22" w:rsidP="00CE1051">
                  <w:pPr>
                    <w:tabs>
                      <w:tab w:val="right" w:pos="4680"/>
                    </w:tabs>
                    <w:spacing w:before="20" w:after="16" w:line="168" w:lineRule="exact"/>
                    <w:textAlignment w:val="baseline"/>
                    <w:rPr>
                      <w:rFonts w:ascii="Calibri" w:eastAsia="Calibri" w:hAnsi="Calibri"/>
                      <w:color w:val="000000"/>
                      <w:sz w:val="16"/>
                    </w:rPr>
                  </w:pPr>
                  <w:r>
                    <w:rPr>
                      <w:rFonts w:ascii="Calibri" w:eastAsia="Calibri" w:hAnsi="Calibri"/>
                      <w:color w:val="000000"/>
                      <w:sz w:val="16"/>
                    </w:rPr>
                    <w:t>% e BPV-</w:t>
                  </w:r>
                  <w:proofErr w:type="spellStart"/>
                  <w:r>
                    <w:rPr>
                      <w:rFonts w:ascii="Calibri" w:eastAsia="Calibri" w:hAnsi="Calibri"/>
                      <w:color w:val="000000"/>
                      <w:sz w:val="16"/>
                    </w:rPr>
                    <w:t>së</w:t>
                  </w:r>
                  <w:proofErr w:type="spellEnd"/>
                  <w:r>
                    <w:rPr>
                      <w:rFonts w:ascii="Calibri" w:eastAsia="Calibri" w:hAnsi="Calibri"/>
                      <w:color w:val="000000"/>
                      <w:sz w:val="16"/>
                    </w:rPr>
                    <w:tab/>
                  </w:r>
                  <w:r>
                    <w:rPr>
                      <w:rFonts w:ascii="Calibri" w:eastAsia="Calibri" w:hAnsi="Calibri"/>
                      <w:color w:val="000000"/>
                      <w:sz w:val="15"/>
                    </w:rPr>
                    <w:t>20</w:t>
                  </w:r>
                </w:p>
              </w:txbxContent>
            </v:textbox>
            <w10:wrap type="square" anchorx="page" anchory="page"/>
          </v:shape>
        </w:pict>
      </w:r>
      <w:r w:rsidR="00CE1051" w:rsidRPr="00A6284F">
        <w:rPr>
          <w:rFonts w:eastAsia="Times New Roman"/>
          <w:b/>
          <w:color w:val="000000"/>
          <w:spacing w:val="-1"/>
          <w:sz w:val="24"/>
          <w:lang w:val="sq-AL"/>
        </w:rPr>
        <w:t>Përkundër mungesës së progresit në rishikimin e skemës së përfitimeve të veteranëve të luftës, stabiliteti fiskal u ruajt në vitin 2018, por përbërja buxhetore nuk është mjaft e favorshme për rritjen ekonomike.</w:t>
      </w:r>
      <w:r w:rsidR="00575C25" w:rsidRPr="00A6284F">
        <w:rPr>
          <w:rFonts w:eastAsia="Times New Roman"/>
          <w:b/>
          <w:color w:val="000000"/>
          <w:spacing w:val="-1"/>
          <w:sz w:val="24"/>
          <w:lang w:val="sq-AL"/>
        </w:rPr>
        <w:t xml:space="preserve"> </w:t>
      </w:r>
      <w:r w:rsidR="00CE1051" w:rsidRPr="00A6284F">
        <w:rPr>
          <w:rFonts w:eastAsia="Times New Roman"/>
          <w:color w:val="000000"/>
          <w:spacing w:val="-1"/>
          <w:sz w:val="24"/>
          <w:lang w:val="sq-AL"/>
        </w:rPr>
        <w:t xml:space="preserve">Deficiti buxhetor i vitit 2018 vlerësohet në 1% të BPV-së, </w:t>
      </w:r>
      <w:r w:rsidR="00F270BA" w:rsidRPr="00A6284F">
        <w:rPr>
          <w:rFonts w:eastAsia="Times New Roman"/>
          <w:color w:val="000000"/>
          <w:spacing w:val="-1"/>
          <w:sz w:val="24"/>
          <w:lang w:val="sq-AL"/>
        </w:rPr>
        <w:t xml:space="preserve">që është </w:t>
      </w:r>
      <w:r w:rsidR="00CE1051" w:rsidRPr="00A6284F">
        <w:rPr>
          <w:rFonts w:eastAsia="Times New Roman"/>
          <w:color w:val="000000"/>
          <w:spacing w:val="-1"/>
          <w:sz w:val="24"/>
          <w:lang w:val="sq-AL"/>
        </w:rPr>
        <w:t>brenda kufirit të rregull</w:t>
      </w:r>
      <w:r w:rsidR="00F270BA" w:rsidRPr="00A6284F">
        <w:rPr>
          <w:rFonts w:eastAsia="Times New Roman"/>
          <w:color w:val="000000"/>
          <w:spacing w:val="-1"/>
          <w:sz w:val="24"/>
          <w:lang w:val="sq-AL"/>
        </w:rPr>
        <w:t>ës</w:t>
      </w:r>
      <w:r w:rsidR="00CE1051" w:rsidRPr="00A6284F">
        <w:rPr>
          <w:rFonts w:eastAsia="Times New Roman"/>
          <w:color w:val="000000"/>
          <w:spacing w:val="-1"/>
          <w:sz w:val="24"/>
          <w:lang w:val="sq-AL"/>
        </w:rPr>
        <w:t xml:space="preserve"> fiskale prej 2%, ndërsa deficiti i përgjithshëm fiskal qëndron në 2.8% të BPV-së.</w:t>
      </w:r>
      <w:r w:rsidR="00F270BA" w:rsidRPr="00A6284F">
        <w:rPr>
          <w:rFonts w:eastAsia="Times New Roman"/>
          <w:color w:val="000000"/>
          <w:spacing w:val="-1"/>
          <w:sz w:val="24"/>
          <w:lang w:val="sq-AL"/>
        </w:rPr>
        <w:t xml:space="preserve"> </w:t>
      </w:r>
      <w:r w:rsidR="00CE1051" w:rsidRPr="00A6284F">
        <w:rPr>
          <w:rFonts w:eastAsia="Times New Roman"/>
          <w:color w:val="000000"/>
          <w:spacing w:val="-1"/>
          <w:sz w:val="24"/>
          <w:lang w:val="sq-AL"/>
        </w:rPr>
        <w:t>Rritja vjetore e të ardhurave buxhetore ishte 5.3%, ndërsa shpenzimet buxhetore u zgjeruan me 11.2%.</w:t>
      </w:r>
      <w:r w:rsidR="00F270BA" w:rsidRPr="00A6284F">
        <w:rPr>
          <w:rFonts w:eastAsia="Times New Roman"/>
          <w:color w:val="000000"/>
          <w:spacing w:val="-1"/>
          <w:sz w:val="24"/>
          <w:lang w:val="sq-AL"/>
        </w:rPr>
        <w:t xml:space="preserve"> </w:t>
      </w:r>
      <w:r w:rsidR="00CE1051" w:rsidRPr="00A6284F">
        <w:rPr>
          <w:rFonts w:eastAsia="Times New Roman"/>
          <w:color w:val="000000"/>
          <w:spacing w:val="-1"/>
          <w:sz w:val="24"/>
          <w:lang w:val="sq-AL"/>
        </w:rPr>
        <w:t xml:space="preserve">Shpenzimet më të larta sociale, të shkaktuara nga dështimi për të reformuar përfitimet e </w:t>
      </w:r>
      <w:r w:rsidR="00F270BA" w:rsidRPr="00A6284F">
        <w:rPr>
          <w:rFonts w:eastAsia="Times New Roman"/>
          <w:color w:val="000000"/>
          <w:spacing w:val="-1"/>
          <w:sz w:val="24"/>
          <w:lang w:val="sq-AL"/>
        </w:rPr>
        <w:t xml:space="preserve">pa </w:t>
      </w:r>
      <w:proofErr w:type="spellStart"/>
      <w:r w:rsidR="00F270BA" w:rsidRPr="00A6284F">
        <w:rPr>
          <w:rFonts w:eastAsia="Times New Roman"/>
          <w:color w:val="000000"/>
          <w:spacing w:val="-1"/>
          <w:sz w:val="24"/>
          <w:lang w:val="sq-AL"/>
        </w:rPr>
        <w:t>targetuara</w:t>
      </w:r>
      <w:proofErr w:type="spellEnd"/>
      <w:r w:rsidR="00F270BA" w:rsidRPr="00A6284F">
        <w:rPr>
          <w:rFonts w:eastAsia="Times New Roman"/>
          <w:color w:val="000000"/>
          <w:spacing w:val="-1"/>
          <w:sz w:val="24"/>
          <w:lang w:val="sq-AL"/>
        </w:rPr>
        <w:t xml:space="preserve"> dhe të kushtueshme të </w:t>
      </w:r>
      <w:r w:rsidR="00CE1051" w:rsidRPr="00A6284F">
        <w:rPr>
          <w:rFonts w:eastAsia="Times New Roman"/>
          <w:color w:val="000000"/>
          <w:spacing w:val="-1"/>
          <w:sz w:val="24"/>
          <w:lang w:val="sq-AL"/>
        </w:rPr>
        <w:t>veteranëve të luftës u kompensuan pjesërisht nga nën-</w:t>
      </w:r>
      <w:r w:rsidR="00764C15" w:rsidRPr="00A6284F">
        <w:rPr>
          <w:rFonts w:eastAsia="Times New Roman"/>
          <w:color w:val="000000"/>
          <w:spacing w:val="-1"/>
          <w:sz w:val="24"/>
          <w:lang w:val="sq-AL"/>
        </w:rPr>
        <w:t>realizimi</w:t>
      </w:r>
      <w:r w:rsidR="00CE1051" w:rsidRPr="00A6284F">
        <w:rPr>
          <w:rFonts w:eastAsia="Times New Roman"/>
          <w:color w:val="000000"/>
          <w:spacing w:val="-1"/>
          <w:sz w:val="24"/>
          <w:lang w:val="sq-AL"/>
        </w:rPr>
        <w:t xml:space="preserve"> i buxhetit kapital.</w:t>
      </w:r>
      <w:r w:rsidR="00575C25" w:rsidRPr="00A6284F">
        <w:rPr>
          <w:rFonts w:eastAsia="Times New Roman"/>
          <w:color w:val="000000"/>
          <w:spacing w:val="-1"/>
          <w:sz w:val="24"/>
          <w:lang w:val="sq-AL"/>
        </w:rPr>
        <w:t xml:space="preserve"> </w:t>
      </w:r>
      <w:r w:rsidR="00CE1051" w:rsidRPr="00A6284F">
        <w:rPr>
          <w:rFonts w:eastAsia="Times New Roman"/>
          <w:color w:val="000000"/>
          <w:spacing w:val="-1"/>
          <w:sz w:val="24"/>
          <w:lang w:val="sq-AL"/>
        </w:rPr>
        <w:t xml:space="preserve">Shpenzimet për subvencionet dhe transferimet janë rritur me shpejtësi gjatë viteve të fundit, duke arritur gati 39% të shpenzimeve rrjedhëse në projekt-buxhetin e vitit 2019, ndërkohë që përbërja e përfitimeve u zhvendos nga </w:t>
      </w:r>
      <w:r w:rsidR="00764C15" w:rsidRPr="00A6284F">
        <w:rPr>
          <w:rFonts w:eastAsia="Times New Roman"/>
          <w:color w:val="000000"/>
          <w:spacing w:val="-1"/>
          <w:sz w:val="24"/>
          <w:lang w:val="sq-AL"/>
        </w:rPr>
        <w:t xml:space="preserve">transferit e fokusuara në </w:t>
      </w:r>
      <w:r w:rsidR="00CE1051" w:rsidRPr="00A6284F">
        <w:rPr>
          <w:rFonts w:eastAsia="Times New Roman"/>
          <w:color w:val="000000"/>
          <w:spacing w:val="-1"/>
          <w:sz w:val="24"/>
          <w:lang w:val="sq-AL"/>
        </w:rPr>
        <w:t>varfëri</w:t>
      </w:r>
      <w:r w:rsidR="00764C15" w:rsidRPr="00A6284F">
        <w:rPr>
          <w:rFonts w:eastAsia="Times New Roman"/>
          <w:color w:val="000000"/>
          <w:spacing w:val="-1"/>
          <w:sz w:val="24"/>
          <w:lang w:val="sq-AL"/>
        </w:rPr>
        <w:t>në</w:t>
      </w:r>
      <w:r w:rsidR="00CE1051" w:rsidRPr="00A6284F">
        <w:rPr>
          <w:rFonts w:eastAsia="Times New Roman"/>
          <w:color w:val="000000"/>
          <w:spacing w:val="-1"/>
          <w:sz w:val="24"/>
          <w:lang w:val="sq-AL"/>
        </w:rPr>
        <w:t xml:space="preserve"> drejt përfitimeve për kategori të veçanta të popullsisë.</w:t>
      </w:r>
      <w:r w:rsidR="00575C25" w:rsidRPr="00A6284F">
        <w:rPr>
          <w:rFonts w:eastAsia="Times New Roman"/>
          <w:color w:val="000000"/>
          <w:spacing w:val="-1"/>
          <w:sz w:val="24"/>
          <w:lang w:val="sq-AL"/>
        </w:rPr>
        <w:t xml:space="preserve"> </w:t>
      </w:r>
      <w:r w:rsidR="00CE1051" w:rsidRPr="00A6284F">
        <w:rPr>
          <w:rFonts w:eastAsia="Times New Roman"/>
          <w:color w:val="000000"/>
          <w:spacing w:val="-1"/>
          <w:sz w:val="24"/>
          <w:lang w:val="sq-AL"/>
        </w:rPr>
        <w:t>Përveç ndikimit fiskal, kjo ka pasoja negative në pjesëmarrjen e tregut të punës dhe</w:t>
      </w:r>
      <w:r w:rsidR="003E26C6" w:rsidRPr="00A6284F">
        <w:rPr>
          <w:rFonts w:eastAsia="Times New Roman"/>
          <w:color w:val="000000"/>
          <w:spacing w:val="-1"/>
          <w:sz w:val="24"/>
          <w:lang w:val="sq-AL"/>
        </w:rPr>
        <w:t xml:space="preserve"> </w:t>
      </w:r>
      <w:r w:rsidRPr="00A6284F">
        <w:rPr>
          <w:lang w:val="sq-AL"/>
        </w:rPr>
        <w:pict>
          <v:shape id="_x0000_s1129" type="#_x0000_t202" style="position:absolute;left:0;text-align:left;margin-left:65.85pt;margin-top:407.1pt;width:23.9pt;height:114.4pt;z-index:-251592704;mso-wrap-distance-left:0;mso-wrap-distance-right:0;mso-position-horizontal-relative:page;mso-position-vertical-relative:page" filled="f" stroked="f">
            <v:textbox inset="0,0,0,0">
              <w:txbxContent>
                <w:p w:rsidR="00F23D22" w:rsidRDefault="00F23D22" w:rsidP="00CE1051">
                  <w:pPr>
                    <w:spacing w:before="160" w:line="425" w:lineRule="exact"/>
                    <w:ind w:left="216"/>
                    <w:jc w:val="right"/>
                    <w:textAlignment w:val="baseline"/>
                    <w:rPr>
                      <w:rFonts w:ascii="Calibri" w:eastAsia="Calibri" w:hAnsi="Calibri"/>
                      <w:color w:val="000000"/>
                      <w:spacing w:val="59"/>
                      <w:sz w:val="16"/>
                    </w:rPr>
                  </w:pPr>
                  <w:r>
                    <w:rPr>
                      <w:rFonts w:ascii="Calibri" w:eastAsia="Calibri" w:hAnsi="Calibri"/>
                      <w:color w:val="000000"/>
                      <w:spacing w:val="59"/>
                      <w:sz w:val="16"/>
                    </w:rPr>
                    <w:t>4 2 0 -2</w:t>
                  </w:r>
                </w:p>
                <w:p w:rsidR="00F23D22" w:rsidRDefault="00F23D22" w:rsidP="00CE1051">
                  <w:pPr>
                    <w:spacing w:before="272" w:line="151" w:lineRule="exact"/>
                    <w:jc w:val="right"/>
                    <w:textAlignment w:val="baseline"/>
                    <w:rPr>
                      <w:rFonts w:ascii="Calibri" w:eastAsia="Calibri" w:hAnsi="Calibri"/>
                      <w:color w:val="000000"/>
                      <w:spacing w:val="40"/>
                      <w:sz w:val="16"/>
                    </w:rPr>
                  </w:pPr>
                  <w:r>
                    <w:rPr>
                      <w:rFonts w:ascii="Calibri" w:eastAsia="Calibri" w:hAnsi="Calibri"/>
                      <w:color w:val="000000"/>
                      <w:spacing w:val="40"/>
                      <w:sz w:val="16"/>
                    </w:rPr>
                    <w:t>-4</w:t>
                  </w:r>
                </w:p>
              </w:txbxContent>
            </v:textbox>
            <w10:wrap type="square" anchorx="page" anchory="page"/>
          </v:shape>
        </w:pict>
      </w:r>
      <w:r w:rsidRPr="00A6284F">
        <w:rPr>
          <w:lang w:val="sq-AL"/>
        </w:rPr>
        <w:pict>
          <v:shape id="_x0000_s1130" type="#_x0000_t202" style="position:absolute;left:0;text-align:left;margin-left:89.75pt;margin-top:438.25pt;width:231.6pt;height:76.55pt;z-index:-251591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397"/>
                    <w:gridCol w:w="235"/>
                  </w:tblGrid>
                  <w:tr w:rsidR="00F23D22">
                    <w:trPr>
                      <w:trHeight w:hRule="exact" w:val="1531"/>
                    </w:trPr>
                    <w:tc>
                      <w:tcPr>
                        <w:tcW w:w="4397" w:type="dxa"/>
                        <w:tcBorders>
                          <w:top w:val="none" w:sz="0" w:space="0" w:color="000000"/>
                          <w:left w:val="none" w:sz="0" w:space="0" w:color="000000"/>
                          <w:bottom w:val="none" w:sz="0" w:space="0" w:color="000000"/>
                          <w:right w:val="none" w:sz="0" w:space="0" w:color="000000"/>
                        </w:tcBorders>
                      </w:tcPr>
                      <w:p w:rsidR="00F23D22" w:rsidRDefault="00F23D22">
                        <w:pPr>
                          <w:jc w:val="center"/>
                          <w:textAlignment w:val="baseline"/>
                        </w:pPr>
                        <w:r>
                          <w:rPr>
                            <w:noProof/>
                          </w:rPr>
                          <w:drawing>
                            <wp:inline distT="0" distB="0" distL="0" distR="0" wp14:anchorId="2C8182D6" wp14:editId="7F852008">
                              <wp:extent cx="2792095" cy="97218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2792095" cy="972185"/>
                                      </a:xfrm>
                                      <a:prstGeom prst="rect">
                                        <a:avLst/>
                                      </a:prstGeom>
                                    </pic:spPr>
                                  </pic:pic>
                                </a:graphicData>
                              </a:graphic>
                            </wp:inline>
                          </w:drawing>
                        </w:r>
                      </w:p>
                    </w:tc>
                    <w:tc>
                      <w:tcPr>
                        <w:tcW w:w="235" w:type="dxa"/>
                        <w:tcBorders>
                          <w:top w:val="none" w:sz="0" w:space="0" w:color="000000"/>
                          <w:left w:val="none" w:sz="0" w:space="0" w:color="000000"/>
                          <w:bottom w:val="none" w:sz="0" w:space="0" w:color="000000"/>
                          <w:right w:val="none" w:sz="0" w:space="0" w:color="000000"/>
                        </w:tcBorders>
                      </w:tcPr>
                      <w:p w:rsidR="00F23D22" w:rsidRDefault="00F23D22">
                        <w:pPr>
                          <w:spacing w:before="238" w:line="162" w:lineRule="exact"/>
                          <w:jc w:val="right"/>
                          <w:textAlignment w:val="baseline"/>
                          <w:rPr>
                            <w:rFonts w:ascii="Calibri" w:eastAsia="Calibri" w:hAnsi="Calibri"/>
                            <w:color w:val="000000"/>
                            <w:sz w:val="15"/>
                          </w:rPr>
                        </w:pPr>
                        <w:r>
                          <w:rPr>
                            <w:rFonts w:ascii="Calibri" w:eastAsia="Calibri" w:hAnsi="Calibri"/>
                            <w:color w:val="000000"/>
                            <w:sz w:val="15"/>
                          </w:rPr>
                          <w:t>15</w:t>
                        </w:r>
                      </w:p>
                      <w:p w:rsidR="00F23D22" w:rsidRDefault="00F23D22">
                        <w:pPr>
                          <w:spacing w:before="265" w:line="162" w:lineRule="exact"/>
                          <w:jc w:val="right"/>
                          <w:textAlignment w:val="baseline"/>
                          <w:rPr>
                            <w:rFonts w:ascii="Calibri" w:eastAsia="Calibri" w:hAnsi="Calibri"/>
                            <w:color w:val="000000"/>
                            <w:sz w:val="15"/>
                          </w:rPr>
                        </w:pPr>
                        <w:r>
                          <w:rPr>
                            <w:rFonts w:ascii="Calibri" w:eastAsia="Calibri" w:hAnsi="Calibri"/>
                            <w:color w:val="000000"/>
                            <w:sz w:val="15"/>
                          </w:rPr>
                          <w:t>10</w:t>
                        </w:r>
                      </w:p>
                      <w:p w:rsidR="00F23D22" w:rsidRDefault="00F23D22">
                        <w:pPr>
                          <w:spacing w:before="265" w:after="277" w:line="162" w:lineRule="exact"/>
                          <w:jc w:val="right"/>
                          <w:textAlignment w:val="baseline"/>
                          <w:rPr>
                            <w:rFonts w:ascii="Calibri" w:eastAsia="Calibri" w:hAnsi="Calibri"/>
                            <w:color w:val="000000"/>
                            <w:sz w:val="15"/>
                          </w:rPr>
                        </w:pPr>
                        <w:r>
                          <w:rPr>
                            <w:rFonts w:ascii="Calibri" w:eastAsia="Calibri" w:hAnsi="Calibri"/>
                            <w:color w:val="000000"/>
                            <w:sz w:val="15"/>
                          </w:rPr>
                          <w:t>5</w:t>
                        </w:r>
                      </w:p>
                    </w:tc>
                  </w:tr>
                </w:tbl>
                <w:p w:rsidR="00F23D22" w:rsidRDefault="00F23D22" w:rsidP="00CE1051"/>
              </w:txbxContent>
            </v:textbox>
            <w10:wrap type="square" anchorx="page" anchory="page"/>
          </v:shape>
        </w:pict>
      </w:r>
      <w:r w:rsidRPr="00A6284F">
        <w:rPr>
          <w:lang w:val="sq-AL"/>
        </w:rPr>
        <w:pict>
          <v:shape id="_x0000_s1131" type="#_x0000_t202" style="position:absolute;left:0;text-align:left;margin-left:309.6pt;margin-top:514.8pt;width:11.45pt;height:8.2pt;z-index:-251590656;mso-wrap-distance-left:0;mso-wrap-distance-right:0;mso-position-horizontal-relative:page;mso-position-vertical-relative:page" filled="f" stroked="f">
            <v:textbox inset="0,0,0,0">
              <w:txbxContent>
                <w:p w:rsidR="00F23D22" w:rsidRDefault="00F23D22" w:rsidP="00CE1051">
                  <w:pPr>
                    <w:spacing w:after="12" w:line="146" w:lineRule="exact"/>
                    <w:ind w:left="72"/>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w:r>
      <w:r w:rsidRPr="00A6284F">
        <w:rPr>
          <w:lang w:val="sq-AL"/>
        </w:rPr>
        <w:pict>
          <v:shape id="_x0000_s1132" type="#_x0000_t202" style="position:absolute;left:0;text-align:left;margin-left:89.75pt;margin-top:515.05pt;width:219.85pt;height:2.85pt;z-index:-251589632;mso-wrap-distance-left:0;mso-wrap-distance-right:0;mso-position-horizontal-relative:page;mso-position-vertical-relative:page" filled="f" stroked="f">
            <v:textbox inset="0,0,0,0">
              <w:txbxContent>
                <w:p w:rsidR="00F23D22" w:rsidRDefault="00F23D22" w:rsidP="00CE1051">
                  <w:pPr>
                    <w:spacing w:line="57" w:lineRule="exact"/>
                    <w:textAlignment w:val="baseline"/>
                  </w:pPr>
                  <w:r>
                    <w:rPr>
                      <w:noProof/>
                    </w:rPr>
                    <w:drawing>
                      <wp:inline distT="0" distB="0" distL="0" distR="0" wp14:anchorId="25EFD4DF" wp14:editId="7CC6385D">
                        <wp:extent cx="2792095" cy="3619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6"/>
                                <a:stretch>
                                  <a:fillRect/>
                                </a:stretch>
                              </pic:blipFill>
                              <pic:spPr>
                                <a:xfrm>
                                  <a:off x="0" y="0"/>
                                  <a:ext cx="2792095" cy="36195"/>
                                </a:xfrm>
                                <a:prstGeom prst="rect">
                                  <a:avLst/>
                                </a:prstGeom>
                              </pic:spPr>
                            </pic:pic>
                          </a:graphicData>
                        </a:graphic>
                      </wp:inline>
                    </w:drawing>
                  </w:r>
                </w:p>
              </w:txbxContent>
            </v:textbox>
            <w10:wrap type="square" anchorx="page" anchory="page"/>
          </v:shape>
        </w:pict>
      </w:r>
      <w:r w:rsidRPr="00A6284F">
        <w:rPr>
          <w:lang w:val="sq-AL"/>
        </w:rPr>
        <w:pict>
          <v:shape id="_x0000_s1133" type="#_x0000_t202" style="position:absolute;left:0;text-align:left;margin-left:69.45pt;margin-top:523pt;width:251.6pt;height:9.4pt;z-index:-251588608;mso-wrap-distance-left:0;mso-wrap-distance-right:0;mso-position-horizontal-relative:page;mso-position-vertical-relative:page" filled="f" stroked="f">
            <v:textbox inset="0,0,0,0">
              <w:txbxContent>
                <w:p w:rsidR="00F23D22" w:rsidRDefault="00F23D22" w:rsidP="00CE1051">
                  <w:pPr>
                    <w:tabs>
                      <w:tab w:val="left" w:pos="1368"/>
                      <w:tab w:val="left" w:pos="2088"/>
                      <w:tab w:val="left" w:pos="2808"/>
                      <w:tab w:val="left" w:pos="3528"/>
                      <w:tab w:val="left" w:pos="4176"/>
                    </w:tabs>
                    <w:spacing w:before="16" w:line="165" w:lineRule="exact"/>
                    <w:ind w:left="648"/>
                    <w:textAlignment w:val="baseline"/>
                    <w:rPr>
                      <w:rFonts w:ascii="Calibri" w:eastAsia="Calibri" w:hAnsi="Calibri"/>
                      <w:b/>
                      <w:color w:val="000000"/>
                      <w:sz w:val="15"/>
                    </w:rPr>
                  </w:pPr>
                  <w:r>
                    <w:rPr>
                      <w:rFonts w:ascii="Calibri" w:eastAsia="Calibri" w:hAnsi="Calibri"/>
                      <w:b/>
                      <w:color w:val="000000"/>
                      <w:sz w:val="15"/>
                    </w:rPr>
                    <w:t>2013</w:t>
                  </w:r>
                  <w:r>
                    <w:rPr>
                      <w:rFonts w:ascii="Calibri" w:eastAsia="Calibri" w:hAnsi="Calibri"/>
                      <w:b/>
                      <w:color w:val="000000"/>
                      <w:sz w:val="15"/>
                    </w:rPr>
                    <w:tab/>
                    <w:t>2014</w:t>
                  </w:r>
                  <w:r>
                    <w:rPr>
                      <w:rFonts w:ascii="Calibri" w:eastAsia="Calibri" w:hAnsi="Calibri"/>
                      <w:b/>
                      <w:color w:val="000000"/>
                      <w:sz w:val="15"/>
                    </w:rPr>
                    <w:tab/>
                    <w:t>2015</w:t>
                  </w:r>
                  <w:r>
                    <w:rPr>
                      <w:rFonts w:ascii="Calibri" w:eastAsia="Calibri" w:hAnsi="Calibri"/>
                      <w:b/>
                      <w:color w:val="000000"/>
                      <w:sz w:val="15"/>
                    </w:rPr>
                    <w:tab/>
                    <w:t>2016</w:t>
                  </w:r>
                  <w:r>
                    <w:rPr>
                      <w:rFonts w:ascii="Calibri" w:eastAsia="Calibri" w:hAnsi="Calibri"/>
                      <w:b/>
                      <w:color w:val="000000"/>
                      <w:sz w:val="15"/>
                    </w:rPr>
                    <w:tab/>
                    <w:t>2017</w:t>
                  </w:r>
                  <w:r>
                    <w:rPr>
                      <w:rFonts w:ascii="Calibri" w:eastAsia="Calibri" w:hAnsi="Calibri"/>
                      <w:b/>
                      <w:color w:val="000000"/>
                      <w:sz w:val="15"/>
                    </w:rPr>
                    <w:tab/>
                    <w:t>2018</w:t>
                  </w:r>
                </w:p>
              </w:txbxContent>
            </v:textbox>
            <w10:wrap type="square" anchorx="page" anchory="page"/>
          </v:shape>
        </w:pict>
      </w:r>
      <w:r w:rsidRPr="00A6284F">
        <w:rPr>
          <w:lang w:val="sq-AL"/>
        </w:rPr>
        <w:pict>
          <v:shape id="_x0000_s1134" type="#_x0000_t202" style="position:absolute;left:0;text-align:left;margin-left:69.45pt;margin-top:551.35pt;width:251.6pt;height:12.15pt;z-index:-251587584;mso-wrap-distance-left:0;mso-wrap-distance-right:0;mso-position-horizontal-relative:page;mso-position-vertical-relative:page" filled="f" stroked="f">
            <v:textbox inset="0,0,0,0">
              <w:txbxContent>
                <w:p w:rsidR="00F23D22" w:rsidRDefault="00F23D22" w:rsidP="00CE1051">
                  <w:pPr>
                    <w:spacing w:before="24" w:after="38" w:line="171" w:lineRule="exact"/>
                    <w:jc w:val="center"/>
                    <w:textAlignment w:val="baseline"/>
                    <w:rPr>
                      <w:rFonts w:ascii="Calibri" w:eastAsia="Calibri" w:hAnsi="Calibri"/>
                      <w:i/>
                      <w:color w:val="000000"/>
                      <w:spacing w:val="-1"/>
                      <w:sz w:val="16"/>
                    </w:rPr>
                  </w:pPr>
                  <w:proofErr w:type="spellStart"/>
                  <w:r>
                    <w:rPr>
                      <w:rFonts w:ascii="Calibri" w:eastAsia="Calibri" w:hAnsi="Calibri"/>
                      <w:i/>
                      <w:color w:val="000000"/>
                      <w:spacing w:val="-1"/>
                      <w:sz w:val="16"/>
                    </w:rPr>
                    <w:t>Burimi</w:t>
                  </w:r>
                  <w:proofErr w:type="spellEnd"/>
                  <w:r>
                    <w:rPr>
                      <w:rFonts w:ascii="Calibri" w:eastAsia="Calibri" w:hAnsi="Calibri"/>
                      <w:i/>
                      <w:color w:val="000000"/>
                      <w:spacing w:val="-1"/>
                      <w:sz w:val="16"/>
                    </w:rPr>
                    <w:t xml:space="preserve">: </w:t>
                  </w:r>
                  <w:r w:rsidRPr="00D50BAB">
                    <w:rPr>
                      <w:rFonts w:ascii="Calibri" w:eastAsia="Calibri" w:hAnsi="Calibri"/>
                      <w:i/>
                      <w:color w:val="000000"/>
                      <w:spacing w:val="-1"/>
                      <w:sz w:val="16"/>
                    </w:rPr>
                    <w:t>FMN</w:t>
                  </w:r>
                </w:p>
              </w:txbxContent>
            </v:textbox>
            <w10:wrap type="square" anchorx="page" anchory="page"/>
          </v:shape>
        </w:pict>
      </w:r>
      <w:r w:rsidRPr="00A6284F">
        <w:rPr>
          <w:lang w:val="sq-AL"/>
        </w:rPr>
        <w:pict>
          <v:shape id="_x0000_s1135" type="#_x0000_t202" style="position:absolute;left:0;text-align:left;margin-left:104.65pt;margin-top:532.4pt;width:159.6pt;height:18.95pt;z-index:-251586560;mso-wrap-distance-left:0;mso-wrap-distance-right:0;mso-position-horizontal-relative:page;mso-position-vertical-relative:page" filled="f" stroked="f">
            <v:textbox inset="0,0,0,0">
              <w:txbxContent>
                <w:p w:rsidR="00F23D22" w:rsidRDefault="00F23D22" w:rsidP="00CE1051">
                  <w:pPr>
                    <w:tabs>
                      <w:tab w:val="left" w:leader="underscore" w:pos="2088"/>
                    </w:tabs>
                    <w:spacing w:before="24" w:line="157" w:lineRule="exact"/>
                    <w:textAlignment w:val="baseline"/>
                    <w:rPr>
                      <w:rFonts w:ascii="Calibri" w:eastAsia="Calibri" w:hAnsi="Calibri"/>
                      <w:color w:val="000000"/>
                      <w:sz w:val="16"/>
                    </w:rPr>
                  </w:pPr>
                  <w:proofErr w:type="spellStart"/>
                  <w:r w:rsidRPr="00D50BAB">
                    <w:rPr>
                      <w:rFonts w:ascii="Calibri" w:eastAsia="Calibri" w:hAnsi="Calibri"/>
                      <w:color w:val="000000"/>
                      <w:sz w:val="16"/>
                    </w:rPr>
                    <w:t>Bilanci</w:t>
                  </w:r>
                  <w:proofErr w:type="spellEnd"/>
                  <w:r w:rsidRPr="00D50BAB">
                    <w:rPr>
                      <w:rFonts w:ascii="Calibri" w:eastAsia="Calibri" w:hAnsi="Calibri"/>
                      <w:color w:val="000000"/>
                      <w:sz w:val="16"/>
                    </w:rPr>
                    <w:t xml:space="preserve"> </w:t>
                  </w:r>
                  <w:proofErr w:type="spellStart"/>
                  <w:r w:rsidRPr="00D50BAB">
                    <w:rPr>
                      <w:rFonts w:ascii="Calibri" w:eastAsia="Calibri" w:hAnsi="Calibri"/>
                      <w:color w:val="000000"/>
                      <w:sz w:val="16"/>
                    </w:rPr>
                    <w:t>primar</w:t>
                  </w:r>
                  <w:proofErr w:type="spellEnd"/>
                  <w:r w:rsidRPr="00D50BAB">
                    <w:rPr>
                      <w:rFonts w:ascii="Calibri" w:eastAsia="Calibri" w:hAnsi="Calibri"/>
                      <w:color w:val="000000"/>
                      <w:sz w:val="16"/>
                    </w:rPr>
                    <w:t xml:space="preserve"> (lhs)</w:t>
                  </w:r>
                  <w:r>
                    <w:rPr>
                      <w:rFonts w:ascii="Calibri" w:eastAsia="Calibri" w:hAnsi="Calibri"/>
                      <w:color w:val="000000"/>
                      <w:sz w:val="16"/>
                    </w:rPr>
                    <w:tab/>
                  </w:r>
                  <w:proofErr w:type="spellStart"/>
                  <w:r>
                    <w:rPr>
                      <w:rFonts w:ascii="Calibri" w:eastAsia="Calibri" w:hAnsi="Calibri"/>
                      <w:color w:val="000000"/>
                      <w:sz w:val="16"/>
                    </w:rPr>
                    <w:t>Interesi</w:t>
                  </w:r>
                  <w:proofErr w:type="spellEnd"/>
                  <w:r>
                    <w:rPr>
                      <w:rFonts w:ascii="Calibri" w:eastAsia="Calibri" w:hAnsi="Calibri"/>
                      <w:color w:val="000000"/>
                      <w:sz w:val="16"/>
                    </w:rPr>
                    <w:t xml:space="preserve"> (lhs)</w:t>
                  </w:r>
                </w:p>
                <w:p w:rsidR="00F23D22" w:rsidRDefault="00F23D22" w:rsidP="00CE1051">
                  <w:pPr>
                    <w:tabs>
                      <w:tab w:val="left" w:pos="2088"/>
                    </w:tabs>
                    <w:spacing w:before="21" w:after="10" w:line="156" w:lineRule="exact"/>
                    <w:textAlignment w:val="baseline"/>
                    <w:rPr>
                      <w:rFonts w:ascii="Calibri" w:eastAsia="Calibri" w:hAnsi="Calibri"/>
                      <w:color w:val="000000"/>
                      <w:spacing w:val="-4"/>
                      <w:sz w:val="16"/>
                    </w:rPr>
                  </w:pPr>
                  <w:proofErr w:type="spellStart"/>
                  <w:r>
                    <w:rPr>
                      <w:rFonts w:ascii="Calibri" w:eastAsia="Calibri" w:hAnsi="Calibri"/>
                      <w:color w:val="000000"/>
                      <w:spacing w:val="-4"/>
                      <w:sz w:val="16"/>
                    </w:rPr>
                    <w:t>Bilanci</w:t>
                  </w:r>
                  <w:proofErr w:type="spellEnd"/>
                  <w:r>
                    <w:rPr>
                      <w:rFonts w:ascii="Calibri" w:eastAsia="Calibri" w:hAnsi="Calibri"/>
                      <w:color w:val="000000"/>
                      <w:spacing w:val="-4"/>
                      <w:sz w:val="16"/>
                    </w:rPr>
                    <w:t xml:space="preserve"> GG (lhs)</w:t>
                  </w:r>
                  <w:r>
                    <w:rPr>
                      <w:rFonts w:ascii="Calibri" w:eastAsia="Calibri" w:hAnsi="Calibri"/>
                      <w:color w:val="000000"/>
                      <w:spacing w:val="-4"/>
                      <w:sz w:val="16"/>
                    </w:rPr>
                    <w:tab/>
                  </w:r>
                  <w:proofErr w:type="spellStart"/>
                  <w:r w:rsidRPr="00D50BAB">
                    <w:rPr>
                      <w:rFonts w:ascii="Calibri" w:eastAsia="Calibri" w:hAnsi="Calibri"/>
                      <w:color w:val="000000"/>
                      <w:spacing w:val="-4"/>
                      <w:sz w:val="16"/>
                    </w:rPr>
                    <w:t>Borxh</w:t>
                  </w:r>
                  <w:r>
                    <w:rPr>
                      <w:rFonts w:ascii="Calibri" w:eastAsia="Calibri" w:hAnsi="Calibri"/>
                      <w:color w:val="000000"/>
                      <w:spacing w:val="-4"/>
                      <w:sz w:val="16"/>
                    </w:rPr>
                    <w:t>i</w:t>
                  </w:r>
                  <w:proofErr w:type="spellEnd"/>
                  <w:r w:rsidRPr="00D50BAB">
                    <w:rPr>
                      <w:rFonts w:ascii="Calibri" w:eastAsia="Calibri" w:hAnsi="Calibri"/>
                      <w:color w:val="000000"/>
                      <w:spacing w:val="-4"/>
                      <w:sz w:val="16"/>
                    </w:rPr>
                    <w:t xml:space="preserve"> </w:t>
                  </w:r>
                  <w:proofErr w:type="spellStart"/>
                  <w:r w:rsidRPr="00D50BAB">
                    <w:rPr>
                      <w:rFonts w:ascii="Calibri" w:eastAsia="Calibri" w:hAnsi="Calibri"/>
                      <w:color w:val="000000"/>
                      <w:spacing w:val="-4"/>
                      <w:sz w:val="16"/>
                    </w:rPr>
                    <w:t>publik</w:t>
                  </w:r>
                  <w:proofErr w:type="spellEnd"/>
                  <w:r w:rsidRPr="00D50BAB">
                    <w:rPr>
                      <w:rFonts w:ascii="Calibri" w:eastAsia="Calibri" w:hAnsi="Calibri"/>
                      <w:color w:val="000000"/>
                      <w:spacing w:val="-4"/>
                      <w:sz w:val="16"/>
                    </w:rPr>
                    <w:t xml:space="preserve"> </w:t>
                  </w:r>
                  <w:r>
                    <w:rPr>
                      <w:rFonts w:ascii="Calibri" w:eastAsia="Calibri" w:hAnsi="Calibri"/>
                      <w:color w:val="000000"/>
                      <w:spacing w:val="-4"/>
                      <w:sz w:val="16"/>
                    </w:rPr>
                    <w:t>(</w:t>
                  </w:r>
                  <w:proofErr w:type="spellStart"/>
                  <w:r>
                    <w:rPr>
                      <w:rFonts w:ascii="Calibri" w:eastAsia="Calibri" w:hAnsi="Calibri"/>
                      <w:color w:val="000000"/>
                      <w:spacing w:val="-4"/>
                      <w:sz w:val="16"/>
                    </w:rPr>
                    <w:t>rhs</w:t>
                  </w:r>
                  <w:proofErr w:type="spellEnd"/>
                  <w:r>
                    <w:rPr>
                      <w:rFonts w:ascii="Calibri" w:eastAsia="Calibri" w:hAnsi="Calibri"/>
                      <w:color w:val="000000"/>
                      <w:spacing w:val="-4"/>
                      <w:sz w:val="16"/>
                    </w:rPr>
                    <w:t>)</w:t>
                  </w:r>
                </w:p>
              </w:txbxContent>
            </v:textbox>
            <w10:wrap type="square" anchorx="page" anchory="page"/>
          </v:shape>
        </w:pict>
      </w:r>
      <w:r w:rsidRPr="00A6284F">
        <w:rPr>
          <w:lang w:val="sq-AL"/>
        </w:rPr>
        <w:pict>
          <v:shape id="_x0000_s1136" type="#_x0000_t202" style="position:absolute;left:0;text-align:left;margin-left:90.25pt;margin-top:532.4pt;width:14.4pt;height:18.95pt;z-index:-251585536;mso-wrap-distance-left:0;mso-wrap-distance-right:0;mso-position-horizontal-relative:page;mso-position-vertical-relative:page" filled="f" stroked="f">
            <v:textbox inset="0,0,0,0">
              <w:txbxContent>
                <w:p w:rsidR="00F23D22" w:rsidRDefault="00F23D22" w:rsidP="00CE1051">
                  <w:pPr>
                    <w:spacing w:before="56" w:after="64" w:line="259" w:lineRule="exact"/>
                    <w:textAlignment w:val="baseline"/>
                  </w:pPr>
                  <w:r>
                    <w:rPr>
                      <w:noProof/>
                    </w:rPr>
                    <w:drawing>
                      <wp:inline distT="0" distB="0" distL="0" distR="0" wp14:anchorId="286D9CE7" wp14:editId="10290710">
                        <wp:extent cx="182880" cy="16446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7"/>
                                <a:stretch>
                                  <a:fillRect/>
                                </a:stretch>
                              </pic:blipFill>
                              <pic:spPr>
                                <a:xfrm>
                                  <a:off x="0" y="0"/>
                                  <a:ext cx="182880" cy="164465"/>
                                </a:xfrm>
                                <a:prstGeom prst="rect">
                                  <a:avLst/>
                                </a:prstGeom>
                              </pic:spPr>
                            </pic:pic>
                          </a:graphicData>
                        </a:graphic>
                      </wp:inline>
                    </w:drawing>
                  </w:r>
                </w:p>
              </w:txbxContent>
            </v:textbox>
            <w10:wrap type="square" anchorx="page" anchory="page"/>
          </v:shape>
        </w:pict>
      </w:r>
      <w:r w:rsidRPr="00A6284F">
        <w:rPr>
          <w:lang w:val="sq-AL"/>
        </w:rPr>
        <w:pict>
          <v:shape id="_x0000_s1137" type="#_x0000_t202" style="position:absolute;left:0;text-align:left;margin-left:196.55pt;margin-top:535.7pt;width:14.15pt;height:4.55pt;z-index:-251584512;mso-wrap-distance-left:0;mso-wrap-distance-right:0;mso-position-horizontal-relative:page;mso-position-vertical-relative:page" filled="f" stroked="f">
            <v:textbox inset="0,0,0,0">
              <w:txbxContent>
                <w:p w:rsidR="00F23D22" w:rsidRDefault="00F23D22" w:rsidP="00CE1051">
                  <w:pPr>
                    <w:spacing w:line="91" w:lineRule="exact"/>
                    <w:textAlignment w:val="baseline"/>
                  </w:pPr>
                  <w:r>
                    <w:rPr>
                      <w:noProof/>
                    </w:rPr>
                    <w:drawing>
                      <wp:inline distT="0" distB="0" distL="0" distR="0" wp14:anchorId="6CA480BA" wp14:editId="7DEB57C0">
                        <wp:extent cx="179705" cy="5778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8"/>
                                <a:stretch>
                                  <a:fillRect/>
                                </a:stretch>
                              </pic:blipFill>
                              <pic:spPr>
                                <a:xfrm>
                                  <a:off x="0" y="0"/>
                                  <a:ext cx="179705" cy="57785"/>
                                </a:xfrm>
                                <a:prstGeom prst="rect">
                                  <a:avLst/>
                                </a:prstGeom>
                              </pic:spPr>
                            </pic:pic>
                          </a:graphicData>
                        </a:graphic>
                      </wp:inline>
                    </w:drawing>
                  </w:r>
                </w:p>
              </w:txbxContent>
            </v:textbox>
            <w10:wrap anchorx="page" anchory="page"/>
          </v:shape>
        </w:pict>
      </w:r>
      <w:r w:rsidR="00CE1051" w:rsidRPr="00A6284F">
        <w:rPr>
          <w:lang w:val="sq-AL"/>
        </w:rPr>
        <w:t xml:space="preserve"> </w:t>
      </w:r>
      <w:proofErr w:type="spellStart"/>
      <w:r w:rsidR="00CE1051" w:rsidRPr="00A6284F">
        <w:rPr>
          <w:lang w:val="sq-AL"/>
        </w:rPr>
        <w:t>konkurrueshmërisë</w:t>
      </w:r>
      <w:proofErr w:type="spellEnd"/>
      <w:r w:rsidR="00CE1051" w:rsidRPr="00A6284F">
        <w:rPr>
          <w:rFonts w:eastAsia="Times New Roman"/>
          <w:color w:val="000000"/>
          <w:spacing w:val="-3"/>
          <w:sz w:val="24"/>
          <w:lang w:val="sq-AL"/>
        </w:rPr>
        <w:t>.</w:t>
      </w:r>
      <w:r w:rsidR="003E26C6" w:rsidRPr="00A6284F">
        <w:rPr>
          <w:rFonts w:eastAsia="Times New Roman"/>
          <w:color w:val="000000"/>
          <w:spacing w:val="-3"/>
          <w:sz w:val="24"/>
          <w:lang w:val="sq-AL"/>
        </w:rPr>
        <w:t xml:space="preserve"> </w:t>
      </w:r>
      <w:r w:rsidR="00CE1051" w:rsidRPr="00A6284F">
        <w:rPr>
          <w:rFonts w:eastAsia="Times New Roman"/>
          <w:color w:val="000000"/>
          <w:spacing w:val="-3"/>
          <w:sz w:val="24"/>
          <w:lang w:val="sq-AL"/>
        </w:rPr>
        <w:t>Sipas standardeve rajonale, borxhi publik i Kosovës mbeti relativisht i ulët (16.2% të BPV-së) në vitin 2018</w:t>
      </w:r>
      <w:r w:rsidR="00575C25" w:rsidRPr="00A6284F">
        <w:rPr>
          <w:rStyle w:val="FootnoteReference"/>
          <w:rFonts w:eastAsia="Times New Roman"/>
          <w:color w:val="000000"/>
          <w:spacing w:val="-3"/>
          <w:sz w:val="24"/>
          <w:lang w:val="sq-AL"/>
        </w:rPr>
        <w:footnoteReference w:id="6"/>
      </w:r>
      <w:r w:rsidR="00CE1051" w:rsidRPr="00A6284F">
        <w:rPr>
          <w:rFonts w:eastAsia="Times New Roman"/>
          <w:color w:val="000000"/>
          <w:spacing w:val="-3"/>
          <w:sz w:val="24"/>
          <w:lang w:val="sq-AL"/>
        </w:rPr>
        <w:t xml:space="preserve">, por është rritur në mënyrë të </w:t>
      </w:r>
      <w:r w:rsidR="003E26C6" w:rsidRPr="00A6284F">
        <w:rPr>
          <w:rFonts w:eastAsia="Times New Roman"/>
          <w:color w:val="000000"/>
          <w:spacing w:val="-3"/>
          <w:sz w:val="24"/>
          <w:lang w:val="sq-AL"/>
        </w:rPr>
        <w:t>vazhdueshme</w:t>
      </w:r>
      <w:r w:rsidR="00CE1051" w:rsidRPr="00A6284F">
        <w:rPr>
          <w:rFonts w:eastAsia="Times New Roman"/>
          <w:color w:val="000000"/>
          <w:spacing w:val="-3"/>
          <w:sz w:val="24"/>
          <w:lang w:val="sq-AL"/>
        </w:rPr>
        <w:t xml:space="preserve"> nga rreth 10.6% e BPV-së në vitin 2014.</w:t>
      </w:r>
    </w:p>
    <w:p w:rsidR="00575C25" w:rsidRPr="00A6284F" w:rsidRDefault="00CE1051" w:rsidP="00575C25">
      <w:pPr>
        <w:spacing w:before="126"/>
        <w:ind w:left="72" w:right="144"/>
        <w:jc w:val="both"/>
        <w:textAlignment w:val="baseline"/>
        <w:rPr>
          <w:rFonts w:eastAsia="Times New Roman"/>
          <w:color w:val="000000"/>
          <w:sz w:val="24"/>
          <w:lang w:val="sq-AL"/>
        </w:rPr>
      </w:pPr>
      <w:r w:rsidRPr="00A6284F">
        <w:rPr>
          <w:rFonts w:eastAsia="Times New Roman"/>
          <w:b/>
          <w:color w:val="000000"/>
          <w:sz w:val="24"/>
          <w:lang w:val="sq-AL"/>
        </w:rPr>
        <w:t>Qeverisja fiskale ka pasur progres</w:t>
      </w:r>
      <w:r w:rsidR="003E26C6" w:rsidRPr="00A6284F">
        <w:rPr>
          <w:rFonts w:eastAsia="Times New Roman"/>
          <w:b/>
          <w:color w:val="000000"/>
          <w:sz w:val="24"/>
          <w:lang w:val="sq-AL"/>
        </w:rPr>
        <w:t xml:space="preserve"> </w:t>
      </w:r>
      <w:r w:rsidRPr="00A6284F">
        <w:rPr>
          <w:rFonts w:eastAsia="Times New Roman"/>
          <w:color w:val="000000"/>
          <w:sz w:val="24"/>
          <w:lang w:val="sq-AL"/>
        </w:rPr>
        <w:t xml:space="preserve">në lidhje me </w:t>
      </w:r>
      <w:proofErr w:type="spellStart"/>
      <w:r w:rsidRPr="00A6284F">
        <w:rPr>
          <w:rFonts w:eastAsia="Times New Roman"/>
          <w:color w:val="000000"/>
          <w:sz w:val="24"/>
          <w:lang w:val="sq-AL"/>
        </w:rPr>
        <w:t>kredibilitetin</w:t>
      </w:r>
      <w:proofErr w:type="spellEnd"/>
      <w:r w:rsidRPr="00A6284F">
        <w:rPr>
          <w:rFonts w:eastAsia="Times New Roman"/>
          <w:color w:val="000000"/>
          <w:sz w:val="24"/>
          <w:lang w:val="sq-AL"/>
        </w:rPr>
        <w:t xml:space="preserve"> e </w:t>
      </w:r>
      <w:proofErr w:type="spellStart"/>
      <w:r w:rsidRPr="00A6284F">
        <w:rPr>
          <w:rFonts w:eastAsia="Times New Roman"/>
          <w:color w:val="000000"/>
          <w:sz w:val="24"/>
          <w:lang w:val="sq-AL"/>
        </w:rPr>
        <w:t>KASh</w:t>
      </w:r>
      <w:proofErr w:type="spellEnd"/>
      <w:r w:rsidRPr="00A6284F">
        <w:rPr>
          <w:rFonts w:eastAsia="Times New Roman"/>
          <w:color w:val="000000"/>
          <w:sz w:val="24"/>
          <w:lang w:val="sq-AL"/>
        </w:rPr>
        <w:t>-it dhe parashikimet buxhetore.</w:t>
      </w:r>
      <w:r w:rsidR="003E26C6" w:rsidRPr="00A6284F">
        <w:rPr>
          <w:rFonts w:eastAsia="Times New Roman"/>
          <w:color w:val="000000"/>
          <w:sz w:val="24"/>
          <w:lang w:val="sq-AL"/>
        </w:rPr>
        <w:t xml:space="preserve"> Grumbullimi i</w:t>
      </w:r>
      <w:r w:rsidRPr="00A6284F">
        <w:rPr>
          <w:rFonts w:eastAsia="Times New Roman"/>
          <w:color w:val="000000"/>
          <w:sz w:val="24"/>
          <w:lang w:val="sq-AL"/>
        </w:rPr>
        <w:t xml:space="preserve"> të </w:t>
      </w:r>
      <w:r w:rsidR="003E26C6" w:rsidRPr="00A6284F">
        <w:rPr>
          <w:rFonts w:eastAsia="Times New Roman"/>
          <w:color w:val="000000"/>
          <w:sz w:val="24"/>
          <w:lang w:val="sq-AL"/>
        </w:rPr>
        <w:t xml:space="preserve">hyrave </w:t>
      </w:r>
      <w:r w:rsidRPr="00A6284F">
        <w:rPr>
          <w:rFonts w:eastAsia="Times New Roman"/>
          <w:color w:val="000000"/>
          <w:sz w:val="24"/>
          <w:lang w:val="sq-AL"/>
        </w:rPr>
        <w:t xml:space="preserve">ka </w:t>
      </w:r>
      <w:r w:rsidR="003E26C6" w:rsidRPr="00A6284F">
        <w:rPr>
          <w:rFonts w:eastAsia="Times New Roman"/>
          <w:color w:val="000000"/>
          <w:sz w:val="24"/>
          <w:lang w:val="sq-AL"/>
        </w:rPr>
        <w:t xml:space="preserve">pas </w:t>
      </w:r>
      <w:r w:rsidRPr="00A6284F">
        <w:rPr>
          <w:rFonts w:eastAsia="Times New Roman"/>
          <w:color w:val="000000"/>
          <w:sz w:val="24"/>
          <w:lang w:val="sq-AL"/>
        </w:rPr>
        <w:t>perform</w:t>
      </w:r>
      <w:r w:rsidR="003E26C6" w:rsidRPr="00A6284F">
        <w:rPr>
          <w:rFonts w:eastAsia="Times New Roman"/>
          <w:color w:val="000000"/>
          <w:sz w:val="24"/>
          <w:lang w:val="sq-AL"/>
        </w:rPr>
        <w:t xml:space="preserve">ancë </w:t>
      </w:r>
      <w:r w:rsidRPr="00A6284F">
        <w:rPr>
          <w:rFonts w:eastAsia="Times New Roman"/>
          <w:color w:val="000000"/>
          <w:sz w:val="24"/>
          <w:lang w:val="sq-AL"/>
        </w:rPr>
        <w:t xml:space="preserve">më mirë se </w:t>
      </w:r>
      <w:r w:rsidR="003E26C6" w:rsidRPr="00A6284F">
        <w:rPr>
          <w:rFonts w:eastAsia="Times New Roman"/>
          <w:color w:val="000000"/>
          <w:sz w:val="24"/>
          <w:lang w:val="sq-AL"/>
        </w:rPr>
        <w:t>realizimi</w:t>
      </w:r>
      <w:r w:rsidRPr="00A6284F">
        <w:rPr>
          <w:rFonts w:eastAsia="Times New Roman"/>
          <w:color w:val="000000"/>
          <w:sz w:val="24"/>
          <w:lang w:val="sq-AL"/>
        </w:rPr>
        <w:t xml:space="preserve"> i shpenzimeve, që pasqyron një problem të thellë të mbingarkesës për përfitimet sociale dhe planifikimin tepër optimist të shpenzimeve kapitale.</w:t>
      </w:r>
      <w:r w:rsidR="003E26C6" w:rsidRPr="00A6284F">
        <w:rPr>
          <w:rFonts w:eastAsia="Times New Roman"/>
          <w:color w:val="000000"/>
          <w:sz w:val="24"/>
          <w:lang w:val="sq-AL"/>
        </w:rPr>
        <w:t xml:space="preserve"> </w:t>
      </w:r>
      <w:r w:rsidRPr="00A6284F">
        <w:rPr>
          <w:rFonts w:eastAsia="Times New Roman"/>
          <w:color w:val="000000"/>
          <w:sz w:val="24"/>
          <w:lang w:val="sq-AL"/>
        </w:rPr>
        <w:t>Parashikimi makroekonomik në bazë të buxhetit të vitit 2019 është ende shumë më i lartë se parashikimet e organizatave të tjera</w:t>
      </w:r>
      <w:r w:rsidR="00575C25" w:rsidRPr="00A6284F">
        <w:rPr>
          <w:rStyle w:val="FootnoteReference"/>
          <w:rFonts w:eastAsia="Times New Roman"/>
          <w:color w:val="000000"/>
          <w:sz w:val="24"/>
          <w:lang w:val="sq-AL"/>
        </w:rPr>
        <w:footnoteReference w:id="7"/>
      </w:r>
      <w:r w:rsidRPr="00A6284F">
        <w:rPr>
          <w:rFonts w:eastAsia="Times New Roman"/>
          <w:color w:val="000000"/>
          <w:sz w:val="24"/>
          <w:lang w:val="sq-AL"/>
        </w:rPr>
        <w:t>. Për më tepër, shifrat tremujore të BVP-së nuk përputhen me të dhënat vjetore.</w:t>
      </w:r>
    </w:p>
    <w:p w:rsidR="003E26C6" w:rsidRPr="00A6284F" w:rsidRDefault="003E26C6" w:rsidP="00575C25">
      <w:pPr>
        <w:spacing w:before="126"/>
        <w:ind w:left="72" w:right="144"/>
        <w:jc w:val="both"/>
        <w:textAlignment w:val="baseline"/>
        <w:rPr>
          <w:rFonts w:eastAsia="Times New Roman"/>
          <w:color w:val="000000"/>
          <w:sz w:val="24"/>
          <w:lang w:val="sq-AL"/>
        </w:rPr>
      </w:pPr>
    </w:p>
    <w:p w:rsidR="003E26C6" w:rsidRPr="00A6284F" w:rsidRDefault="003E26C6" w:rsidP="00575C25">
      <w:pPr>
        <w:spacing w:before="126"/>
        <w:ind w:left="72" w:right="144"/>
        <w:jc w:val="both"/>
        <w:textAlignment w:val="baseline"/>
        <w:rPr>
          <w:rFonts w:eastAsia="Times New Roman"/>
          <w:color w:val="000000"/>
          <w:sz w:val="24"/>
          <w:lang w:val="sq-AL"/>
        </w:rPr>
      </w:pPr>
    </w:p>
    <w:p w:rsidR="00CE1051" w:rsidRPr="00A6284F" w:rsidRDefault="00CE1051" w:rsidP="00575C25">
      <w:pPr>
        <w:spacing w:before="126"/>
        <w:ind w:left="72" w:right="144"/>
        <w:jc w:val="both"/>
        <w:textAlignment w:val="baseline"/>
        <w:rPr>
          <w:rFonts w:eastAsia="Times New Roman"/>
          <w:b/>
          <w:color w:val="000000"/>
          <w:sz w:val="24"/>
          <w:lang w:val="sq-AL"/>
        </w:rPr>
      </w:pPr>
      <w:r w:rsidRPr="00A6284F">
        <w:rPr>
          <w:rFonts w:eastAsia="Times New Roman"/>
          <w:b/>
          <w:color w:val="000000"/>
          <w:sz w:val="24"/>
          <w:lang w:val="sq-AL"/>
        </w:rPr>
        <w:lastRenderedPageBreak/>
        <w:t xml:space="preserve">Duke pasur parasysh </w:t>
      </w:r>
      <w:proofErr w:type="spellStart"/>
      <w:r w:rsidR="00417E15" w:rsidRPr="00A6284F">
        <w:rPr>
          <w:rFonts w:eastAsia="Times New Roman"/>
          <w:b/>
          <w:color w:val="000000"/>
          <w:sz w:val="24"/>
          <w:lang w:val="sq-AL"/>
        </w:rPr>
        <w:t>E</w:t>
      </w:r>
      <w:r w:rsidRPr="00A6284F">
        <w:rPr>
          <w:rFonts w:eastAsia="Times New Roman"/>
          <w:b/>
          <w:color w:val="000000"/>
          <w:sz w:val="24"/>
          <w:lang w:val="sq-AL"/>
        </w:rPr>
        <w:t>uroizimin</w:t>
      </w:r>
      <w:proofErr w:type="spellEnd"/>
      <w:r w:rsidRPr="00A6284F">
        <w:rPr>
          <w:rFonts w:eastAsia="Times New Roman"/>
          <w:b/>
          <w:color w:val="000000"/>
          <w:sz w:val="24"/>
          <w:lang w:val="sq-AL"/>
        </w:rPr>
        <w:t xml:space="preserve"> e njëanshëm të Kosovës, politikat e shëndosha fiskale dhe financiare janë thelbësore për ruajtjen e stabilitetit makroekonomik.</w:t>
      </w:r>
      <w:r w:rsidR="003E26C6" w:rsidRPr="00A6284F">
        <w:rPr>
          <w:rFonts w:eastAsia="Times New Roman"/>
          <w:b/>
          <w:color w:val="000000"/>
          <w:sz w:val="24"/>
          <w:lang w:val="sq-AL"/>
        </w:rPr>
        <w:t xml:space="preserve"> </w:t>
      </w:r>
      <w:r w:rsidRPr="00A6284F">
        <w:rPr>
          <w:rFonts w:eastAsia="Times New Roman"/>
          <w:color w:val="000000"/>
          <w:sz w:val="24"/>
          <w:lang w:val="sq-AL"/>
        </w:rPr>
        <w:t xml:space="preserve">Rregulli fiskal ekzistues, i cili </w:t>
      </w:r>
      <w:r w:rsidR="003E26C6" w:rsidRPr="00A6284F">
        <w:rPr>
          <w:rFonts w:eastAsia="Times New Roman"/>
          <w:color w:val="000000"/>
          <w:sz w:val="24"/>
          <w:lang w:val="sq-AL"/>
        </w:rPr>
        <w:t>përbënë</w:t>
      </w:r>
      <w:r w:rsidRPr="00A6284F">
        <w:rPr>
          <w:rFonts w:eastAsia="Times New Roman"/>
          <w:color w:val="000000"/>
          <w:sz w:val="24"/>
          <w:lang w:val="sq-AL"/>
        </w:rPr>
        <w:t xml:space="preserve"> spirancën kryesore për qëndrueshmërinë fiskale, u respektua plotësisht gjatë vitit 2018.</w:t>
      </w:r>
      <w:r w:rsidR="008046C4" w:rsidRPr="00A6284F">
        <w:rPr>
          <w:rFonts w:eastAsia="Times New Roman"/>
          <w:color w:val="000000"/>
          <w:sz w:val="24"/>
          <w:lang w:val="sq-AL"/>
        </w:rPr>
        <w:t xml:space="preserve"> </w:t>
      </w:r>
      <w:r w:rsidRPr="00A6284F">
        <w:rPr>
          <w:rFonts w:eastAsia="Times New Roman"/>
          <w:color w:val="000000"/>
          <w:sz w:val="24"/>
          <w:lang w:val="sq-AL"/>
        </w:rPr>
        <w:t xml:space="preserve">Zgjerimi fiskal i planifikuar në buxhetin e vitit 2019 dhe shpenzimet e mundshme shtesë që rrjedhin nga Ligji i miratuar së fundmi për pagat </w:t>
      </w:r>
      <w:r w:rsidR="00F80BB1" w:rsidRPr="00A6284F">
        <w:rPr>
          <w:rFonts w:eastAsia="Times New Roman"/>
          <w:color w:val="000000"/>
          <w:sz w:val="24"/>
          <w:lang w:val="sq-AL"/>
        </w:rPr>
        <w:t xml:space="preserve">e </w:t>
      </w:r>
      <w:r w:rsidRPr="00A6284F">
        <w:rPr>
          <w:rFonts w:eastAsia="Times New Roman"/>
          <w:color w:val="000000"/>
          <w:sz w:val="24"/>
          <w:lang w:val="sq-AL"/>
        </w:rPr>
        <w:t>punonjës</w:t>
      </w:r>
      <w:r w:rsidR="00F80BB1" w:rsidRPr="00A6284F">
        <w:rPr>
          <w:rFonts w:eastAsia="Times New Roman"/>
          <w:color w:val="000000"/>
          <w:sz w:val="24"/>
          <w:lang w:val="sq-AL"/>
        </w:rPr>
        <w:t>ve</w:t>
      </w:r>
      <w:r w:rsidRPr="00A6284F">
        <w:rPr>
          <w:rFonts w:eastAsia="Times New Roman"/>
          <w:color w:val="000000"/>
          <w:sz w:val="24"/>
          <w:lang w:val="sq-AL"/>
        </w:rPr>
        <w:t xml:space="preserve"> publikë dhe </w:t>
      </w:r>
      <w:r w:rsidR="00F80BB1" w:rsidRPr="00A6284F">
        <w:rPr>
          <w:rFonts w:eastAsia="Times New Roman"/>
          <w:color w:val="000000"/>
          <w:sz w:val="24"/>
          <w:lang w:val="sq-AL"/>
        </w:rPr>
        <w:t xml:space="preserve">nga </w:t>
      </w:r>
      <w:r w:rsidRPr="00A6284F">
        <w:rPr>
          <w:rFonts w:eastAsia="Times New Roman"/>
          <w:color w:val="000000"/>
          <w:sz w:val="24"/>
          <w:lang w:val="sq-AL"/>
        </w:rPr>
        <w:t>shtesat e pensioneve për mësuesit, ngrenë shqetësime lidhur me qëndrueshmërinë e financave publike.</w:t>
      </w:r>
      <w:r w:rsidR="008046C4" w:rsidRPr="00A6284F">
        <w:rPr>
          <w:rFonts w:eastAsia="Times New Roman"/>
          <w:color w:val="000000"/>
          <w:sz w:val="24"/>
          <w:lang w:val="sq-AL"/>
        </w:rPr>
        <w:t xml:space="preserve"> </w:t>
      </w:r>
      <w:r w:rsidRPr="00A6284F">
        <w:rPr>
          <w:rFonts w:eastAsia="Times New Roman"/>
          <w:color w:val="000000"/>
          <w:sz w:val="24"/>
          <w:lang w:val="sq-AL"/>
        </w:rPr>
        <w:t xml:space="preserve">Rreziqet e </w:t>
      </w:r>
      <w:r w:rsidR="00F80BB1" w:rsidRPr="00A6284F">
        <w:rPr>
          <w:rFonts w:eastAsia="Times New Roman"/>
          <w:color w:val="000000"/>
          <w:sz w:val="24"/>
          <w:lang w:val="sq-AL"/>
        </w:rPr>
        <w:t xml:space="preserve">tjera rezultojnë </w:t>
      </w:r>
      <w:r w:rsidRPr="00A6284F">
        <w:rPr>
          <w:rFonts w:eastAsia="Times New Roman"/>
          <w:color w:val="000000"/>
          <w:sz w:val="24"/>
          <w:lang w:val="sq-AL"/>
        </w:rPr>
        <w:t xml:space="preserve">nga skema e parakohshme e daljes në pension për policinë dhe përfitimet e lindjes për gratë e papunësuara dhe ato të </w:t>
      </w:r>
      <w:r w:rsidR="008046C4" w:rsidRPr="00A6284F">
        <w:rPr>
          <w:rFonts w:eastAsia="Times New Roman"/>
          <w:color w:val="000000"/>
          <w:sz w:val="24"/>
          <w:lang w:val="sq-AL"/>
        </w:rPr>
        <w:t>vetëpunësuar</w:t>
      </w:r>
      <w:r w:rsidRPr="00A6284F">
        <w:rPr>
          <w:rFonts w:eastAsia="Times New Roman"/>
          <w:color w:val="000000"/>
          <w:sz w:val="24"/>
          <w:lang w:val="sq-AL"/>
        </w:rPr>
        <w:t>.</w:t>
      </w:r>
    </w:p>
    <w:p w:rsidR="00CE1051" w:rsidRPr="00A6284F" w:rsidRDefault="00CE1051" w:rsidP="00CE1051">
      <w:pPr>
        <w:spacing w:line="396"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Funksionimi i tregjeve të produkteve</w:t>
      </w:r>
      <w:r w:rsidRPr="00A6284F">
        <w:rPr>
          <w:rFonts w:eastAsia="Times New Roman"/>
          <w:color w:val="000000"/>
          <w:sz w:val="24"/>
          <w:u w:val="single"/>
          <w:lang w:val="sq-AL"/>
        </w:rPr>
        <w:br/>
      </w:r>
      <w:r w:rsidR="00F80BB1" w:rsidRPr="00A6284F">
        <w:rPr>
          <w:rFonts w:eastAsia="Times New Roman"/>
          <w:i/>
          <w:color w:val="000000"/>
          <w:sz w:val="24"/>
          <w:lang w:val="sq-AL"/>
        </w:rPr>
        <w:t>Mjedisi</w:t>
      </w:r>
      <w:r w:rsidRPr="00A6284F">
        <w:rPr>
          <w:rFonts w:eastAsia="Times New Roman"/>
          <w:i/>
          <w:color w:val="000000"/>
          <w:sz w:val="24"/>
          <w:lang w:val="sq-AL"/>
        </w:rPr>
        <w:t xml:space="preserve"> afarist</w:t>
      </w:r>
    </w:p>
    <w:p w:rsidR="00CE1051" w:rsidRPr="00A6284F" w:rsidRDefault="00CE1051" w:rsidP="00CE1051">
      <w:pPr>
        <w:spacing w:before="123"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Numri i firmave të reja të regjistruara dhe të mbyllura është në përputhje me trendët afatgjata.</w:t>
      </w:r>
      <w:r w:rsidR="008046C4" w:rsidRPr="00A6284F">
        <w:rPr>
          <w:rFonts w:eastAsia="Times New Roman"/>
          <w:b/>
          <w:color w:val="000000"/>
          <w:sz w:val="24"/>
          <w:lang w:val="sq-AL"/>
        </w:rPr>
        <w:t xml:space="preserve"> </w:t>
      </w:r>
      <w:r w:rsidR="008046C4" w:rsidRPr="00A6284F">
        <w:rPr>
          <w:rFonts w:eastAsia="Times New Roman"/>
          <w:color w:val="000000"/>
          <w:sz w:val="24"/>
          <w:lang w:val="sq-AL"/>
        </w:rPr>
        <w:t>Gjatë vitit</w:t>
      </w:r>
      <w:r w:rsidRPr="00A6284F">
        <w:rPr>
          <w:rFonts w:eastAsia="Times New Roman"/>
          <w:color w:val="000000"/>
          <w:sz w:val="24"/>
          <w:lang w:val="sq-AL"/>
        </w:rPr>
        <w:t xml:space="preserve"> 2017 </w:t>
      </w:r>
      <w:r w:rsidR="008046C4" w:rsidRPr="00A6284F">
        <w:rPr>
          <w:rFonts w:eastAsia="Times New Roman"/>
          <w:color w:val="000000"/>
          <w:sz w:val="24"/>
          <w:lang w:val="sq-AL"/>
        </w:rPr>
        <w:t xml:space="preserve">diferenca </w:t>
      </w:r>
      <w:r w:rsidRPr="00A6284F">
        <w:rPr>
          <w:rFonts w:eastAsia="Times New Roman"/>
          <w:color w:val="000000"/>
          <w:sz w:val="24"/>
          <w:lang w:val="sq-AL"/>
        </w:rPr>
        <w:t>m</w:t>
      </w:r>
      <w:r w:rsidR="008046C4" w:rsidRPr="00A6284F">
        <w:rPr>
          <w:rFonts w:eastAsia="Times New Roman"/>
          <w:color w:val="000000"/>
          <w:sz w:val="24"/>
          <w:lang w:val="sq-AL"/>
        </w:rPr>
        <w:t>e</w:t>
      </w:r>
      <w:r w:rsidRPr="00A6284F">
        <w:rPr>
          <w:rFonts w:eastAsia="Times New Roman"/>
          <w:color w:val="000000"/>
          <w:sz w:val="24"/>
          <w:lang w:val="sq-AL"/>
        </w:rPr>
        <w:t>s firmave të reja (9,223) dhe atyre të mbyllura (1,623) rezultoi në 7,600, në përputhje me trendin historik pas një performancë të jashtëzakonshme në vitin 2016 kur hendeku u zgjerua në 8048 për shkak të numrit më të madh në të dy anët.</w:t>
      </w:r>
    </w:p>
    <w:p w:rsidR="00CE1051" w:rsidRPr="00A6284F" w:rsidRDefault="00CE1051" w:rsidP="00CE1051">
      <w:pPr>
        <w:spacing w:before="119" w:line="276" w:lineRule="exact"/>
        <w:ind w:left="144"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Kosova bëri progres të konsiderueshëm në përmirësimin e ambientit afarist.</w:t>
      </w:r>
      <w:r w:rsidR="00F80BB1" w:rsidRPr="00A6284F">
        <w:rPr>
          <w:rFonts w:eastAsia="Times New Roman"/>
          <w:b/>
          <w:color w:val="000000"/>
          <w:spacing w:val="-1"/>
          <w:sz w:val="24"/>
          <w:lang w:val="sq-AL"/>
        </w:rPr>
        <w:t xml:space="preserve"> </w:t>
      </w:r>
      <w:r w:rsidRPr="00A6284F">
        <w:rPr>
          <w:rFonts w:eastAsia="Times New Roman"/>
          <w:color w:val="000000"/>
          <w:spacing w:val="-1"/>
          <w:sz w:val="24"/>
          <w:lang w:val="sq-AL"/>
        </w:rPr>
        <w:t xml:space="preserve">Ndërkohë që ka bërë disa përmirësime në lidhje me regjistrimin e një biznesi dhe marrjen e kredisë, renditja e saj e përgjithshme në raportin e </w:t>
      </w:r>
      <w:r w:rsidR="00F80BB1" w:rsidRPr="00A6284F">
        <w:rPr>
          <w:rFonts w:eastAsia="Times New Roman"/>
          <w:color w:val="000000"/>
          <w:spacing w:val="-1"/>
          <w:sz w:val="24"/>
          <w:lang w:val="sq-AL"/>
        </w:rPr>
        <w:t xml:space="preserve">të </w:t>
      </w:r>
      <w:r w:rsidRPr="00A6284F">
        <w:rPr>
          <w:rFonts w:eastAsia="Times New Roman"/>
          <w:i/>
          <w:color w:val="000000"/>
          <w:spacing w:val="-1"/>
          <w:sz w:val="24"/>
          <w:lang w:val="sq-AL"/>
        </w:rPr>
        <w:t>Bër</w:t>
      </w:r>
      <w:r w:rsidR="00F80BB1" w:rsidRPr="00A6284F">
        <w:rPr>
          <w:rFonts w:eastAsia="Times New Roman"/>
          <w:i/>
          <w:color w:val="000000"/>
          <w:spacing w:val="-1"/>
          <w:sz w:val="24"/>
          <w:lang w:val="sq-AL"/>
        </w:rPr>
        <w:t xml:space="preserve">it </w:t>
      </w:r>
      <w:r w:rsidRPr="00A6284F">
        <w:rPr>
          <w:rFonts w:eastAsia="Times New Roman"/>
          <w:i/>
          <w:color w:val="000000"/>
          <w:spacing w:val="-1"/>
          <w:sz w:val="24"/>
          <w:lang w:val="sq-AL"/>
        </w:rPr>
        <w:t>Biznesit</w:t>
      </w:r>
      <w:r w:rsidRPr="00A6284F">
        <w:rPr>
          <w:rFonts w:eastAsia="Times New Roman"/>
          <w:color w:val="000000"/>
          <w:spacing w:val="-1"/>
          <w:sz w:val="24"/>
          <w:lang w:val="sq-AL"/>
        </w:rPr>
        <w:t xml:space="preserve"> të Bankës Botërore ra në vendin e 44 në vitin 2018 nga vendi i 40 një vit më parë.</w:t>
      </w:r>
      <w:r w:rsidR="00F80BB1" w:rsidRPr="00A6284F">
        <w:rPr>
          <w:rFonts w:eastAsia="Times New Roman"/>
          <w:color w:val="000000"/>
          <w:spacing w:val="-1"/>
          <w:sz w:val="24"/>
          <w:lang w:val="sq-AL"/>
        </w:rPr>
        <w:t xml:space="preserve"> </w:t>
      </w:r>
      <w:r w:rsidRPr="00A6284F">
        <w:rPr>
          <w:rFonts w:eastAsia="Times New Roman"/>
          <w:color w:val="000000"/>
          <w:spacing w:val="-1"/>
          <w:sz w:val="24"/>
          <w:lang w:val="sq-AL"/>
        </w:rPr>
        <w:t>Ndryshimet legjislative kontribuuan në një mjedis më të favorshëm afarist.</w:t>
      </w:r>
      <w:r w:rsidR="00F80BB1"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Ligji i ri për organizatat </w:t>
      </w:r>
      <w:proofErr w:type="spellStart"/>
      <w:r w:rsidRPr="00A6284F">
        <w:rPr>
          <w:rFonts w:eastAsia="Times New Roman"/>
          <w:color w:val="000000"/>
          <w:spacing w:val="-1"/>
          <w:sz w:val="24"/>
          <w:lang w:val="sq-AL"/>
        </w:rPr>
        <w:t>biznesore</w:t>
      </w:r>
      <w:proofErr w:type="spellEnd"/>
      <w:r w:rsidRPr="00A6284F">
        <w:rPr>
          <w:rFonts w:eastAsia="Times New Roman"/>
          <w:color w:val="000000"/>
          <w:spacing w:val="-1"/>
          <w:sz w:val="24"/>
          <w:lang w:val="sq-AL"/>
        </w:rPr>
        <w:t xml:space="preserve"> (i miratuar në maj të vitit 2018) i ka përmirësuar dispozitat për regjistrimin e organizatave </w:t>
      </w:r>
      <w:proofErr w:type="spellStart"/>
      <w:r w:rsidRPr="00A6284F">
        <w:rPr>
          <w:rFonts w:eastAsia="Times New Roman"/>
          <w:color w:val="000000"/>
          <w:spacing w:val="-1"/>
          <w:sz w:val="24"/>
          <w:lang w:val="sq-AL"/>
        </w:rPr>
        <w:t>biznesore</w:t>
      </w:r>
      <w:proofErr w:type="spellEnd"/>
      <w:r w:rsidRPr="00A6284F">
        <w:rPr>
          <w:rFonts w:eastAsia="Times New Roman"/>
          <w:color w:val="000000"/>
          <w:spacing w:val="-1"/>
          <w:sz w:val="24"/>
          <w:lang w:val="sq-AL"/>
        </w:rPr>
        <w:t xml:space="preserve"> dhe qeverisjen e korporatave </w:t>
      </w:r>
      <w:r w:rsidR="00F80BB1" w:rsidRPr="00A6284F">
        <w:rPr>
          <w:rFonts w:eastAsia="Times New Roman"/>
          <w:color w:val="000000"/>
          <w:spacing w:val="-1"/>
          <w:sz w:val="24"/>
          <w:lang w:val="sq-AL"/>
        </w:rPr>
        <w:t xml:space="preserve">si </w:t>
      </w:r>
      <w:r w:rsidRPr="00A6284F">
        <w:rPr>
          <w:rFonts w:eastAsia="Times New Roman"/>
          <w:color w:val="000000"/>
          <w:spacing w:val="-1"/>
          <w:sz w:val="24"/>
          <w:lang w:val="sq-AL"/>
        </w:rPr>
        <w:t>dhe përforcoi të drejtat e aksionarëve të vegjël.</w:t>
      </w:r>
      <w:r w:rsidR="00F80BB1" w:rsidRPr="00A6284F">
        <w:rPr>
          <w:rFonts w:eastAsia="Times New Roman"/>
          <w:color w:val="000000"/>
          <w:spacing w:val="-1"/>
          <w:sz w:val="24"/>
          <w:lang w:val="sq-AL"/>
        </w:rPr>
        <w:t xml:space="preserve"> P</w:t>
      </w:r>
      <w:r w:rsidRPr="00A6284F">
        <w:rPr>
          <w:rFonts w:eastAsia="Times New Roman"/>
          <w:color w:val="000000"/>
          <w:spacing w:val="-1"/>
          <w:sz w:val="24"/>
          <w:lang w:val="sq-AL"/>
        </w:rPr>
        <w:t>latform</w:t>
      </w:r>
      <w:r w:rsidR="00F80BB1" w:rsidRPr="00A6284F">
        <w:rPr>
          <w:rFonts w:eastAsia="Times New Roman"/>
          <w:color w:val="000000"/>
          <w:spacing w:val="-1"/>
          <w:sz w:val="24"/>
          <w:lang w:val="sq-AL"/>
        </w:rPr>
        <w:t>a</w:t>
      </w:r>
      <w:r w:rsidRPr="00A6284F">
        <w:rPr>
          <w:rFonts w:eastAsia="Times New Roman"/>
          <w:color w:val="000000"/>
          <w:spacing w:val="-1"/>
          <w:sz w:val="24"/>
          <w:lang w:val="sq-AL"/>
        </w:rPr>
        <w:t xml:space="preserve"> </w:t>
      </w:r>
      <w:r w:rsidR="00F80BB1" w:rsidRPr="00A6284F">
        <w:rPr>
          <w:rFonts w:eastAsia="Times New Roman"/>
          <w:color w:val="000000"/>
          <w:spacing w:val="-1"/>
          <w:sz w:val="24"/>
          <w:lang w:val="sq-AL"/>
        </w:rPr>
        <w:t xml:space="preserve">e </w:t>
      </w:r>
      <w:r w:rsidRPr="00A6284F">
        <w:rPr>
          <w:rFonts w:eastAsia="Times New Roman"/>
          <w:color w:val="000000"/>
          <w:spacing w:val="-1"/>
          <w:sz w:val="24"/>
          <w:lang w:val="sq-AL"/>
        </w:rPr>
        <w:t xml:space="preserve">përmirësuar </w:t>
      </w:r>
      <w:r w:rsidR="00F80BB1" w:rsidRPr="00A6284F">
        <w:rPr>
          <w:rFonts w:eastAsia="Times New Roman"/>
          <w:color w:val="000000"/>
          <w:spacing w:val="-1"/>
          <w:sz w:val="24"/>
          <w:lang w:val="sq-AL"/>
        </w:rPr>
        <w:t xml:space="preserve">elektronike </w:t>
      </w:r>
      <w:r w:rsidRPr="00A6284F">
        <w:rPr>
          <w:rFonts w:eastAsia="Times New Roman"/>
          <w:color w:val="000000"/>
          <w:spacing w:val="-1"/>
          <w:sz w:val="24"/>
          <w:lang w:val="sq-AL"/>
        </w:rPr>
        <w:t>duhet të përshpejtojë regjistrimet e biznes</w:t>
      </w:r>
      <w:r w:rsidR="00F80BB1" w:rsidRPr="00A6284F">
        <w:rPr>
          <w:rFonts w:eastAsia="Times New Roman"/>
          <w:color w:val="000000"/>
          <w:spacing w:val="-1"/>
          <w:sz w:val="24"/>
          <w:lang w:val="sq-AL"/>
        </w:rPr>
        <w:t>eve</w:t>
      </w:r>
      <w:r w:rsidRPr="00A6284F">
        <w:rPr>
          <w:rFonts w:eastAsia="Times New Roman"/>
          <w:color w:val="000000"/>
          <w:spacing w:val="-1"/>
          <w:sz w:val="24"/>
          <w:lang w:val="sq-AL"/>
        </w:rPr>
        <w:t>.</w:t>
      </w:r>
      <w:r w:rsidR="00F80BB1"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Ligji i ri për kontabilitetin, auditimin dhe raportimin financiar (i miratuar në prill të vitit 2018) lehtëson kërkesat e raportimit për kompanitë dhe përcakton interesin e subjekteve publike në përputhje me </w:t>
      </w:r>
      <w:r w:rsidRPr="00A6284F">
        <w:rPr>
          <w:rFonts w:eastAsia="Times New Roman"/>
          <w:i/>
          <w:color w:val="000000"/>
          <w:spacing w:val="-1"/>
          <w:sz w:val="24"/>
          <w:lang w:val="sq-AL"/>
        </w:rPr>
        <w:t>acquis</w:t>
      </w:r>
      <w:r w:rsidRPr="00A6284F">
        <w:rPr>
          <w:rFonts w:eastAsia="Times New Roman"/>
          <w:color w:val="000000"/>
          <w:spacing w:val="-1"/>
          <w:sz w:val="24"/>
          <w:lang w:val="sq-AL"/>
        </w:rPr>
        <w:t>.</w:t>
      </w:r>
    </w:p>
    <w:p w:rsidR="00CE1051" w:rsidRPr="00A6284F" w:rsidRDefault="00CE1051" w:rsidP="00CE1051">
      <w:pPr>
        <w:spacing w:before="133"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Përkundër progresit në miratimin e legjislacionit të ri për të përmirësuar mjedisin afarist, sektori privat përballet me një sërë sfidash lidhur me procedurat administrative të rënda, </w:t>
      </w:r>
      <w:proofErr w:type="spellStart"/>
      <w:r w:rsidRPr="00A6284F">
        <w:rPr>
          <w:rFonts w:eastAsia="Times New Roman"/>
          <w:b/>
          <w:color w:val="000000"/>
          <w:sz w:val="24"/>
          <w:lang w:val="sq-AL"/>
        </w:rPr>
        <w:t>informalitetin</w:t>
      </w:r>
      <w:proofErr w:type="spellEnd"/>
      <w:r w:rsidRPr="00A6284F">
        <w:rPr>
          <w:rFonts w:eastAsia="Times New Roman"/>
          <w:b/>
          <w:color w:val="000000"/>
          <w:sz w:val="24"/>
          <w:lang w:val="sq-AL"/>
        </w:rPr>
        <w:t xml:space="preserve"> dhe korrupsionin.</w:t>
      </w:r>
      <w:r w:rsidR="00276258" w:rsidRPr="00A6284F">
        <w:rPr>
          <w:rFonts w:eastAsia="Times New Roman"/>
          <w:b/>
          <w:color w:val="000000"/>
          <w:sz w:val="24"/>
          <w:lang w:val="sq-AL"/>
        </w:rPr>
        <w:t xml:space="preserve"> </w:t>
      </w:r>
      <w:r w:rsidRPr="00A6284F">
        <w:rPr>
          <w:rFonts w:eastAsia="Times New Roman"/>
          <w:color w:val="000000"/>
          <w:sz w:val="24"/>
          <w:lang w:val="sq-AL"/>
        </w:rPr>
        <w:t>Me një numër të madh të inspektorateve, koordinim të dobët të procedurave dhe kontradiktave ligjore, procesi i inspektimeve shpesh mbetet pengesë për të bër</w:t>
      </w:r>
      <w:r w:rsidR="00897073" w:rsidRPr="00A6284F">
        <w:rPr>
          <w:rFonts w:eastAsia="Times New Roman"/>
          <w:color w:val="000000"/>
          <w:sz w:val="24"/>
          <w:lang w:val="sq-AL"/>
        </w:rPr>
        <w:t>it</w:t>
      </w:r>
      <w:r w:rsidRPr="00A6284F">
        <w:rPr>
          <w:rFonts w:eastAsia="Times New Roman"/>
          <w:color w:val="000000"/>
          <w:sz w:val="24"/>
          <w:lang w:val="sq-AL"/>
        </w:rPr>
        <w:t xml:space="preserve"> biznes në Kosovë.</w:t>
      </w:r>
      <w:r w:rsidR="00276258" w:rsidRPr="00A6284F">
        <w:rPr>
          <w:rFonts w:eastAsia="Times New Roman"/>
          <w:color w:val="000000"/>
          <w:sz w:val="24"/>
          <w:lang w:val="sq-AL"/>
        </w:rPr>
        <w:t xml:space="preserve"> </w:t>
      </w:r>
      <w:r w:rsidRPr="00A6284F">
        <w:rPr>
          <w:rFonts w:eastAsia="Times New Roman"/>
          <w:color w:val="000000"/>
          <w:sz w:val="24"/>
          <w:lang w:val="sq-AL"/>
        </w:rPr>
        <w:t>Është përgatitur një Ligj i ri për inspektime dhe miratimi dhe zbatimi i tij do të ndihmonte në adresimin e këtyre shqetësimeve.</w:t>
      </w:r>
      <w:r w:rsidR="0074499E" w:rsidRPr="00A6284F">
        <w:rPr>
          <w:rFonts w:eastAsia="Times New Roman"/>
          <w:color w:val="000000"/>
          <w:sz w:val="24"/>
          <w:lang w:val="sq-AL"/>
        </w:rPr>
        <w:t xml:space="preserve"> </w:t>
      </w:r>
      <w:r w:rsidRPr="00A6284F">
        <w:rPr>
          <w:rFonts w:eastAsia="Times New Roman"/>
          <w:color w:val="000000"/>
          <w:sz w:val="24"/>
          <w:lang w:val="sq-AL"/>
        </w:rPr>
        <w:t>N</w:t>
      </w:r>
      <w:r w:rsidR="00897073" w:rsidRPr="00A6284F">
        <w:rPr>
          <w:rFonts w:eastAsia="Times New Roman"/>
          <w:color w:val="000000"/>
          <w:sz w:val="24"/>
          <w:lang w:val="sq-AL"/>
        </w:rPr>
        <w:t>gjash</w:t>
      </w:r>
      <w:r w:rsidRPr="00A6284F">
        <w:rPr>
          <w:rFonts w:eastAsia="Times New Roman"/>
          <w:color w:val="000000"/>
          <w:sz w:val="24"/>
          <w:lang w:val="sq-AL"/>
        </w:rPr>
        <w:t>ë</w:t>
      </w:r>
      <w:r w:rsidR="00897073" w:rsidRPr="00A6284F">
        <w:rPr>
          <w:rFonts w:eastAsia="Times New Roman"/>
          <w:color w:val="000000"/>
          <w:sz w:val="24"/>
          <w:lang w:val="sq-AL"/>
        </w:rPr>
        <w:t>m</w:t>
      </w:r>
      <w:r w:rsidRPr="00A6284F">
        <w:rPr>
          <w:rFonts w:eastAsia="Times New Roman"/>
          <w:color w:val="000000"/>
          <w:sz w:val="24"/>
          <w:lang w:val="sq-AL"/>
        </w:rPr>
        <w:t>, numri i madh i licencave dhe lejeve ende përbën një barrë administrative për bizneset.</w:t>
      </w:r>
      <w:r w:rsidR="0074499E" w:rsidRPr="00A6284F">
        <w:rPr>
          <w:rFonts w:eastAsia="Times New Roman"/>
          <w:color w:val="000000"/>
          <w:sz w:val="24"/>
          <w:lang w:val="sq-AL"/>
        </w:rPr>
        <w:t xml:space="preserve"> </w:t>
      </w:r>
      <w:r w:rsidRPr="00A6284F">
        <w:rPr>
          <w:rFonts w:eastAsia="Times New Roman"/>
          <w:color w:val="000000"/>
          <w:sz w:val="24"/>
          <w:lang w:val="sq-AL"/>
        </w:rPr>
        <w:t xml:space="preserve">Regjistri qendror për lejet dhe licencat ende është duke u përditësuar. Gjykimi i ngadaltë dhe jo </w:t>
      </w:r>
      <w:proofErr w:type="spellStart"/>
      <w:r w:rsidRPr="00A6284F">
        <w:rPr>
          <w:rFonts w:eastAsia="Times New Roman"/>
          <w:color w:val="000000"/>
          <w:sz w:val="24"/>
          <w:lang w:val="sq-AL"/>
        </w:rPr>
        <w:t>konsistent</w:t>
      </w:r>
      <w:proofErr w:type="spellEnd"/>
      <w:r w:rsidRPr="00A6284F">
        <w:rPr>
          <w:rFonts w:eastAsia="Times New Roman"/>
          <w:color w:val="000000"/>
          <w:sz w:val="24"/>
          <w:lang w:val="sq-AL"/>
        </w:rPr>
        <w:t xml:space="preserve"> në mosmarrëveshjet ekonomike mbetet </w:t>
      </w:r>
      <w:r w:rsidR="00897073" w:rsidRPr="00A6284F">
        <w:rPr>
          <w:rFonts w:eastAsia="Times New Roman"/>
          <w:color w:val="000000"/>
          <w:sz w:val="24"/>
          <w:lang w:val="sq-AL"/>
        </w:rPr>
        <w:t xml:space="preserve">një </w:t>
      </w:r>
      <w:r w:rsidRPr="00A6284F">
        <w:rPr>
          <w:rFonts w:eastAsia="Times New Roman"/>
          <w:color w:val="000000"/>
          <w:sz w:val="24"/>
          <w:lang w:val="sq-AL"/>
        </w:rPr>
        <w:t>sfidë.</w:t>
      </w:r>
      <w:r w:rsidR="0074499E" w:rsidRPr="00A6284F">
        <w:rPr>
          <w:rFonts w:eastAsia="Times New Roman"/>
          <w:color w:val="000000"/>
          <w:sz w:val="24"/>
          <w:lang w:val="sq-AL"/>
        </w:rPr>
        <w:t xml:space="preserve"> </w:t>
      </w:r>
      <w:r w:rsidRPr="00A6284F">
        <w:rPr>
          <w:rFonts w:eastAsia="Times New Roman"/>
          <w:color w:val="000000"/>
          <w:sz w:val="24"/>
          <w:lang w:val="sq-AL"/>
        </w:rPr>
        <w:t>Në vitin 2018, Agjencia Kosovare për Përkrahje të Investimeve dhe Ndërmarrjeve (KIESA) vazhdoi të vepronte me burime të kufizuara dhe pa udhëheqje të përhershme.</w:t>
      </w:r>
      <w:r w:rsidR="0074499E" w:rsidRPr="00A6284F">
        <w:rPr>
          <w:rFonts w:eastAsia="Times New Roman"/>
          <w:color w:val="000000"/>
          <w:sz w:val="24"/>
          <w:lang w:val="sq-AL"/>
        </w:rPr>
        <w:t xml:space="preserve"> </w:t>
      </w:r>
      <w:r w:rsidRPr="00A6284F">
        <w:rPr>
          <w:rFonts w:eastAsia="Times New Roman"/>
          <w:color w:val="000000"/>
          <w:sz w:val="24"/>
          <w:lang w:val="sq-AL"/>
        </w:rPr>
        <w:t>Një forcim i mëtejshëm i KIESA, veçanërisht duke përforcuar shërbimet pas kujdesit për investitorët e huaj dhe duke funksionalizuar këshillin e nivelit të lartë për promovimin e investimeve të huaja, do të ishte një hap i rëndësishëm drejt rritjes së perspektivave për investime dhe eksporte.</w:t>
      </w:r>
    </w:p>
    <w:p w:rsidR="00CE1051" w:rsidRPr="00A6284F" w:rsidRDefault="00CE1051" w:rsidP="00CE1051">
      <w:pPr>
        <w:spacing w:before="124"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Sektori i madh </w:t>
      </w:r>
      <w:r w:rsidR="003E5F07" w:rsidRPr="00A6284F">
        <w:rPr>
          <w:rFonts w:eastAsia="Times New Roman"/>
          <w:b/>
          <w:color w:val="000000"/>
          <w:sz w:val="24"/>
          <w:lang w:val="sq-AL"/>
        </w:rPr>
        <w:t>joformal</w:t>
      </w:r>
      <w:r w:rsidRPr="00A6284F">
        <w:rPr>
          <w:rFonts w:eastAsia="Times New Roman"/>
          <w:b/>
          <w:color w:val="000000"/>
          <w:sz w:val="24"/>
          <w:lang w:val="sq-AL"/>
        </w:rPr>
        <w:t xml:space="preserve"> (rreth 30% e BPV-së) krijon një konkurrencë jo të drejtë dhe dobëson të drejtat e punës.</w:t>
      </w:r>
      <w:r w:rsidR="00897073" w:rsidRPr="00A6284F">
        <w:rPr>
          <w:rFonts w:eastAsia="Times New Roman"/>
          <w:b/>
          <w:color w:val="000000"/>
          <w:sz w:val="24"/>
          <w:lang w:val="sq-AL"/>
        </w:rPr>
        <w:t xml:space="preserve"> </w:t>
      </w:r>
      <w:r w:rsidRPr="00A6284F">
        <w:rPr>
          <w:rFonts w:eastAsia="Times New Roman"/>
          <w:color w:val="000000"/>
          <w:sz w:val="24"/>
          <w:lang w:val="sq-AL"/>
        </w:rPr>
        <w:t>Në maj të vitit 2019, Kosova miratoi një strategji dhe plan veprimi të rishikuar për të luftuar ekonominë joformale duke përfshirë tregues të matshëm për të monitoruar progresin në këtë fushë.</w:t>
      </w:r>
    </w:p>
    <w:p w:rsidR="00CE1051" w:rsidRPr="00A6284F" w:rsidRDefault="00CE1051" w:rsidP="00CE1051">
      <w:pPr>
        <w:spacing w:before="125" w:line="274" w:lineRule="exact"/>
        <w:ind w:left="144"/>
        <w:textAlignment w:val="baseline"/>
        <w:rPr>
          <w:rFonts w:eastAsia="Times New Roman"/>
          <w:i/>
          <w:color w:val="000000"/>
          <w:sz w:val="24"/>
          <w:lang w:val="sq-AL"/>
        </w:rPr>
      </w:pPr>
      <w:r w:rsidRPr="00A6284F">
        <w:rPr>
          <w:rFonts w:eastAsia="Times New Roman"/>
          <w:i/>
          <w:color w:val="000000"/>
          <w:sz w:val="24"/>
          <w:lang w:val="sq-AL"/>
        </w:rPr>
        <w:t>Ndikimi shtetëror në tregjet e produkteve</w:t>
      </w:r>
    </w:p>
    <w:p w:rsidR="00CE1051" w:rsidRPr="00A6284F" w:rsidRDefault="00CE1051" w:rsidP="00CE1051">
      <w:pPr>
        <w:spacing w:before="117" w:line="276" w:lineRule="exact"/>
        <w:ind w:left="144"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Politika e Kosovës për ndihmë shtetërore nuk mbështetet nga një qasje koherente.</w:t>
      </w:r>
      <w:r w:rsidR="005301AE" w:rsidRPr="00A6284F">
        <w:rPr>
          <w:rFonts w:eastAsia="Times New Roman"/>
          <w:b/>
          <w:color w:val="000000"/>
          <w:spacing w:val="-1"/>
          <w:sz w:val="24"/>
          <w:lang w:val="sq-AL"/>
        </w:rPr>
        <w:t xml:space="preserve"> </w:t>
      </w:r>
      <w:r w:rsidRPr="00A6284F">
        <w:rPr>
          <w:rFonts w:eastAsia="Times New Roman"/>
          <w:color w:val="000000"/>
          <w:spacing w:val="-1"/>
          <w:sz w:val="24"/>
          <w:lang w:val="sq-AL"/>
        </w:rPr>
        <w:t>Qeverisë i mungon vlerësimi i pajtueshmërisë së ndihmës shtetërore, si dhe një strategji gjithëpërfshirëse dhe vlerësime kosto-përfitim për ndihmën dhe subvencionet e dhëna.</w:t>
      </w:r>
      <w:r w:rsidR="005301AE"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Shumica e ndërmarrjeve publike mbesin të varura nga fondet publike nga buxheti. Kosova ende nuk ka përmbushur detyrimet e Marrëveshjes së Stabilizim </w:t>
      </w:r>
      <w:proofErr w:type="spellStart"/>
      <w:r w:rsidRPr="00A6284F">
        <w:rPr>
          <w:rFonts w:eastAsia="Times New Roman"/>
          <w:color w:val="000000"/>
          <w:spacing w:val="-1"/>
          <w:sz w:val="24"/>
          <w:lang w:val="sq-AL"/>
        </w:rPr>
        <w:t>Asociimit</w:t>
      </w:r>
      <w:proofErr w:type="spellEnd"/>
      <w:r w:rsidRPr="00A6284F">
        <w:rPr>
          <w:rFonts w:eastAsia="Times New Roman"/>
          <w:color w:val="000000"/>
          <w:spacing w:val="-1"/>
          <w:sz w:val="24"/>
          <w:lang w:val="sq-AL"/>
        </w:rPr>
        <w:t xml:space="preserve"> (</w:t>
      </w:r>
      <w:r w:rsidR="005301AE" w:rsidRPr="00A6284F">
        <w:rPr>
          <w:rFonts w:eastAsia="Times New Roman"/>
          <w:color w:val="000000"/>
          <w:spacing w:val="-1"/>
          <w:sz w:val="24"/>
          <w:lang w:val="sq-AL"/>
        </w:rPr>
        <w:t>MSA</w:t>
      </w:r>
      <w:r w:rsidRPr="00A6284F">
        <w:rPr>
          <w:rFonts w:eastAsia="Times New Roman"/>
          <w:color w:val="000000"/>
          <w:spacing w:val="-1"/>
          <w:sz w:val="24"/>
          <w:lang w:val="sq-AL"/>
        </w:rPr>
        <w:t>) për skemat e ndihmës shtetërore dhe harmonizimin me rregullat e BE-së.</w:t>
      </w:r>
    </w:p>
    <w:p w:rsidR="00CE1051" w:rsidRPr="00A6284F" w:rsidRDefault="00CE1051" w:rsidP="00CE1051">
      <w:pPr>
        <w:spacing w:before="269" w:line="249" w:lineRule="exact"/>
        <w:jc w:val="center"/>
        <w:textAlignment w:val="baseline"/>
        <w:rPr>
          <w:rFonts w:eastAsia="Times New Roman"/>
          <w:color w:val="000000"/>
          <w:spacing w:val="40"/>
          <w:lang w:val="sq-AL"/>
        </w:rPr>
      </w:pPr>
      <w:r w:rsidRPr="00A6284F">
        <w:rPr>
          <w:rFonts w:eastAsia="Times New Roman"/>
          <w:color w:val="000000"/>
          <w:spacing w:val="40"/>
          <w:lang w:val="sq-AL"/>
        </w:rPr>
        <w:t>47</w:t>
      </w:r>
    </w:p>
    <w:p w:rsidR="00CE1051" w:rsidRPr="00A6284F" w:rsidRDefault="00CE1051" w:rsidP="00CE1051">
      <w:pPr>
        <w:rPr>
          <w:lang w:val="sq-AL"/>
        </w:rPr>
        <w:sectPr w:rsidR="00CE1051" w:rsidRPr="00A6284F" w:rsidSect="000A4761">
          <w:pgSz w:w="11909" w:h="16838"/>
          <w:pgMar w:top="1420" w:right="1277" w:bottom="360" w:left="1272" w:header="720" w:footer="720" w:gutter="0"/>
          <w:cols w:space="720"/>
        </w:sectPr>
      </w:pPr>
    </w:p>
    <w:p w:rsidR="00CE1051" w:rsidRPr="00A6284F" w:rsidRDefault="00CE1051" w:rsidP="00CE1051">
      <w:pPr>
        <w:spacing w:before="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Mbështetja financiare për zonat ekonomike dhe parqet industriale vazhduan pa një plan të qartë ose një analizë transparente apo analizë hendekësh, duke ngritur shqetësime mbi pajtueshmërinë e ndihmës shtetërore.</w:t>
      </w:r>
      <w:r w:rsidR="005301AE" w:rsidRPr="00A6284F">
        <w:rPr>
          <w:rFonts w:eastAsia="Times New Roman"/>
          <w:color w:val="000000"/>
          <w:sz w:val="24"/>
          <w:lang w:val="sq-AL"/>
        </w:rPr>
        <w:t xml:space="preserve"> </w:t>
      </w:r>
      <w:r w:rsidRPr="00A6284F">
        <w:rPr>
          <w:rFonts w:eastAsia="Times New Roman"/>
          <w:color w:val="000000"/>
          <w:sz w:val="24"/>
          <w:lang w:val="sq-AL"/>
        </w:rPr>
        <w:t>Ndikimi i Ligjit mbi Investimet Strategjike, i miratuar në vitin 2017, nuk ka ndikuar dukshëm në investimet në vitin 2018, megjithëse 11 investitorë kanë aplikuar, me planet e investimeve për gjithsej 1.8 miliardë euro.</w:t>
      </w:r>
    </w:p>
    <w:p w:rsidR="00CE1051" w:rsidRPr="00A6284F" w:rsidRDefault="00CE1051" w:rsidP="00CE1051">
      <w:pPr>
        <w:spacing w:before="122" w:line="274" w:lineRule="exact"/>
        <w:ind w:left="144"/>
        <w:textAlignment w:val="baseline"/>
        <w:rPr>
          <w:rFonts w:eastAsia="Times New Roman"/>
          <w:i/>
          <w:color w:val="000000"/>
          <w:sz w:val="24"/>
          <w:lang w:val="sq-AL"/>
        </w:rPr>
      </w:pPr>
      <w:r w:rsidRPr="00A6284F">
        <w:rPr>
          <w:rFonts w:eastAsia="Times New Roman"/>
          <w:i/>
          <w:color w:val="000000"/>
          <w:sz w:val="24"/>
          <w:lang w:val="sq-AL"/>
        </w:rPr>
        <w:t>Privatizimi dhe ristrukturimi</w:t>
      </w:r>
    </w:p>
    <w:p w:rsidR="00CE1051" w:rsidRPr="00A6284F" w:rsidRDefault="00CE1051" w:rsidP="00CE1051">
      <w:pPr>
        <w:spacing w:before="118" w:line="276" w:lineRule="exact"/>
        <w:ind w:left="144"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Progresi në privatizim ka mbetur i ngadalshëm</w:t>
      </w:r>
      <w:r w:rsidR="005301AE" w:rsidRPr="00A6284F">
        <w:rPr>
          <w:rStyle w:val="FootnoteReference"/>
          <w:rFonts w:eastAsia="Times New Roman"/>
          <w:b/>
          <w:color w:val="000000"/>
          <w:spacing w:val="-1"/>
          <w:sz w:val="24"/>
          <w:lang w:val="sq-AL"/>
        </w:rPr>
        <w:footnoteReference w:id="8"/>
      </w:r>
      <w:r w:rsidRPr="00A6284F">
        <w:rPr>
          <w:rFonts w:eastAsia="Times New Roman"/>
          <w:b/>
          <w:color w:val="000000"/>
          <w:spacing w:val="-1"/>
          <w:sz w:val="24"/>
          <w:lang w:val="sq-AL"/>
        </w:rPr>
        <w:t>.</w:t>
      </w:r>
      <w:r w:rsidR="00357E67" w:rsidRPr="00A6284F">
        <w:rPr>
          <w:rFonts w:eastAsia="Times New Roman"/>
          <w:b/>
          <w:color w:val="000000"/>
          <w:spacing w:val="-1"/>
          <w:sz w:val="24"/>
          <w:lang w:val="sq-AL"/>
        </w:rPr>
        <w:t xml:space="preserve"> </w:t>
      </w:r>
      <w:r w:rsidRPr="00A6284F">
        <w:rPr>
          <w:rFonts w:eastAsia="Times New Roman"/>
          <w:color w:val="000000"/>
          <w:spacing w:val="-1"/>
          <w:sz w:val="24"/>
          <w:lang w:val="sq-AL"/>
        </w:rPr>
        <w:t>Ndërmarrjet në pronësi publike mbeten joefikase dhe nuk kanë transparencë në raportimin financiar dhe rekrutim</w:t>
      </w:r>
      <w:r w:rsidR="00357E67" w:rsidRPr="00A6284F">
        <w:rPr>
          <w:rFonts w:eastAsia="Times New Roman"/>
          <w:color w:val="000000"/>
          <w:spacing w:val="-1"/>
          <w:sz w:val="24"/>
          <w:lang w:val="sq-AL"/>
        </w:rPr>
        <w:t>et</w:t>
      </w:r>
      <w:r w:rsidRPr="00A6284F">
        <w:rPr>
          <w:rFonts w:eastAsia="Times New Roman"/>
          <w:color w:val="000000"/>
          <w:spacing w:val="-1"/>
          <w:sz w:val="24"/>
          <w:lang w:val="sq-AL"/>
        </w:rPr>
        <w:t xml:space="preserve"> e tyre.</w:t>
      </w:r>
      <w:r w:rsidR="00357E67"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Pas </w:t>
      </w:r>
      <w:r w:rsidR="00357E67" w:rsidRPr="00A6284F">
        <w:rPr>
          <w:rFonts w:eastAsia="Times New Roman"/>
          <w:color w:val="000000"/>
          <w:spacing w:val="-1"/>
          <w:sz w:val="24"/>
          <w:lang w:val="sq-AL"/>
        </w:rPr>
        <w:t xml:space="preserve">plotësimit </w:t>
      </w:r>
      <w:r w:rsidRPr="00A6284F">
        <w:rPr>
          <w:rFonts w:eastAsia="Times New Roman"/>
          <w:color w:val="000000"/>
          <w:spacing w:val="-1"/>
          <w:sz w:val="24"/>
          <w:lang w:val="sq-AL"/>
        </w:rPr>
        <w:t>të bordit të drejtorëve në mesin e vitit 2018, Agjencia Kosovare e Privatizimit realizoi gjashtë shitje të aseteve nga një total prej 400 të cilat janë në procesin e tenderimit.</w:t>
      </w:r>
      <w:r w:rsidR="005301AE" w:rsidRPr="00A6284F">
        <w:rPr>
          <w:rFonts w:eastAsia="Times New Roman"/>
          <w:color w:val="000000"/>
          <w:spacing w:val="-1"/>
          <w:sz w:val="24"/>
          <w:lang w:val="sq-AL"/>
        </w:rPr>
        <w:t xml:space="preserve"> </w:t>
      </w:r>
      <w:r w:rsidRPr="00A6284F">
        <w:rPr>
          <w:rFonts w:eastAsia="Times New Roman"/>
          <w:color w:val="000000"/>
          <w:spacing w:val="-1"/>
          <w:sz w:val="24"/>
          <w:lang w:val="sq-AL"/>
        </w:rPr>
        <w:t>Dymbëdhjetë asetet e ndërmarrjeve shtetërore janë vënë në likuidim në vitin 2018, gjë që është shumë e ulët për shkak të numrit të përgjithshëm të 511 ndërmarrjeve nën procedurën e likuidimit në vitet 2005-2018.Vendimi për të ngrirë privatizimin e tokës në pronësi shoqërore ka kontribuar në vonesat në procesin e privatizimit.</w:t>
      </w:r>
      <w:r w:rsidR="00D6428A" w:rsidRPr="00A6284F">
        <w:rPr>
          <w:rFonts w:eastAsia="Times New Roman"/>
          <w:color w:val="000000"/>
          <w:spacing w:val="-1"/>
          <w:sz w:val="24"/>
          <w:lang w:val="sq-AL"/>
        </w:rPr>
        <w:t xml:space="preserve"> </w:t>
      </w:r>
      <w:r w:rsidRPr="00A6284F">
        <w:rPr>
          <w:rFonts w:eastAsia="Times New Roman"/>
          <w:color w:val="000000"/>
          <w:spacing w:val="-1"/>
          <w:sz w:val="24"/>
          <w:lang w:val="sq-AL"/>
        </w:rPr>
        <w:t>Kompleksi minerar i Trepçës në pronësi shoqërore u transformua zyrtarisht dhe u regjistrua në një kompani aksionare në mars të vitit 2019.</w:t>
      </w:r>
      <w:r w:rsidR="00D6428A" w:rsidRPr="00A6284F">
        <w:rPr>
          <w:rFonts w:eastAsia="Times New Roman"/>
          <w:color w:val="000000"/>
          <w:spacing w:val="-1"/>
          <w:sz w:val="24"/>
          <w:lang w:val="sq-AL"/>
        </w:rPr>
        <w:t xml:space="preserve"> </w:t>
      </w:r>
      <w:r w:rsidRPr="00A6284F">
        <w:rPr>
          <w:rFonts w:eastAsia="Times New Roman"/>
          <w:color w:val="000000"/>
          <w:spacing w:val="-1"/>
          <w:sz w:val="24"/>
          <w:lang w:val="sq-AL"/>
        </w:rPr>
        <w:t>Hapat e mëtejshëm për të funksionalizuar këtë transformim do të kërkojnë koordinim</w:t>
      </w:r>
      <w:r w:rsidR="00D6428A" w:rsidRPr="00A6284F">
        <w:rPr>
          <w:rFonts w:eastAsia="Times New Roman"/>
          <w:color w:val="000000"/>
          <w:spacing w:val="-1"/>
          <w:sz w:val="24"/>
          <w:lang w:val="sq-AL"/>
        </w:rPr>
        <w:t>in</w:t>
      </w:r>
      <w:r w:rsidRPr="00A6284F">
        <w:rPr>
          <w:rFonts w:eastAsia="Times New Roman"/>
          <w:color w:val="000000"/>
          <w:spacing w:val="-1"/>
          <w:sz w:val="24"/>
          <w:lang w:val="sq-AL"/>
        </w:rPr>
        <w:t xml:space="preserve"> </w:t>
      </w:r>
      <w:r w:rsidR="00D6428A" w:rsidRPr="00A6284F">
        <w:rPr>
          <w:rFonts w:eastAsia="Times New Roman"/>
          <w:color w:val="000000"/>
          <w:spacing w:val="-1"/>
          <w:sz w:val="24"/>
          <w:lang w:val="sq-AL"/>
        </w:rPr>
        <w:t xml:space="preserve">e </w:t>
      </w:r>
      <w:r w:rsidRPr="00A6284F">
        <w:rPr>
          <w:rFonts w:eastAsia="Times New Roman"/>
          <w:color w:val="000000"/>
          <w:spacing w:val="-1"/>
          <w:sz w:val="24"/>
          <w:lang w:val="sq-AL"/>
        </w:rPr>
        <w:t xml:space="preserve">të gjithë akterëve të prekur, me synimin e përgjithshëm për të </w:t>
      </w:r>
      <w:proofErr w:type="spellStart"/>
      <w:r w:rsidRPr="00A6284F">
        <w:rPr>
          <w:rFonts w:eastAsia="Times New Roman"/>
          <w:color w:val="000000"/>
          <w:spacing w:val="-1"/>
          <w:sz w:val="24"/>
          <w:lang w:val="sq-AL"/>
        </w:rPr>
        <w:t>r</w:t>
      </w:r>
      <w:r w:rsidR="00417E15" w:rsidRPr="00A6284F">
        <w:rPr>
          <w:rFonts w:eastAsia="Times New Roman"/>
          <w:color w:val="000000"/>
          <w:spacing w:val="-1"/>
          <w:sz w:val="24"/>
          <w:lang w:val="sq-AL"/>
        </w:rPr>
        <w:t>e</w:t>
      </w:r>
      <w:r w:rsidRPr="00A6284F">
        <w:rPr>
          <w:rFonts w:eastAsia="Times New Roman"/>
          <w:color w:val="000000"/>
          <w:spacing w:val="-1"/>
          <w:sz w:val="24"/>
          <w:lang w:val="sq-AL"/>
        </w:rPr>
        <w:t>vitalizuar</w:t>
      </w:r>
      <w:proofErr w:type="spellEnd"/>
      <w:r w:rsidRPr="00A6284F">
        <w:rPr>
          <w:rFonts w:eastAsia="Times New Roman"/>
          <w:color w:val="000000"/>
          <w:spacing w:val="-1"/>
          <w:sz w:val="24"/>
          <w:lang w:val="sq-AL"/>
        </w:rPr>
        <w:t xml:space="preserve"> ndërmarrjen.</w:t>
      </w:r>
    </w:p>
    <w:p w:rsidR="00CE1051" w:rsidRPr="00A6284F" w:rsidRDefault="00CE1051" w:rsidP="00CE1051">
      <w:pPr>
        <w:spacing w:before="6" w:line="39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Funksionimi i tregut financiar</w:t>
      </w:r>
      <w:r w:rsidRPr="00A6284F">
        <w:rPr>
          <w:rFonts w:eastAsia="Times New Roman"/>
          <w:color w:val="000000"/>
          <w:sz w:val="24"/>
          <w:u w:val="single"/>
          <w:lang w:val="sq-AL"/>
        </w:rPr>
        <w:br/>
      </w:r>
      <w:r w:rsidRPr="00A6284F">
        <w:rPr>
          <w:rFonts w:eastAsia="Times New Roman"/>
          <w:i/>
          <w:color w:val="000000"/>
          <w:sz w:val="24"/>
          <w:lang w:val="sq-AL"/>
        </w:rPr>
        <w:t>Stabiliteti financiar</w:t>
      </w:r>
    </w:p>
    <w:p w:rsidR="00CE1051" w:rsidRPr="00A6284F" w:rsidRDefault="00CE1051" w:rsidP="00CE1051">
      <w:pPr>
        <w:spacing w:before="114" w:line="276" w:lineRule="exact"/>
        <w:ind w:left="144"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 xml:space="preserve">Sektori financiar </w:t>
      </w:r>
      <w:r w:rsidR="00D6428A" w:rsidRPr="00A6284F">
        <w:rPr>
          <w:rFonts w:eastAsia="Times New Roman"/>
          <w:b/>
          <w:color w:val="000000"/>
          <w:spacing w:val="1"/>
          <w:sz w:val="24"/>
          <w:lang w:val="sq-AL"/>
        </w:rPr>
        <w:t>ka vazhduar të jetë</w:t>
      </w:r>
      <w:r w:rsidRPr="00A6284F">
        <w:rPr>
          <w:rFonts w:eastAsia="Times New Roman"/>
          <w:b/>
          <w:color w:val="000000"/>
          <w:spacing w:val="1"/>
          <w:sz w:val="24"/>
          <w:lang w:val="sq-AL"/>
        </w:rPr>
        <w:t xml:space="preserve"> i qëndrueshëm,</w:t>
      </w:r>
      <w:r w:rsidR="00D6428A" w:rsidRPr="00A6284F">
        <w:rPr>
          <w:rFonts w:eastAsia="Times New Roman"/>
          <w:b/>
          <w:color w:val="000000"/>
          <w:spacing w:val="1"/>
          <w:sz w:val="24"/>
          <w:lang w:val="sq-AL"/>
        </w:rPr>
        <w:t xml:space="preserve"> me </w:t>
      </w:r>
      <w:proofErr w:type="spellStart"/>
      <w:r w:rsidRPr="00A6284F">
        <w:rPr>
          <w:rFonts w:eastAsia="Times New Roman"/>
          <w:b/>
          <w:color w:val="000000"/>
          <w:spacing w:val="1"/>
          <w:sz w:val="24"/>
          <w:lang w:val="sq-AL"/>
        </w:rPr>
        <w:t>kapitalizim</w:t>
      </w:r>
      <w:proofErr w:type="spellEnd"/>
      <w:r w:rsidRPr="00A6284F">
        <w:rPr>
          <w:rFonts w:eastAsia="Times New Roman"/>
          <w:b/>
          <w:color w:val="000000"/>
          <w:spacing w:val="1"/>
          <w:sz w:val="24"/>
          <w:lang w:val="sq-AL"/>
        </w:rPr>
        <w:t xml:space="preserve"> adekuat dhe mbulesa të konsiderueshme të likuiditetit.</w:t>
      </w:r>
      <w:r w:rsidR="00D6428A" w:rsidRPr="00A6284F">
        <w:rPr>
          <w:rFonts w:eastAsia="Times New Roman"/>
          <w:b/>
          <w:color w:val="000000"/>
          <w:spacing w:val="1"/>
          <w:sz w:val="24"/>
          <w:lang w:val="sq-AL"/>
        </w:rPr>
        <w:t xml:space="preserve"> </w:t>
      </w:r>
      <w:proofErr w:type="spellStart"/>
      <w:r w:rsidR="00D6428A" w:rsidRPr="00A6284F">
        <w:rPr>
          <w:rFonts w:eastAsia="Times New Roman"/>
          <w:b/>
          <w:color w:val="000000"/>
          <w:spacing w:val="1"/>
          <w:sz w:val="24"/>
          <w:lang w:val="sq-AL"/>
        </w:rPr>
        <w:t>P</w:t>
      </w:r>
      <w:r w:rsidRPr="00A6284F">
        <w:rPr>
          <w:rFonts w:eastAsia="Times New Roman"/>
          <w:color w:val="000000"/>
          <w:spacing w:val="1"/>
          <w:sz w:val="24"/>
          <w:lang w:val="sq-AL"/>
        </w:rPr>
        <w:t>rofitabilitetit</w:t>
      </w:r>
      <w:proofErr w:type="spellEnd"/>
      <w:r w:rsidRPr="00A6284F">
        <w:rPr>
          <w:rFonts w:eastAsia="Times New Roman"/>
          <w:color w:val="000000"/>
          <w:spacing w:val="1"/>
          <w:sz w:val="24"/>
          <w:lang w:val="sq-AL"/>
        </w:rPr>
        <w:t xml:space="preserve"> mbeti </w:t>
      </w:r>
      <w:r w:rsidR="00D6428A" w:rsidRPr="00A6284F">
        <w:rPr>
          <w:rFonts w:eastAsia="Times New Roman"/>
          <w:color w:val="000000"/>
          <w:spacing w:val="1"/>
          <w:sz w:val="24"/>
          <w:lang w:val="sq-AL"/>
        </w:rPr>
        <w:t>i</w:t>
      </w:r>
      <w:r w:rsidRPr="00A6284F">
        <w:rPr>
          <w:rFonts w:eastAsia="Times New Roman"/>
          <w:color w:val="000000"/>
          <w:spacing w:val="1"/>
          <w:sz w:val="24"/>
          <w:lang w:val="sq-AL"/>
        </w:rPr>
        <w:t xml:space="preserve"> lartë, </w:t>
      </w:r>
      <w:r w:rsidR="00D6428A" w:rsidRPr="00A6284F">
        <w:rPr>
          <w:rFonts w:eastAsia="Times New Roman"/>
          <w:color w:val="000000"/>
          <w:spacing w:val="1"/>
          <w:sz w:val="24"/>
          <w:lang w:val="sq-AL"/>
        </w:rPr>
        <w:t xml:space="preserve">ku mesatarja e </w:t>
      </w:r>
      <w:r w:rsidRPr="00A6284F">
        <w:rPr>
          <w:rFonts w:eastAsia="Times New Roman"/>
          <w:color w:val="000000"/>
          <w:spacing w:val="1"/>
          <w:sz w:val="24"/>
          <w:lang w:val="sq-AL"/>
        </w:rPr>
        <w:t xml:space="preserve">kthim </w:t>
      </w:r>
      <w:r w:rsidR="00D6428A"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kapitalit (deri në tetor të vitit 2018) </w:t>
      </w:r>
      <w:r w:rsidR="00D6428A" w:rsidRPr="00A6284F">
        <w:rPr>
          <w:rFonts w:eastAsia="Times New Roman"/>
          <w:color w:val="000000"/>
          <w:spacing w:val="1"/>
          <w:sz w:val="24"/>
          <w:lang w:val="sq-AL"/>
        </w:rPr>
        <w:t xml:space="preserve">ishte </w:t>
      </w:r>
      <w:r w:rsidRPr="00A6284F">
        <w:rPr>
          <w:rFonts w:eastAsia="Times New Roman"/>
          <w:color w:val="000000"/>
          <w:spacing w:val="1"/>
          <w:sz w:val="24"/>
          <w:lang w:val="sq-AL"/>
        </w:rPr>
        <w:t xml:space="preserve">18.8% për sektorin bankar, 18.7% për institucionet </w:t>
      </w:r>
      <w:proofErr w:type="spellStart"/>
      <w:r w:rsidRPr="00A6284F">
        <w:rPr>
          <w:rFonts w:eastAsia="Times New Roman"/>
          <w:color w:val="000000"/>
          <w:spacing w:val="1"/>
          <w:sz w:val="24"/>
          <w:lang w:val="sq-AL"/>
        </w:rPr>
        <w:t>mikro</w:t>
      </w:r>
      <w:proofErr w:type="spellEnd"/>
      <w:r w:rsidR="00D6428A" w:rsidRPr="00A6284F">
        <w:rPr>
          <w:rFonts w:eastAsia="Times New Roman"/>
          <w:color w:val="000000"/>
          <w:spacing w:val="1"/>
          <w:sz w:val="24"/>
          <w:lang w:val="sq-AL"/>
        </w:rPr>
        <w:t>-</w:t>
      </w:r>
      <w:r w:rsidRPr="00A6284F">
        <w:rPr>
          <w:rFonts w:eastAsia="Times New Roman"/>
          <w:color w:val="000000"/>
          <w:spacing w:val="1"/>
          <w:sz w:val="24"/>
          <w:lang w:val="sq-AL"/>
        </w:rPr>
        <w:t>financiare dhe 17% për ndërmarrjet e sigurimeve.</w:t>
      </w:r>
      <w:r w:rsidR="00D6428A"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Sektori bankar me kapital kryesisht në pronësi të huaj, i cili përbën 64.8% të aseteve të sistemit financiar, mbeti i </w:t>
      </w:r>
      <w:proofErr w:type="spellStart"/>
      <w:r w:rsidRPr="00A6284F">
        <w:rPr>
          <w:rFonts w:eastAsia="Times New Roman"/>
          <w:color w:val="000000"/>
          <w:spacing w:val="1"/>
          <w:sz w:val="24"/>
          <w:lang w:val="sq-AL"/>
        </w:rPr>
        <w:t>kapitalizuar</w:t>
      </w:r>
      <w:proofErr w:type="spellEnd"/>
      <w:r w:rsidRPr="00A6284F">
        <w:rPr>
          <w:rFonts w:eastAsia="Times New Roman"/>
          <w:color w:val="000000"/>
          <w:spacing w:val="1"/>
          <w:sz w:val="24"/>
          <w:lang w:val="sq-AL"/>
        </w:rPr>
        <w:t xml:space="preserve"> mirë dhe likuid, </w:t>
      </w:r>
      <w:r w:rsidR="00D6428A" w:rsidRPr="00A6284F">
        <w:rPr>
          <w:rFonts w:eastAsia="Times New Roman"/>
          <w:color w:val="000000"/>
          <w:spacing w:val="1"/>
          <w:sz w:val="24"/>
          <w:lang w:val="sq-AL"/>
        </w:rPr>
        <w:t xml:space="preserve">ku </w:t>
      </w:r>
      <w:r w:rsidRPr="00A6284F">
        <w:rPr>
          <w:rFonts w:eastAsia="Times New Roman"/>
          <w:color w:val="000000"/>
          <w:spacing w:val="1"/>
          <w:sz w:val="24"/>
          <w:lang w:val="sq-AL"/>
        </w:rPr>
        <w:t>kredi</w:t>
      </w:r>
      <w:r w:rsidR="00D6428A" w:rsidRPr="00A6284F">
        <w:rPr>
          <w:rFonts w:eastAsia="Times New Roman"/>
          <w:color w:val="000000"/>
          <w:spacing w:val="1"/>
          <w:sz w:val="24"/>
          <w:lang w:val="sq-AL"/>
        </w:rPr>
        <w:t>t</w:t>
      </w:r>
      <w:r w:rsidRPr="00A6284F">
        <w:rPr>
          <w:rFonts w:eastAsia="Times New Roman"/>
          <w:color w:val="000000"/>
          <w:spacing w:val="1"/>
          <w:sz w:val="24"/>
          <w:lang w:val="sq-AL"/>
        </w:rPr>
        <w:t xml:space="preserve"> jo-</w:t>
      </w:r>
      <w:proofErr w:type="spellStart"/>
      <w:r w:rsidR="00D6428A" w:rsidRPr="00A6284F">
        <w:rPr>
          <w:rFonts w:eastAsia="Times New Roman"/>
          <w:color w:val="000000"/>
          <w:spacing w:val="1"/>
          <w:sz w:val="24"/>
          <w:lang w:val="sq-AL"/>
        </w:rPr>
        <w:t>per</w:t>
      </w:r>
      <w:r w:rsidRPr="00A6284F">
        <w:rPr>
          <w:rFonts w:eastAsia="Times New Roman"/>
          <w:color w:val="000000"/>
          <w:spacing w:val="1"/>
          <w:sz w:val="24"/>
          <w:lang w:val="sq-AL"/>
        </w:rPr>
        <w:t>formuese</w:t>
      </w:r>
      <w:proofErr w:type="spellEnd"/>
      <w:r w:rsidR="00D6428A" w:rsidRPr="00A6284F">
        <w:rPr>
          <w:rFonts w:eastAsia="Times New Roman"/>
          <w:color w:val="000000"/>
          <w:spacing w:val="1"/>
          <w:sz w:val="24"/>
          <w:lang w:val="sq-AL"/>
        </w:rPr>
        <w:t xml:space="preserve"> përbënin </w:t>
      </w:r>
      <w:r w:rsidRPr="00A6284F">
        <w:rPr>
          <w:rFonts w:eastAsia="Times New Roman"/>
          <w:color w:val="000000"/>
          <w:spacing w:val="1"/>
          <w:sz w:val="24"/>
          <w:lang w:val="sq-AL"/>
        </w:rPr>
        <w:t xml:space="preserve">2.7% të totalit të kredive në fund të vitit 2018 (niveli më i ulët në rajon).Raporti i kapitalit rregullator të bankave ndaj aseteve të </w:t>
      </w:r>
      <w:proofErr w:type="spellStart"/>
      <w:r w:rsidRPr="00A6284F">
        <w:rPr>
          <w:rFonts w:eastAsia="Times New Roman"/>
          <w:color w:val="000000"/>
          <w:spacing w:val="1"/>
          <w:sz w:val="24"/>
          <w:lang w:val="sq-AL"/>
        </w:rPr>
        <w:t>ponderuara</w:t>
      </w:r>
      <w:proofErr w:type="spellEnd"/>
      <w:r w:rsidRPr="00A6284F">
        <w:rPr>
          <w:rFonts w:eastAsia="Times New Roman"/>
          <w:color w:val="000000"/>
          <w:spacing w:val="1"/>
          <w:sz w:val="24"/>
          <w:lang w:val="sq-AL"/>
        </w:rPr>
        <w:t xml:space="preserve"> me rrezik, rezultoi në 16.1% në tetor të vitit 2018, shumë m</w:t>
      </w:r>
      <w:r w:rsidR="006C7B32" w:rsidRPr="00A6284F">
        <w:rPr>
          <w:rFonts w:eastAsia="Times New Roman"/>
          <w:color w:val="000000"/>
          <w:spacing w:val="1"/>
          <w:sz w:val="24"/>
          <w:lang w:val="sq-AL"/>
        </w:rPr>
        <w:t>ë lart se minimumi rregullator prej</w:t>
      </w:r>
      <w:r w:rsidRPr="00A6284F">
        <w:rPr>
          <w:rFonts w:eastAsia="Times New Roman"/>
          <w:color w:val="000000"/>
          <w:spacing w:val="1"/>
          <w:sz w:val="24"/>
          <w:lang w:val="sq-AL"/>
        </w:rPr>
        <w:t xml:space="preserve"> 12%.</w:t>
      </w:r>
      <w:r w:rsidR="006C7B32"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Bankat vazhduan të financoheshin kryesisht nga depozitat, por raporti kredi-depozita u rrit në 83.9% në tetor të vitit 2018 nga 79% </w:t>
      </w:r>
      <w:r w:rsidR="006C7B32" w:rsidRPr="00A6284F">
        <w:rPr>
          <w:rFonts w:eastAsia="Times New Roman"/>
          <w:color w:val="000000"/>
          <w:spacing w:val="1"/>
          <w:sz w:val="24"/>
          <w:lang w:val="sq-AL"/>
        </w:rPr>
        <w:t xml:space="preserve">sa ishte </w:t>
      </w:r>
      <w:r w:rsidRPr="00A6284F">
        <w:rPr>
          <w:rFonts w:eastAsia="Times New Roman"/>
          <w:color w:val="000000"/>
          <w:spacing w:val="1"/>
          <w:sz w:val="24"/>
          <w:lang w:val="sq-AL"/>
        </w:rPr>
        <w:t>një vit më parë, pasi rritja e kredive tejkaloi rritjen e depozitave.</w:t>
      </w:r>
      <w:r w:rsidR="006C7B32"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Pavarësisht rritjes së aktivitetit, kompanitë e sigurimeve dhe </w:t>
      </w:r>
      <w:proofErr w:type="spellStart"/>
      <w:r w:rsidRPr="00A6284F">
        <w:rPr>
          <w:rFonts w:eastAsia="Times New Roman"/>
          <w:color w:val="000000"/>
          <w:spacing w:val="1"/>
          <w:sz w:val="24"/>
          <w:lang w:val="sq-AL"/>
        </w:rPr>
        <w:t>mikro</w:t>
      </w:r>
      <w:proofErr w:type="spellEnd"/>
      <w:r w:rsidRPr="00A6284F">
        <w:rPr>
          <w:rFonts w:eastAsia="Times New Roman"/>
          <w:color w:val="000000"/>
          <w:spacing w:val="1"/>
          <w:sz w:val="24"/>
          <w:lang w:val="sq-AL"/>
        </w:rPr>
        <w:t>-financave ende nuk përbëjnë më shumë se 7% të aseteve të sistemit financiar, por treguesit e stabilitetit financiar janë në nivel të kënaqshëm</w:t>
      </w:r>
      <w:r w:rsidR="006C7B32" w:rsidRPr="00A6284F">
        <w:rPr>
          <w:rStyle w:val="FootnoteReference"/>
          <w:rFonts w:eastAsia="Times New Roman"/>
          <w:color w:val="000000"/>
          <w:spacing w:val="1"/>
          <w:sz w:val="24"/>
          <w:lang w:val="sq-AL"/>
        </w:rPr>
        <w:footnoteReference w:id="9"/>
      </w:r>
      <w:r w:rsidRPr="00A6284F">
        <w:rPr>
          <w:rFonts w:eastAsia="Times New Roman"/>
          <w:color w:val="000000"/>
          <w:spacing w:val="1"/>
          <w:sz w:val="24"/>
          <w:lang w:val="sq-AL"/>
        </w:rPr>
        <w:t>.</w:t>
      </w:r>
    </w:p>
    <w:p w:rsidR="00CE1051" w:rsidRPr="00A6284F" w:rsidRDefault="00CE1051" w:rsidP="00CE1051">
      <w:pPr>
        <w:spacing w:before="128" w:line="274" w:lineRule="exact"/>
        <w:ind w:left="144"/>
        <w:textAlignment w:val="baseline"/>
        <w:rPr>
          <w:rFonts w:eastAsia="Times New Roman"/>
          <w:i/>
          <w:color w:val="000000"/>
          <w:sz w:val="24"/>
          <w:lang w:val="sq-AL"/>
        </w:rPr>
      </w:pPr>
      <w:r w:rsidRPr="00A6284F">
        <w:rPr>
          <w:rFonts w:eastAsia="Times New Roman"/>
          <w:i/>
          <w:color w:val="000000"/>
          <w:sz w:val="24"/>
          <w:lang w:val="sq-AL"/>
        </w:rPr>
        <w:t>Qasja në financa</w:t>
      </w:r>
    </w:p>
    <w:p w:rsidR="00CE1051" w:rsidRPr="00A6284F" w:rsidRDefault="00CE1051" w:rsidP="00CE1051">
      <w:pPr>
        <w:spacing w:before="120" w:after="360"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Huadhënia ka vazhduar të zgjerohet, por ndërmjetësimi financiar është ende në nivele të ulëta.</w:t>
      </w:r>
      <w:r w:rsidR="006C7B32" w:rsidRPr="00A6284F">
        <w:rPr>
          <w:rFonts w:eastAsia="Times New Roman"/>
          <w:b/>
          <w:color w:val="000000"/>
          <w:sz w:val="24"/>
          <w:lang w:val="sq-AL"/>
        </w:rPr>
        <w:t xml:space="preserve"> </w:t>
      </w:r>
      <w:r w:rsidRPr="00A6284F">
        <w:rPr>
          <w:rFonts w:eastAsia="Times New Roman"/>
          <w:color w:val="000000"/>
          <w:sz w:val="24"/>
          <w:lang w:val="sq-AL"/>
        </w:rPr>
        <w:t>Kredit</w:t>
      </w:r>
      <w:r w:rsidR="008147ED" w:rsidRPr="00A6284F">
        <w:rPr>
          <w:rFonts w:eastAsia="Times New Roman"/>
          <w:color w:val="000000"/>
          <w:sz w:val="24"/>
          <w:lang w:val="sq-AL"/>
        </w:rPr>
        <w:t>imi</w:t>
      </w:r>
      <w:r w:rsidRPr="00A6284F">
        <w:rPr>
          <w:rFonts w:eastAsia="Times New Roman"/>
          <w:color w:val="000000"/>
          <w:sz w:val="24"/>
          <w:lang w:val="sq-AL"/>
        </w:rPr>
        <w:t xml:space="preserve"> bankar u rrit me 11.6% në periudhën janar-tetor nga viti 2017, i lehtësuar nga normat e ulëta të interesit, standardet e </w:t>
      </w:r>
      <w:r w:rsidR="008147ED" w:rsidRPr="00A6284F">
        <w:rPr>
          <w:rFonts w:eastAsia="Times New Roman"/>
          <w:color w:val="000000"/>
          <w:sz w:val="24"/>
          <w:lang w:val="sq-AL"/>
        </w:rPr>
        <w:t xml:space="preserve">zbutura </w:t>
      </w:r>
      <w:r w:rsidRPr="00A6284F">
        <w:rPr>
          <w:rFonts w:eastAsia="Times New Roman"/>
          <w:color w:val="000000"/>
          <w:sz w:val="24"/>
          <w:lang w:val="sq-AL"/>
        </w:rPr>
        <w:t>kredi</w:t>
      </w:r>
      <w:r w:rsidR="008147ED" w:rsidRPr="00A6284F">
        <w:rPr>
          <w:rFonts w:eastAsia="Times New Roman"/>
          <w:color w:val="000000"/>
          <w:sz w:val="24"/>
          <w:lang w:val="sq-AL"/>
        </w:rPr>
        <w:t>tore</w:t>
      </w:r>
      <w:r w:rsidRPr="00A6284F">
        <w:rPr>
          <w:rFonts w:eastAsia="Times New Roman"/>
          <w:color w:val="000000"/>
          <w:sz w:val="24"/>
          <w:lang w:val="sq-AL"/>
        </w:rPr>
        <w:t xml:space="preserve">, garancitë e dhëna nga Fondi për Garantimin e Kredive për kreditimin e NVM-ve dhe forcimi </w:t>
      </w:r>
      <w:r w:rsidR="008147ED" w:rsidRPr="00A6284F">
        <w:rPr>
          <w:rFonts w:eastAsia="Times New Roman"/>
          <w:color w:val="000000"/>
          <w:sz w:val="24"/>
          <w:lang w:val="sq-AL"/>
        </w:rPr>
        <w:t>i</w:t>
      </w:r>
      <w:r w:rsidRPr="00A6284F">
        <w:rPr>
          <w:rFonts w:eastAsia="Times New Roman"/>
          <w:color w:val="000000"/>
          <w:sz w:val="24"/>
          <w:lang w:val="sq-AL"/>
        </w:rPr>
        <w:t xml:space="preserve"> zbatimit të kontratave. Kredia për firmat (11.8%) dhe familjet (11.3%) regjistruan norma të ngjashme të rritjes.</w:t>
      </w:r>
      <w:r w:rsidR="008147ED" w:rsidRPr="00A6284F">
        <w:rPr>
          <w:rFonts w:eastAsia="Times New Roman"/>
          <w:color w:val="000000"/>
          <w:sz w:val="24"/>
          <w:lang w:val="sq-AL"/>
        </w:rPr>
        <w:t xml:space="preserve"> </w:t>
      </w:r>
      <w:r w:rsidRPr="00A6284F">
        <w:rPr>
          <w:rFonts w:eastAsia="Times New Roman"/>
          <w:color w:val="000000"/>
          <w:sz w:val="24"/>
          <w:lang w:val="sq-AL"/>
        </w:rPr>
        <w:t>Përqindja mesatare e normave të interesit u ul në 5.2 pikë përqindje (</w:t>
      </w:r>
      <w:proofErr w:type="spellStart"/>
      <w:r w:rsidRPr="00A6284F">
        <w:rPr>
          <w:rFonts w:eastAsia="Times New Roman"/>
          <w:color w:val="000000"/>
          <w:sz w:val="24"/>
          <w:lang w:val="sq-AL"/>
        </w:rPr>
        <w:t>pps</w:t>
      </w:r>
      <w:proofErr w:type="spellEnd"/>
      <w:r w:rsidRPr="00A6284F">
        <w:rPr>
          <w:rFonts w:eastAsia="Times New Roman"/>
          <w:color w:val="000000"/>
          <w:sz w:val="24"/>
          <w:lang w:val="sq-AL"/>
        </w:rPr>
        <w:t xml:space="preserve">) në tetor të vitit 2018, nga 5.8 </w:t>
      </w:r>
      <w:proofErr w:type="spellStart"/>
      <w:r w:rsidRPr="00A6284F">
        <w:rPr>
          <w:rFonts w:eastAsia="Times New Roman"/>
          <w:color w:val="000000"/>
          <w:sz w:val="24"/>
          <w:lang w:val="sq-AL"/>
        </w:rPr>
        <w:t>pps</w:t>
      </w:r>
      <w:proofErr w:type="spellEnd"/>
      <w:r w:rsidRPr="00A6284F">
        <w:rPr>
          <w:rFonts w:eastAsia="Times New Roman"/>
          <w:color w:val="000000"/>
          <w:sz w:val="24"/>
          <w:lang w:val="sq-AL"/>
        </w:rPr>
        <w:t xml:space="preserve"> një vit më parë, duke treguar forcimin e konkurrencës për mundësitë e huadhënies.</w:t>
      </w:r>
      <w:r w:rsidR="00357E67" w:rsidRPr="00A6284F">
        <w:rPr>
          <w:rFonts w:eastAsia="Times New Roman"/>
          <w:color w:val="000000"/>
          <w:sz w:val="24"/>
          <w:lang w:val="sq-AL"/>
        </w:rPr>
        <w:t xml:space="preserve"> </w:t>
      </w:r>
      <w:r w:rsidR="008147ED" w:rsidRPr="00A6284F">
        <w:rPr>
          <w:rFonts w:eastAsia="Times New Roman"/>
          <w:color w:val="000000"/>
          <w:sz w:val="24"/>
          <w:lang w:val="sq-AL"/>
        </w:rPr>
        <w:t>Penetrimi</w:t>
      </w:r>
      <w:r w:rsidRPr="00A6284F">
        <w:rPr>
          <w:rFonts w:eastAsia="Times New Roman"/>
          <w:color w:val="000000"/>
          <w:sz w:val="24"/>
          <w:lang w:val="sq-AL"/>
        </w:rPr>
        <w:t xml:space="preserve"> kredi</w:t>
      </w:r>
      <w:r w:rsidR="008147ED" w:rsidRPr="00A6284F">
        <w:rPr>
          <w:rFonts w:eastAsia="Times New Roman"/>
          <w:color w:val="000000"/>
          <w:sz w:val="24"/>
          <w:lang w:val="sq-AL"/>
        </w:rPr>
        <w:t>tor</w:t>
      </w:r>
      <w:r w:rsidRPr="00A6284F">
        <w:rPr>
          <w:rFonts w:eastAsia="Times New Roman"/>
          <w:color w:val="000000"/>
          <w:sz w:val="24"/>
          <w:lang w:val="sq-AL"/>
        </w:rPr>
        <w:t xml:space="preserve"> </w:t>
      </w:r>
      <w:r w:rsidR="008147ED" w:rsidRPr="00A6284F">
        <w:rPr>
          <w:rFonts w:eastAsia="Times New Roman"/>
          <w:color w:val="000000"/>
          <w:sz w:val="24"/>
          <w:lang w:val="sq-AL"/>
        </w:rPr>
        <w:t>me</w:t>
      </w:r>
      <w:r w:rsidRPr="00A6284F">
        <w:rPr>
          <w:rFonts w:eastAsia="Times New Roman"/>
          <w:color w:val="000000"/>
          <w:sz w:val="24"/>
          <w:lang w:val="sq-AL"/>
        </w:rPr>
        <w:t xml:space="preserve"> rreth 40% të BPV-së, është i ulët </w:t>
      </w:r>
      <w:r w:rsidR="008147ED" w:rsidRPr="00A6284F">
        <w:rPr>
          <w:rFonts w:eastAsia="Times New Roman"/>
          <w:color w:val="000000"/>
          <w:sz w:val="24"/>
          <w:lang w:val="sq-AL"/>
        </w:rPr>
        <w:t>sipas</w:t>
      </w:r>
      <w:r w:rsidRPr="00A6284F">
        <w:rPr>
          <w:rFonts w:eastAsia="Times New Roman"/>
          <w:color w:val="000000"/>
          <w:sz w:val="24"/>
          <w:lang w:val="sq-AL"/>
        </w:rPr>
        <w:t xml:space="preserve"> standarde</w:t>
      </w:r>
      <w:r w:rsidR="008147ED" w:rsidRPr="00A6284F">
        <w:rPr>
          <w:rFonts w:eastAsia="Times New Roman"/>
          <w:color w:val="000000"/>
          <w:sz w:val="24"/>
          <w:lang w:val="sq-AL"/>
        </w:rPr>
        <w:t xml:space="preserve">ve të </w:t>
      </w:r>
      <w:r w:rsidRPr="00A6284F">
        <w:rPr>
          <w:rFonts w:eastAsia="Times New Roman"/>
          <w:color w:val="000000"/>
          <w:sz w:val="24"/>
          <w:lang w:val="sq-AL"/>
        </w:rPr>
        <w:t xml:space="preserve">Ballkanit Perëndimor dhe kanalizimi i kursimeve, duke përfshirë </w:t>
      </w:r>
      <w:proofErr w:type="spellStart"/>
      <w:r w:rsidRPr="00A6284F">
        <w:rPr>
          <w:rFonts w:eastAsia="Times New Roman"/>
          <w:color w:val="000000"/>
          <w:sz w:val="24"/>
          <w:lang w:val="sq-AL"/>
        </w:rPr>
        <w:t>remitancat</w:t>
      </w:r>
      <w:proofErr w:type="spellEnd"/>
      <w:r w:rsidRPr="00A6284F">
        <w:rPr>
          <w:rFonts w:eastAsia="Times New Roman"/>
          <w:color w:val="000000"/>
          <w:sz w:val="24"/>
          <w:lang w:val="sq-AL"/>
        </w:rPr>
        <w:t>, përmes sistemit financiar formal në investime produktive mbetet sfidë.</w:t>
      </w:r>
    </w:p>
    <w:p w:rsidR="006C7B32" w:rsidRPr="00A6284F" w:rsidRDefault="006C7B32" w:rsidP="00CE1051">
      <w:pPr>
        <w:spacing w:before="21" w:line="274" w:lineRule="exact"/>
        <w:ind w:left="144"/>
        <w:textAlignment w:val="baseline"/>
        <w:rPr>
          <w:rFonts w:eastAsia="Times New Roman"/>
          <w:color w:val="000000"/>
          <w:sz w:val="24"/>
          <w:u w:val="single"/>
          <w:lang w:val="sq-AL"/>
        </w:rPr>
      </w:pPr>
    </w:p>
    <w:p w:rsidR="006C7B32" w:rsidRPr="00A6284F" w:rsidRDefault="006C7B32" w:rsidP="00CE1051">
      <w:pPr>
        <w:spacing w:before="21" w:line="274" w:lineRule="exact"/>
        <w:ind w:left="144"/>
        <w:textAlignment w:val="baseline"/>
        <w:rPr>
          <w:rFonts w:eastAsia="Times New Roman"/>
          <w:color w:val="000000"/>
          <w:sz w:val="24"/>
          <w:u w:val="single"/>
          <w:lang w:val="sq-AL"/>
        </w:rPr>
      </w:pPr>
    </w:p>
    <w:p w:rsidR="00CE1051" w:rsidRPr="00A6284F" w:rsidRDefault="00CE1051" w:rsidP="00CE1051">
      <w:pPr>
        <w:spacing w:before="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lastRenderedPageBreak/>
        <w:t>Funksionimi i tregut të punës</w:t>
      </w:r>
    </w:p>
    <w:p w:rsidR="00CE1051" w:rsidRPr="00A6284F" w:rsidRDefault="00CE1051" w:rsidP="00CE1051">
      <w:pPr>
        <w:spacing w:before="125"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Megjithëse ka pasur rritje të fuqishme ekonomike që nga viti 2015, kushtet e tregut të punës mbeten të vështira.</w:t>
      </w:r>
      <w:r w:rsidR="006C7B32" w:rsidRPr="00A6284F">
        <w:rPr>
          <w:rFonts w:eastAsia="Times New Roman"/>
          <w:b/>
          <w:color w:val="000000"/>
          <w:sz w:val="24"/>
          <w:lang w:val="sq-AL"/>
        </w:rPr>
        <w:t xml:space="preserve"> </w:t>
      </w:r>
      <w:r w:rsidRPr="00A6284F">
        <w:rPr>
          <w:rFonts w:eastAsia="Times New Roman"/>
          <w:color w:val="000000"/>
          <w:sz w:val="24"/>
          <w:lang w:val="sq-AL"/>
        </w:rPr>
        <w:t>Sipas anketës së fuqisë punëtore (</w:t>
      </w:r>
      <w:r w:rsidR="00556892" w:rsidRPr="00A6284F">
        <w:rPr>
          <w:rFonts w:eastAsia="Times New Roman"/>
          <w:color w:val="000000"/>
          <w:sz w:val="24"/>
          <w:lang w:val="sq-AL"/>
        </w:rPr>
        <w:t>AFP</w:t>
      </w:r>
      <w:r w:rsidRPr="00A6284F">
        <w:rPr>
          <w:rFonts w:eastAsia="Times New Roman"/>
          <w:color w:val="000000"/>
          <w:sz w:val="24"/>
          <w:lang w:val="sq-AL"/>
        </w:rPr>
        <w:t xml:space="preserve">), pjesëmarrja e fuqisë punëtore ra në 40.9% në tremujorin e fundit të vitit 2018, nga 42.8% </w:t>
      </w:r>
      <w:r w:rsidR="00556892" w:rsidRPr="00A6284F">
        <w:rPr>
          <w:rFonts w:eastAsia="Times New Roman"/>
          <w:color w:val="000000"/>
          <w:sz w:val="24"/>
          <w:lang w:val="sq-AL"/>
        </w:rPr>
        <w:t xml:space="preserve">sa ishte </w:t>
      </w:r>
      <w:r w:rsidRPr="00A6284F">
        <w:rPr>
          <w:rFonts w:eastAsia="Times New Roman"/>
          <w:color w:val="000000"/>
          <w:sz w:val="24"/>
          <w:lang w:val="sq-AL"/>
        </w:rPr>
        <w:t>një vit më parë.</w:t>
      </w:r>
      <w:r w:rsidR="008147ED" w:rsidRPr="00A6284F">
        <w:rPr>
          <w:rFonts w:eastAsia="Times New Roman"/>
          <w:color w:val="000000"/>
          <w:sz w:val="24"/>
          <w:lang w:val="sq-AL"/>
        </w:rPr>
        <w:t xml:space="preserve"> </w:t>
      </w:r>
      <w:r w:rsidRPr="00A6284F">
        <w:rPr>
          <w:rFonts w:eastAsia="Times New Roman"/>
          <w:color w:val="000000"/>
          <w:sz w:val="24"/>
          <w:lang w:val="sq-AL"/>
        </w:rPr>
        <w:t>Shkalla e pjesëmarrjes së grave ishte 18.4%, me më shumë se një të tretën e grave ekonomikisht aktive (33.4%) të papuna.</w:t>
      </w:r>
      <w:r w:rsidR="008147ED" w:rsidRPr="00A6284F">
        <w:rPr>
          <w:rFonts w:eastAsia="Times New Roman"/>
          <w:color w:val="000000"/>
          <w:sz w:val="24"/>
          <w:lang w:val="sq-AL"/>
        </w:rPr>
        <w:t xml:space="preserve"> </w:t>
      </w:r>
      <w:r w:rsidRPr="00A6284F">
        <w:rPr>
          <w:rFonts w:eastAsia="Times New Roman"/>
          <w:color w:val="000000"/>
          <w:sz w:val="24"/>
          <w:lang w:val="sq-AL"/>
        </w:rPr>
        <w:t>Shkalla e përgjithshme e punësimit ishte 28.8%, krahasuar me 29.8% të një viti më parë.</w:t>
      </w:r>
      <w:r w:rsidR="008147ED" w:rsidRPr="00A6284F">
        <w:rPr>
          <w:rFonts w:eastAsia="Times New Roman"/>
          <w:color w:val="000000"/>
          <w:sz w:val="24"/>
          <w:lang w:val="sq-AL"/>
        </w:rPr>
        <w:t xml:space="preserve"> </w:t>
      </w:r>
      <w:r w:rsidRPr="00A6284F">
        <w:rPr>
          <w:rFonts w:eastAsia="Times New Roman"/>
          <w:color w:val="000000"/>
          <w:sz w:val="24"/>
          <w:lang w:val="sq-AL"/>
        </w:rPr>
        <w:t>Hendeku i gjerë midis niveleve të punësimit të meshkujve dhe femrave (45.3% dhe 12.3% respektivisht) ka vazhduar.</w:t>
      </w:r>
    </w:p>
    <w:p w:rsidR="00CE1051" w:rsidRPr="00A6284F" w:rsidRDefault="00AE58C8" w:rsidP="00CE1051">
      <w:pPr>
        <w:spacing w:before="122" w:line="276" w:lineRule="exact"/>
        <w:ind w:right="144"/>
        <w:jc w:val="both"/>
        <w:textAlignment w:val="baseline"/>
        <w:rPr>
          <w:rFonts w:eastAsia="Times New Roman"/>
          <w:color w:val="000000"/>
          <w:sz w:val="24"/>
          <w:lang w:val="sq-AL"/>
        </w:rPr>
      </w:pPr>
      <w:r w:rsidRPr="00A6284F">
        <w:rPr>
          <w:lang w:val="sq-AL"/>
        </w:rPr>
        <w:pict>
          <v:shape id="_x0000_s1138" type="#_x0000_t202" style="position:absolute;left:0;text-align:left;margin-left:63.75pt;margin-top:173.3pt;width:297.7pt;height:174.2pt;z-index:-251583488;mso-wrap-distance-left:0;mso-wrap-distance-right:0;mso-position-horizontal-relative:page;mso-position-vertical-relative:page" filled="f" stroked="f">
            <v:textbox inset="0,0,0,0">
              <w:txbxContent>
                <w:p w:rsidR="00F23D22" w:rsidRDefault="00F23D22" w:rsidP="00CE1051">
                  <w:pPr>
                    <w:spacing w:before="105"/>
                    <w:ind w:left="107" w:right="125"/>
                    <w:textAlignment w:val="baseline"/>
                  </w:pPr>
                  <w:r>
                    <w:rPr>
                      <w:noProof/>
                    </w:rPr>
                    <w:drawing>
                      <wp:inline distT="0" distB="0" distL="0" distR="0" wp14:anchorId="05E824A5" wp14:editId="35D28EC1">
                        <wp:extent cx="3633470" cy="214566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9"/>
                                <a:stretch>
                                  <a:fillRect/>
                                </a:stretch>
                              </pic:blipFill>
                              <pic:spPr>
                                <a:xfrm>
                                  <a:off x="0" y="0"/>
                                  <a:ext cx="3633470" cy="2145665"/>
                                </a:xfrm>
                                <a:prstGeom prst="rect">
                                  <a:avLst/>
                                </a:prstGeom>
                              </pic:spPr>
                            </pic:pic>
                          </a:graphicData>
                        </a:graphic>
                      </wp:inline>
                    </w:drawing>
                  </w:r>
                </w:p>
              </w:txbxContent>
            </v:textbox>
            <w10:wrap type="square" anchorx="page" anchory="page"/>
          </v:shape>
        </w:pict>
      </w:r>
      <w:r w:rsidR="00CE1051" w:rsidRPr="00A6284F">
        <w:rPr>
          <w:lang w:val="sq-AL"/>
        </w:rPr>
        <w:t xml:space="preserve"> </w:t>
      </w:r>
      <w:r w:rsidR="00CE1051" w:rsidRPr="00A6284F">
        <w:rPr>
          <w:rFonts w:eastAsia="Times New Roman"/>
          <w:color w:val="000000"/>
          <w:sz w:val="24"/>
          <w:lang w:val="sq-AL"/>
        </w:rPr>
        <w:t xml:space="preserve">Papunësia </w:t>
      </w:r>
      <w:r w:rsidR="00556892" w:rsidRPr="00A6284F">
        <w:rPr>
          <w:rFonts w:eastAsia="Times New Roman"/>
          <w:color w:val="000000"/>
          <w:sz w:val="24"/>
          <w:lang w:val="sq-AL"/>
        </w:rPr>
        <w:t xml:space="preserve">ka shënuar një rënie nga 30.5% </w:t>
      </w:r>
      <w:r w:rsidR="00CE1051" w:rsidRPr="00A6284F">
        <w:rPr>
          <w:rFonts w:eastAsia="Times New Roman"/>
          <w:color w:val="000000"/>
          <w:sz w:val="24"/>
          <w:lang w:val="sq-AL"/>
        </w:rPr>
        <w:t xml:space="preserve">në 29.6%. Papunësia vazhdimisht e lartë e të rinjve (55.4%) tregon për një </w:t>
      </w:r>
      <w:r w:rsidR="00556892" w:rsidRPr="00A6284F">
        <w:rPr>
          <w:rFonts w:eastAsia="Times New Roman"/>
          <w:color w:val="000000"/>
          <w:sz w:val="24"/>
          <w:lang w:val="sq-AL"/>
        </w:rPr>
        <w:t>mungesë të përafrimit</w:t>
      </w:r>
      <w:r w:rsidR="00CE1051" w:rsidRPr="00A6284F">
        <w:rPr>
          <w:rFonts w:eastAsia="Times New Roman"/>
          <w:color w:val="000000"/>
          <w:sz w:val="24"/>
          <w:lang w:val="sq-AL"/>
        </w:rPr>
        <w:t xml:space="preserve"> m</w:t>
      </w:r>
      <w:r w:rsidR="00556892" w:rsidRPr="00A6284F">
        <w:rPr>
          <w:rFonts w:eastAsia="Times New Roman"/>
          <w:color w:val="000000"/>
          <w:sz w:val="24"/>
          <w:lang w:val="sq-AL"/>
        </w:rPr>
        <w:t>e</w:t>
      </w:r>
      <w:r w:rsidR="00CE1051" w:rsidRPr="00A6284F">
        <w:rPr>
          <w:rFonts w:eastAsia="Times New Roman"/>
          <w:color w:val="000000"/>
          <w:sz w:val="24"/>
          <w:lang w:val="sq-AL"/>
        </w:rPr>
        <w:t>s rezultateve të arsimit dhe nevojave të tregut të punës.</w:t>
      </w:r>
      <w:r w:rsidR="008147ED" w:rsidRPr="00A6284F">
        <w:rPr>
          <w:rFonts w:eastAsia="Times New Roman"/>
          <w:color w:val="000000"/>
          <w:sz w:val="24"/>
          <w:lang w:val="sq-AL"/>
        </w:rPr>
        <w:t xml:space="preserve"> </w:t>
      </w:r>
      <w:r w:rsidR="00CE1051" w:rsidRPr="00A6284F">
        <w:rPr>
          <w:rFonts w:eastAsia="Times New Roman"/>
          <w:color w:val="000000"/>
          <w:sz w:val="24"/>
          <w:lang w:val="sq-AL"/>
        </w:rPr>
        <w:t>Largimi i kuadrove, sidomos e të rinjve të arsimuar, përbën gjithashtu një sfidë ekonomike afatmesme/afatgjatë.</w:t>
      </w:r>
      <w:r w:rsidR="00556892" w:rsidRPr="00A6284F">
        <w:rPr>
          <w:rFonts w:eastAsia="Times New Roman"/>
          <w:color w:val="000000"/>
          <w:sz w:val="24"/>
          <w:lang w:val="sq-AL"/>
        </w:rPr>
        <w:t xml:space="preserve"> </w:t>
      </w:r>
      <w:r w:rsidR="00CE1051" w:rsidRPr="00A6284F">
        <w:rPr>
          <w:rFonts w:eastAsia="Times New Roman"/>
          <w:color w:val="000000"/>
          <w:sz w:val="24"/>
          <w:lang w:val="sq-AL"/>
        </w:rPr>
        <w:t xml:space="preserve">Politikat aktive të tregut të punës, skemat e para-kualifikimit dhe programet e </w:t>
      </w:r>
      <w:r w:rsidR="00556892" w:rsidRPr="00A6284F">
        <w:rPr>
          <w:rFonts w:eastAsia="Times New Roman"/>
          <w:color w:val="000000"/>
          <w:sz w:val="24"/>
          <w:lang w:val="sq-AL"/>
        </w:rPr>
        <w:t xml:space="preserve">arsimit </w:t>
      </w:r>
      <w:r w:rsidR="00CE1051" w:rsidRPr="00A6284F">
        <w:rPr>
          <w:rFonts w:eastAsia="Times New Roman"/>
          <w:color w:val="000000"/>
          <w:sz w:val="24"/>
          <w:lang w:val="sq-AL"/>
        </w:rPr>
        <w:t>profesional mbeten të papërshtatshme.</w:t>
      </w:r>
    </w:p>
    <w:p w:rsidR="00CE1051" w:rsidRPr="00A6284F" w:rsidRDefault="00CE1051" w:rsidP="00CE1051">
      <w:pPr>
        <w:spacing w:before="128" w:line="275"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Përdorimi i përfitimeve sociale për grupe të caktuara të popullsisë nuk </w:t>
      </w:r>
      <w:r w:rsidR="00741EA9" w:rsidRPr="00A6284F">
        <w:rPr>
          <w:rFonts w:eastAsia="Times New Roman"/>
          <w:b/>
          <w:color w:val="000000"/>
          <w:sz w:val="24"/>
          <w:lang w:val="sq-AL"/>
        </w:rPr>
        <w:t>fokusohet</w:t>
      </w:r>
      <w:r w:rsidRPr="00A6284F">
        <w:rPr>
          <w:rFonts w:eastAsia="Times New Roman"/>
          <w:b/>
          <w:color w:val="000000"/>
          <w:sz w:val="24"/>
          <w:lang w:val="sq-AL"/>
        </w:rPr>
        <w:t xml:space="preserve"> në </w:t>
      </w:r>
      <w:r w:rsidR="00741EA9" w:rsidRPr="00A6284F">
        <w:rPr>
          <w:rFonts w:eastAsia="Times New Roman"/>
          <w:b/>
          <w:color w:val="000000"/>
          <w:sz w:val="24"/>
          <w:lang w:val="sq-AL"/>
        </w:rPr>
        <w:t xml:space="preserve">zvogëlimin </w:t>
      </w:r>
      <w:r w:rsidRPr="00A6284F">
        <w:rPr>
          <w:rFonts w:eastAsia="Times New Roman"/>
          <w:b/>
          <w:color w:val="000000"/>
          <w:sz w:val="24"/>
          <w:lang w:val="sq-AL"/>
        </w:rPr>
        <w:t xml:space="preserve">e varfërisë dhe krijon </w:t>
      </w:r>
      <w:proofErr w:type="spellStart"/>
      <w:r w:rsidRPr="00A6284F">
        <w:rPr>
          <w:rFonts w:eastAsia="Times New Roman"/>
          <w:b/>
          <w:color w:val="000000"/>
          <w:sz w:val="24"/>
          <w:lang w:val="sq-AL"/>
        </w:rPr>
        <w:t>dekurajim</w:t>
      </w:r>
      <w:proofErr w:type="spellEnd"/>
      <w:r w:rsidRPr="00A6284F">
        <w:rPr>
          <w:rFonts w:eastAsia="Times New Roman"/>
          <w:b/>
          <w:color w:val="000000"/>
          <w:sz w:val="24"/>
          <w:lang w:val="sq-AL"/>
        </w:rPr>
        <w:t xml:space="preserve"> për të punuar.</w:t>
      </w:r>
      <w:r w:rsidR="00741EA9" w:rsidRPr="00A6284F">
        <w:rPr>
          <w:rFonts w:eastAsia="Times New Roman"/>
          <w:b/>
          <w:color w:val="000000"/>
          <w:sz w:val="24"/>
          <w:lang w:val="sq-AL"/>
        </w:rPr>
        <w:t xml:space="preserve"> </w:t>
      </w:r>
      <w:r w:rsidRPr="00A6284F">
        <w:rPr>
          <w:rFonts w:eastAsia="Times New Roman"/>
          <w:color w:val="000000"/>
          <w:sz w:val="24"/>
          <w:lang w:val="sq-AL"/>
        </w:rPr>
        <w:t>Transferimet e</w:t>
      </w:r>
      <w:r w:rsidR="00741EA9" w:rsidRPr="00A6284F">
        <w:rPr>
          <w:rFonts w:eastAsia="Times New Roman"/>
          <w:color w:val="000000"/>
          <w:sz w:val="24"/>
          <w:lang w:val="sq-AL"/>
        </w:rPr>
        <w:t xml:space="preserve"> pa </w:t>
      </w:r>
      <w:proofErr w:type="spellStart"/>
      <w:r w:rsidR="00741EA9" w:rsidRPr="00A6284F">
        <w:rPr>
          <w:rFonts w:eastAsia="Times New Roman"/>
          <w:color w:val="000000"/>
          <w:sz w:val="24"/>
          <w:lang w:val="sq-AL"/>
        </w:rPr>
        <w:t>targetuara</w:t>
      </w:r>
      <w:proofErr w:type="spellEnd"/>
      <w:r w:rsidR="00741EA9" w:rsidRPr="00A6284F">
        <w:rPr>
          <w:rFonts w:eastAsia="Times New Roman"/>
          <w:color w:val="000000"/>
          <w:sz w:val="24"/>
          <w:lang w:val="sq-AL"/>
        </w:rPr>
        <w:t xml:space="preserve"> të </w:t>
      </w:r>
      <w:r w:rsidRPr="00A6284F">
        <w:rPr>
          <w:rFonts w:eastAsia="Times New Roman"/>
          <w:color w:val="000000"/>
          <w:sz w:val="24"/>
          <w:lang w:val="sq-AL"/>
        </w:rPr>
        <w:t xml:space="preserve"> veteranëve të luftës, jo vetëm që </w:t>
      </w:r>
      <w:r w:rsidR="00741EA9" w:rsidRPr="00A6284F">
        <w:rPr>
          <w:rFonts w:eastAsia="Times New Roman"/>
          <w:color w:val="000000"/>
          <w:sz w:val="24"/>
          <w:lang w:val="sq-AL"/>
        </w:rPr>
        <w:t xml:space="preserve">e </w:t>
      </w:r>
      <w:r w:rsidRPr="00A6284F">
        <w:rPr>
          <w:rFonts w:eastAsia="Times New Roman"/>
          <w:color w:val="000000"/>
          <w:sz w:val="24"/>
          <w:lang w:val="sq-AL"/>
        </w:rPr>
        <w:t xml:space="preserve">dëmtojnë stabilitetin dhe drejtësinë e sistemit të </w:t>
      </w:r>
      <w:r w:rsidR="00741EA9" w:rsidRPr="00A6284F">
        <w:rPr>
          <w:rFonts w:eastAsia="Times New Roman"/>
          <w:color w:val="000000"/>
          <w:sz w:val="24"/>
          <w:lang w:val="sq-AL"/>
        </w:rPr>
        <w:t xml:space="preserve">asistencave </w:t>
      </w:r>
      <w:r w:rsidRPr="00A6284F">
        <w:rPr>
          <w:rFonts w:eastAsia="Times New Roman"/>
          <w:color w:val="000000"/>
          <w:sz w:val="24"/>
          <w:lang w:val="sq-AL"/>
        </w:rPr>
        <w:t>sociale, por gjithashtu rrezikojnë të krijojnë efekt</w:t>
      </w:r>
      <w:r w:rsidR="00741EA9" w:rsidRPr="00A6284F">
        <w:rPr>
          <w:rFonts w:eastAsia="Times New Roman"/>
          <w:color w:val="000000"/>
          <w:sz w:val="24"/>
          <w:lang w:val="sq-AL"/>
        </w:rPr>
        <w:t xml:space="preserve">in e “topit të borës” ku </w:t>
      </w:r>
      <w:r w:rsidRPr="00A6284F">
        <w:rPr>
          <w:rFonts w:eastAsia="Times New Roman"/>
          <w:color w:val="000000"/>
          <w:sz w:val="24"/>
          <w:lang w:val="sq-AL"/>
        </w:rPr>
        <w:t xml:space="preserve">grupe të tjera specifike </w:t>
      </w:r>
      <w:r w:rsidR="00741EA9" w:rsidRPr="00A6284F">
        <w:rPr>
          <w:rFonts w:eastAsia="Times New Roman"/>
          <w:color w:val="000000"/>
          <w:sz w:val="24"/>
          <w:lang w:val="sq-AL"/>
        </w:rPr>
        <w:t xml:space="preserve">do </w:t>
      </w:r>
      <w:r w:rsidRPr="00A6284F">
        <w:rPr>
          <w:rFonts w:eastAsia="Times New Roman"/>
          <w:color w:val="000000"/>
          <w:sz w:val="24"/>
          <w:lang w:val="sq-AL"/>
        </w:rPr>
        <w:t xml:space="preserve">kërkojnë </w:t>
      </w:r>
      <w:r w:rsidR="00741EA9" w:rsidRPr="00A6284F">
        <w:rPr>
          <w:rFonts w:eastAsia="Times New Roman"/>
          <w:color w:val="000000"/>
          <w:sz w:val="24"/>
          <w:lang w:val="sq-AL"/>
        </w:rPr>
        <w:t xml:space="preserve">shtesa </w:t>
      </w:r>
      <w:r w:rsidRPr="00A6284F">
        <w:rPr>
          <w:rFonts w:eastAsia="Times New Roman"/>
          <w:color w:val="000000"/>
          <w:sz w:val="24"/>
          <w:lang w:val="sq-AL"/>
        </w:rPr>
        <w:t>të ngjashme, p.sh. shtesat plotësuese të pensioneve të miratuara kohët e fundit për mës</w:t>
      </w:r>
      <w:r w:rsidR="00741EA9" w:rsidRPr="00A6284F">
        <w:rPr>
          <w:rFonts w:eastAsia="Times New Roman"/>
          <w:color w:val="000000"/>
          <w:sz w:val="24"/>
          <w:lang w:val="sq-AL"/>
        </w:rPr>
        <w:t>imdhënësit</w:t>
      </w:r>
      <w:r w:rsidRPr="00A6284F">
        <w:rPr>
          <w:rFonts w:eastAsia="Times New Roman"/>
          <w:color w:val="000000"/>
          <w:sz w:val="24"/>
          <w:lang w:val="sq-AL"/>
        </w:rPr>
        <w:t>.</w:t>
      </w:r>
      <w:r w:rsidR="00741EA9" w:rsidRPr="00A6284F">
        <w:rPr>
          <w:rFonts w:eastAsia="Times New Roman"/>
          <w:color w:val="000000"/>
          <w:sz w:val="24"/>
          <w:lang w:val="sq-AL"/>
        </w:rPr>
        <w:t xml:space="preserve"> </w:t>
      </w:r>
      <w:r w:rsidRPr="00A6284F">
        <w:rPr>
          <w:rFonts w:eastAsia="Times New Roman"/>
          <w:color w:val="000000"/>
          <w:sz w:val="24"/>
          <w:lang w:val="sq-AL"/>
        </w:rPr>
        <w:t xml:space="preserve">Pagat relativisht të larta në sektorin publik, veçanërisht në ndërmarrjet publike, ndikojnë negativisht në </w:t>
      </w:r>
      <w:proofErr w:type="spellStart"/>
      <w:r w:rsidRPr="00A6284F">
        <w:rPr>
          <w:rFonts w:eastAsia="Times New Roman"/>
          <w:color w:val="000000"/>
          <w:sz w:val="24"/>
          <w:lang w:val="sq-AL"/>
        </w:rPr>
        <w:t>atraktivitetin</w:t>
      </w:r>
      <w:proofErr w:type="spellEnd"/>
      <w:r w:rsidRPr="00A6284F">
        <w:rPr>
          <w:rFonts w:eastAsia="Times New Roman"/>
          <w:color w:val="000000"/>
          <w:sz w:val="24"/>
          <w:lang w:val="sq-AL"/>
        </w:rPr>
        <w:t xml:space="preserve"> për të punuar në sektorin privat dhe përkeqësojnë hendekun e aftësive.</w:t>
      </w:r>
      <w:r w:rsidR="00741EA9" w:rsidRPr="00A6284F">
        <w:rPr>
          <w:rFonts w:eastAsia="Times New Roman"/>
          <w:color w:val="000000"/>
          <w:sz w:val="24"/>
          <w:lang w:val="sq-AL"/>
        </w:rPr>
        <w:t xml:space="preserve"> </w:t>
      </w:r>
      <w:r w:rsidRPr="00A6284F">
        <w:rPr>
          <w:rFonts w:eastAsia="Times New Roman"/>
          <w:color w:val="000000"/>
          <w:sz w:val="24"/>
          <w:lang w:val="sq-AL"/>
        </w:rPr>
        <w:t>Mungesa e institucioneve për kujdesin ndaj fëmijëve pengon punësimin e femrave.</w:t>
      </w:r>
    </w:p>
    <w:p w:rsidR="00CE1051" w:rsidRPr="00A6284F" w:rsidRDefault="00CE1051" w:rsidP="00CE1051">
      <w:pPr>
        <w:spacing w:before="127" w:after="111" w:line="275" w:lineRule="exact"/>
        <w:ind w:left="864" w:right="144" w:hanging="720"/>
        <w:jc w:val="both"/>
        <w:textAlignment w:val="baseline"/>
        <w:rPr>
          <w:rFonts w:eastAsia="Times New Roman"/>
          <w:b/>
          <w:color w:val="000000"/>
          <w:spacing w:val="3"/>
          <w:sz w:val="24"/>
          <w:lang w:val="sq-AL"/>
        </w:rPr>
      </w:pPr>
      <w:r w:rsidRPr="00A6284F">
        <w:rPr>
          <w:rFonts w:eastAsia="Times New Roman"/>
          <w:b/>
          <w:color w:val="000000"/>
          <w:spacing w:val="3"/>
          <w:sz w:val="24"/>
          <w:lang w:val="sq-AL"/>
        </w:rPr>
        <w:t>3.2. Kapaciteti për përballje me presionet konkurruese dhe forcat e tregut brenda Bashkimit Evropian</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451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C90B14">
            <w:pPr>
              <w:tabs>
                <w:tab w:val="right" w:pos="9216"/>
              </w:tabs>
              <w:spacing w:after="38" w:line="276" w:lineRule="exact"/>
              <w:jc w:val="both"/>
              <w:textAlignment w:val="baseline"/>
              <w:rPr>
                <w:rFonts w:eastAsia="Times New Roman"/>
                <w:color w:val="000000"/>
                <w:sz w:val="24"/>
                <w:lang w:val="sq-AL"/>
              </w:rPr>
            </w:pPr>
            <w:r w:rsidRPr="00A6284F">
              <w:rPr>
                <w:rFonts w:eastAsia="Times New Roman"/>
                <w:color w:val="000000"/>
                <w:sz w:val="24"/>
                <w:lang w:val="sq-AL"/>
              </w:rPr>
              <w:t>Kosova ka bërë pak progres dhe është në fazë të hershme në kuptimin e kapacitetit për t’u përballur me trysninë konkurruese dhe forcat e tregut brenda BE-së.</w:t>
            </w:r>
            <w:r w:rsidR="00061AED" w:rsidRPr="00A6284F">
              <w:rPr>
                <w:rFonts w:eastAsia="Times New Roman"/>
                <w:color w:val="000000"/>
                <w:sz w:val="24"/>
                <w:lang w:val="sq-AL"/>
              </w:rPr>
              <w:t xml:space="preserve"> </w:t>
            </w:r>
            <w:r w:rsidRPr="00A6284F">
              <w:rPr>
                <w:rFonts w:eastAsia="Times New Roman"/>
                <w:color w:val="000000"/>
                <w:sz w:val="24"/>
                <w:lang w:val="sq-AL"/>
              </w:rPr>
              <w:t>Kosova ka arritur pak përparim në përmirësimin e infrastrukturës rrugore, por mbeten hendeqe të mëdha infra</w:t>
            </w:r>
            <w:r w:rsidR="00061AED" w:rsidRPr="00A6284F">
              <w:rPr>
                <w:rFonts w:eastAsia="Times New Roman"/>
                <w:color w:val="000000"/>
                <w:sz w:val="24"/>
                <w:lang w:val="sq-AL"/>
              </w:rPr>
              <w:t>strukturore në sektorin e hekuru</w:t>
            </w:r>
            <w:r w:rsidRPr="00A6284F">
              <w:rPr>
                <w:rFonts w:eastAsia="Times New Roman"/>
                <w:color w:val="000000"/>
                <w:sz w:val="24"/>
                <w:lang w:val="sq-AL"/>
              </w:rPr>
              <w:t>dhave dhe atë të energjisë.</w:t>
            </w:r>
            <w:r w:rsidR="00061AED" w:rsidRPr="00A6284F">
              <w:rPr>
                <w:rFonts w:eastAsia="Times New Roman"/>
                <w:color w:val="000000"/>
                <w:sz w:val="24"/>
                <w:lang w:val="sq-AL"/>
              </w:rPr>
              <w:t xml:space="preserve"> </w:t>
            </w:r>
            <w:r w:rsidRPr="00A6284F">
              <w:rPr>
                <w:rFonts w:eastAsia="Times New Roman"/>
                <w:color w:val="000000"/>
                <w:sz w:val="24"/>
                <w:lang w:val="sq-AL"/>
              </w:rPr>
              <w:t>Progres i vogël është bërë në sigurimin e furnizimit të qëndrueshëm të energjisë dhe humbjet në sektorin e energjisë elektrike mbeten shumë të larta. Kosova bëri pak progres sa i përket digjitalizimit të ekonomisë.</w:t>
            </w:r>
            <w:r w:rsidR="001D57ED" w:rsidRPr="00A6284F">
              <w:rPr>
                <w:rFonts w:eastAsia="Times New Roman"/>
                <w:color w:val="000000"/>
                <w:sz w:val="24"/>
                <w:lang w:val="sq-AL"/>
              </w:rPr>
              <w:t xml:space="preserve"> </w:t>
            </w:r>
            <w:r w:rsidRPr="00A6284F">
              <w:rPr>
                <w:rFonts w:eastAsia="Times New Roman"/>
                <w:color w:val="000000"/>
                <w:sz w:val="24"/>
                <w:lang w:val="sq-AL"/>
              </w:rPr>
              <w:t>Pak progres është bërë në përmirësimin e cilësisë së arsimit dhe trajtimin e hendeqeve të aftësive në tregun e</w:t>
            </w:r>
            <w:r w:rsidR="00061AED" w:rsidRPr="00A6284F">
              <w:rPr>
                <w:rFonts w:eastAsia="Times New Roman"/>
                <w:color w:val="000000"/>
                <w:sz w:val="24"/>
                <w:lang w:val="sq-AL"/>
              </w:rPr>
              <w:t xml:space="preserve"> punës. Ndryshimet strukturore janë</w:t>
            </w:r>
            <w:r w:rsidRPr="00A6284F">
              <w:rPr>
                <w:rFonts w:eastAsia="Times New Roman"/>
                <w:color w:val="000000"/>
                <w:sz w:val="24"/>
                <w:lang w:val="sq-AL"/>
              </w:rPr>
              <w:t xml:space="preserve"> </w:t>
            </w:r>
            <w:r w:rsidR="00061AED" w:rsidRPr="00A6284F">
              <w:rPr>
                <w:rFonts w:eastAsia="Times New Roman"/>
                <w:color w:val="000000"/>
                <w:sz w:val="24"/>
                <w:lang w:val="sq-AL"/>
              </w:rPr>
              <w:t>të ngadalshme</w:t>
            </w:r>
            <w:r w:rsidRPr="00A6284F">
              <w:rPr>
                <w:rFonts w:eastAsia="Times New Roman"/>
                <w:color w:val="000000"/>
                <w:sz w:val="24"/>
                <w:lang w:val="sq-AL"/>
              </w:rPr>
              <w:t xml:space="preserve"> dhe ekonomia mbetet shumë e varur nga sektori i tregtisë së brendshme.</w:t>
            </w:r>
            <w:r w:rsidR="00741EA9" w:rsidRPr="00A6284F">
              <w:rPr>
                <w:rFonts w:eastAsia="Times New Roman"/>
                <w:color w:val="000000"/>
                <w:sz w:val="24"/>
                <w:lang w:val="sq-AL"/>
              </w:rPr>
              <w:t xml:space="preserve"> </w:t>
            </w:r>
            <w:r w:rsidRPr="00A6284F">
              <w:rPr>
                <w:rFonts w:eastAsia="Times New Roman"/>
                <w:color w:val="000000"/>
                <w:sz w:val="24"/>
                <w:lang w:val="sq-AL"/>
              </w:rPr>
              <w:t xml:space="preserve">Rritja e eksporteve është nxitur kryesisht nga eksportet e shërbimeve në diasporë, ndërsa mungesa e </w:t>
            </w:r>
            <w:proofErr w:type="spellStart"/>
            <w:r w:rsidRPr="00A6284F">
              <w:rPr>
                <w:rFonts w:eastAsia="Times New Roman"/>
                <w:color w:val="000000"/>
                <w:sz w:val="24"/>
                <w:lang w:val="sq-AL"/>
              </w:rPr>
              <w:t>diversifikimit</w:t>
            </w:r>
            <w:proofErr w:type="spellEnd"/>
            <w:r w:rsidRPr="00A6284F">
              <w:rPr>
                <w:rFonts w:eastAsia="Times New Roman"/>
                <w:color w:val="000000"/>
                <w:sz w:val="24"/>
                <w:lang w:val="sq-AL"/>
              </w:rPr>
              <w:t xml:space="preserve"> të produkteve pengon rritjen e eksporteve të mallrave.</w:t>
            </w:r>
          </w:p>
          <w:p w:rsidR="00061AED" w:rsidRPr="00A6284F" w:rsidRDefault="00CE1051" w:rsidP="000A4761">
            <w:pPr>
              <w:spacing w:line="408" w:lineRule="exact"/>
              <w:ind w:left="144" w:right="576"/>
              <w:textAlignment w:val="baseline"/>
              <w:rPr>
                <w:rFonts w:eastAsia="Times New Roman"/>
                <w:color w:val="000000"/>
                <w:sz w:val="24"/>
                <w:szCs w:val="24"/>
                <w:lang w:val="sq-AL"/>
              </w:rPr>
            </w:pPr>
            <w:r w:rsidRPr="00A6284F">
              <w:rPr>
                <w:rFonts w:eastAsia="Times New Roman"/>
                <w:color w:val="000000"/>
                <w:sz w:val="24"/>
                <w:szCs w:val="24"/>
                <w:lang w:val="sq-AL"/>
              </w:rPr>
              <w:t xml:space="preserve">Për të përmirësuar </w:t>
            </w:r>
            <w:proofErr w:type="spellStart"/>
            <w:r w:rsidRPr="00A6284F">
              <w:rPr>
                <w:rFonts w:eastAsia="Times New Roman"/>
                <w:color w:val="000000"/>
                <w:sz w:val="24"/>
                <w:szCs w:val="24"/>
                <w:lang w:val="sq-AL"/>
              </w:rPr>
              <w:t>konkurrueshmërinë</w:t>
            </w:r>
            <w:proofErr w:type="spellEnd"/>
            <w:r w:rsidRPr="00A6284F">
              <w:rPr>
                <w:rFonts w:eastAsia="Times New Roman"/>
                <w:color w:val="000000"/>
                <w:sz w:val="24"/>
                <w:szCs w:val="24"/>
                <w:lang w:val="sq-AL"/>
              </w:rPr>
              <w:t xml:space="preserve"> dhe rritjen afatgjate, Kosova duhet në veçanti të:</w:t>
            </w:r>
          </w:p>
          <w:p w:rsidR="00CE1051" w:rsidRPr="00A6284F" w:rsidRDefault="00CE1051" w:rsidP="000A4761">
            <w:pPr>
              <w:spacing w:line="408" w:lineRule="exact"/>
              <w:ind w:left="144" w:right="576"/>
              <w:textAlignment w:val="baseline"/>
              <w:rPr>
                <w:rFonts w:eastAsia="Times New Roman"/>
                <w:color w:val="000000"/>
                <w:sz w:val="24"/>
                <w:szCs w:val="24"/>
                <w:lang w:val="sq-AL"/>
              </w:rPr>
            </w:pPr>
            <w:r w:rsidRPr="00A6284F">
              <w:rPr>
                <w:rFonts w:ascii="Arial Narrow" w:eastAsia="Arial Narrow" w:hAnsi="Arial Narrow"/>
                <w:color w:val="000000"/>
                <w:sz w:val="24"/>
                <w:szCs w:val="24"/>
                <w:lang w:val="sq-AL"/>
              </w:rPr>
              <w:t xml:space="preserve">-* </w:t>
            </w:r>
            <w:r w:rsidRPr="00A6284F">
              <w:rPr>
                <w:rFonts w:eastAsia="Times New Roman"/>
                <w:color w:val="000000"/>
                <w:sz w:val="24"/>
                <w:szCs w:val="24"/>
                <w:lang w:val="sq-AL"/>
              </w:rPr>
              <w:t>rrisë ofrimin e arsimit dhe aftësimit profesional për profesionet që kërkohet;</w:t>
            </w:r>
          </w:p>
          <w:p w:rsidR="00CE1051" w:rsidRPr="00A6284F" w:rsidRDefault="00CE1051" w:rsidP="000A4761">
            <w:pPr>
              <w:spacing w:line="408" w:lineRule="exact"/>
              <w:ind w:left="144" w:right="576"/>
              <w:textAlignment w:val="baseline"/>
              <w:rPr>
                <w:rFonts w:eastAsia="Times New Roman"/>
                <w:color w:val="000000"/>
                <w:sz w:val="24"/>
                <w:szCs w:val="24"/>
                <w:lang w:val="sq-AL"/>
              </w:rPr>
            </w:pPr>
            <w:r w:rsidRPr="00A6284F">
              <w:rPr>
                <w:rFonts w:ascii="Arial Narrow" w:eastAsia="Arial Narrow" w:hAnsi="Arial Narrow"/>
                <w:color w:val="000000"/>
                <w:sz w:val="24"/>
                <w:szCs w:val="24"/>
                <w:lang w:val="sq-AL"/>
              </w:rPr>
              <w:t xml:space="preserve">-* </w:t>
            </w:r>
            <w:r w:rsidRPr="00A6284F">
              <w:rPr>
                <w:rFonts w:eastAsia="Times New Roman"/>
                <w:color w:val="000000"/>
                <w:sz w:val="24"/>
                <w:szCs w:val="24"/>
                <w:lang w:val="sq-AL"/>
              </w:rPr>
              <w:t>përmirësojë stimujt e efikasitetit të energjisë për firmat dhe familjet;</w:t>
            </w:r>
          </w:p>
          <w:p w:rsidR="00CE1051" w:rsidRPr="00A6284F" w:rsidRDefault="00CE1051" w:rsidP="000A4761">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0"/>
                <w:szCs w:val="20"/>
                <w:lang w:val="sq-AL"/>
              </w:rPr>
              <w:t xml:space="preserve">krijojë skemat e mbështetjes për projektet e energjisë së </w:t>
            </w:r>
            <w:proofErr w:type="spellStart"/>
            <w:r w:rsidRPr="00A6284F">
              <w:rPr>
                <w:rFonts w:eastAsia="Times New Roman"/>
                <w:color w:val="000000"/>
                <w:sz w:val="20"/>
                <w:szCs w:val="20"/>
                <w:lang w:val="sq-AL"/>
              </w:rPr>
              <w:t>rinovueshme</w:t>
            </w:r>
            <w:proofErr w:type="spellEnd"/>
            <w:r w:rsidRPr="00A6284F">
              <w:rPr>
                <w:rFonts w:eastAsia="Times New Roman"/>
                <w:color w:val="000000"/>
                <w:sz w:val="20"/>
                <w:szCs w:val="20"/>
                <w:lang w:val="sq-AL"/>
              </w:rPr>
              <w:t xml:space="preserve"> me kosto më të efektshme, duke paraqitur oferta konkurruese për mbështetje të </w:t>
            </w:r>
            <w:proofErr w:type="spellStart"/>
            <w:r w:rsidRPr="00A6284F">
              <w:rPr>
                <w:rFonts w:eastAsia="Times New Roman"/>
                <w:color w:val="000000"/>
                <w:sz w:val="20"/>
                <w:szCs w:val="20"/>
                <w:lang w:val="sq-AL"/>
              </w:rPr>
              <w:t>rinovueshme</w:t>
            </w:r>
            <w:proofErr w:type="spellEnd"/>
            <w:r w:rsidRPr="00A6284F">
              <w:rPr>
                <w:rFonts w:eastAsia="Times New Roman"/>
                <w:color w:val="000000"/>
                <w:sz w:val="20"/>
                <w:szCs w:val="20"/>
                <w:lang w:val="sq-AL"/>
              </w:rPr>
              <w:t>;</w:t>
            </w:r>
          </w:p>
        </w:tc>
      </w:tr>
    </w:tbl>
    <w:p w:rsidR="00CE1051" w:rsidRPr="00A6284F" w:rsidRDefault="00CE1051" w:rsidP="00CE1051">
      <w:pPr>
        <w:rPr>
          <w:lang w:val="sq-AL"/>
        </w:rPr>
        <w:sectPr w:rsidR="00CE1051" w:rsidRPr="00A6284F">
          <w:pgSz w:w="11909" w:h="16838"/>
          <w:pgMar w:top="1400" w:right="1274" w:bottom="562" w:left="1275" w:header="720" w:footer="720" w:gutter="0"/>
          <w:cols w:space="720"/>
        </w:sectPr>
      </w:pPr>
    </w:p>
    <w:p w:rsidR="00CE1051" w:rsidRPr="00A6284F" w:rsidRDefault="00CE1051" w:rsidP="00CE1051">
      <w:pPr>
        <w:pBdr>
          <w:top w:val="single" w:sz="5" w:space="2" w:color="000000"/>
          <w:left w:val="single" w:sz="5" w:space="7" w:color="000000"/>
          <w:bottom w:val="single" w:sz="5" w:space="0" w:color="000000"/>
          <w:right w:val="single" w:sz="5" w:space="7" w:color="000000"/>
        </w:pBdr>
        <w:shd w:val="solid" w:color="D9D9D9" w:fill="D9D9D9"/>
        <w:spacing w:after="122" w:line="276" w:lineRule="exact"/>
        <w:ind w:left="504" w:right="144" w:hanging="360"/>
        <w:textAlignment w:val="baseline"/>
        <w:rPr>
          <w:rFonts w:ascii="Segoe UI Symbol" w:eastAsia="Segoe UI Symbol" w:hAnsi="Segoe UI Symbol"/>
          <w:color w:val="000000"/>
          <w:lang w:val="sq-AL"/>
        </w:rPr>
      </w:pPr>
      <w:r w:rsidRPr="00A6284F">
        <w:rPr>
          <w:rFonts w:ascii="Segoe UI Symbol" w:eastAsia="Segoe UI Symbol" w:hAnsi="Segoe UI Symbol"/>
          <w:color w:val="000000"/>
          <w:lang w:val="sq-AL"/>
        </w:rPr>
        <w:lastRenderedPageBreak/>
        <w:t>—*</w:t>
      </w:r>
      <w:r w:rsidRPr="00A6284F">
        <w:rPr>
          <w:rFonts w:eastAsia="Times New Roman"/>
          <w:color w:val="000000"/>
          <w:sz w:val="24"/>
          <w:lang w:val="sq-AL"/>
        </w:rPr>
        <w:t>sigurojë zbatimin e Strategjisë së re dhe Planit të Veprimit 2019-2023 për të luftuar ekonominë joformale në përputhje me afatet kohore të përcaktuara.</w:t>
      </w:r>
    </w:p>
    <w:p w:rsidR="00CE1051" w:rsidRPr="00A6284F" w:rsidRDefault="00CE1051" w:rsidP="00CE1051">
      <w:pPr>
        <w:spacing w:before="3"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Arsimi dhe inovacioni</w:t>
      </w:r>
    </w:p>
    <w:p w:rsidR="00CE1051" w:rsidRPr="00A6284F" w:rsidRDefault="00CE1051" w:rsidP="00CE1051">
      <w:pPr>
        <w:spacing w:before="114"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Sistemi arsimor nuk i përgjigjet mjaftueshëm nevojave të tregut të punës. </w:t>
      </w:r>
      <w:r w:rsidRPr="00A6284F">
        <w:rPr>
          <w:rFonts w:eastAsia="Times New Roman"/>
          <w:color w:val="000000"/>
          <w:sz w:val="24"/>
          <w:lang w:val="sq-AL"/>
        </w:rPr>
        <w:t>Përderisa shpenzimet publike të Kosovës për arsimin (4.7% të BPV në vitin 2017) janë në përgjithësi në përputhje me vendet me të ardhura mesatare me profile moshe të ngjashme, shpenzimet për nxënës në arsimin fillor dhe të mesëm janë relativisht të ulëta për shkak të përqindjes së madhe të nxënësve (dyfishi i mesatares së BE) dhe domin</w:t>
      </w:r>
      <w:r w:rsidR="00ED6306" w:rsidRPr="00A6284F">
        <w:rPr>
          <w:rFonts w:eastAsia="Times New Roman"/>
          <w:color w:val="000000"/>
          <w:sz w:val="24"/>
          <w:lang w:val="sq-AL"/>
        </w:rPr>
        <w:t xml:space="preserve">ohen </w:t>
      </w:r>
      <w:r w:rsidRPr="00A6284F">
        <w:rPr>
          <w:rFonts w:eastAsia="Times New Roman"/>
          <w:color w:val="000000"/>
          <w:sz w:val="24"/>
          <w:lang w:val="sq-AL"/>
        </w:rPr>
        <w:t>nga pagat për mësuesit. Normat e regjistrimit në arsimin fillor (96%) dhe të mesëm (88.1%) janë të larta, por rezultatet e ulëta të PISA</w:t>
      </w:r>
      <w:r w:rsidRPr="00A6284F">
        <w:rPr>
          <w:rStyle w:val="FootnoteReference"/>
          <w:rFonts w:eastAsia="Times New Roman"/>
          <w:color w:val="000000"/>
          <w:sz w:val="24"/>
          <w:lang w:val="sq-AL"/>
        </w:rPr>
        <w:footnoteReference w:id="10"/>
      </w:r>
      <w:r w:rsidRPr="00A6284F">
        <w:rPr>
          <w:rFonts w:eastAsia="Times New Roman"/>
          <w:color w:val="000000"/>
          <w:sz w:val="24"/>
          <w:lang w:val="sq-AL"/>
        </w:rPr>
        <w:t>dhe papunësia relativisht e lartë në mesin e të diplomuarve të arsimit të lartë (19.2% në TM2-2018) krahasuar me BE tregojnë cilësinë dhe rëndësinë e dobët të arsimit. Puna në reformën e arsimit profesional është ende në një fazë të hershme, duke u fokusuar kryesisht në analizimin e situatës aktuale në shkollat e arsimit dhe aftësimit profesional (AAP).</w:t>
      </w:r>
    </w:p>
    <w:p w:rsidR="00CE1051" w:rsidRPr="00A6284F" w:rsidRDefault="00ED6306" w:rsidP="00CE1051">
      <w:pPr>
        <w:spacing w:before="122"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Shpenzimet në hulumtime praktikisht nuk ekzistojnë fare</w:t>
      </w:r>
      <w:r w:rsidR="00CE1051" w:rsidRPr="00A6284F">
        <w:rPr>
          <w:rFonts w:eastAsia="Times New Roman"/>
          <w:color w:val="000000"/>
          <w:sz w:val="24"/>
          <w:lang w:val="sq-AL"/>
        </w:rPr>
        <w:t xml:space="preserve">, duke përfaqësuar </w:t>
      </w:r>
      <w:r w:rsidRPr="00A6284F">
        <w:rPr>
          <w:rFonts w:eastAsia="Times New Roman"/>
          <w:color w:val="000000"/>
          <w:sz w:val="24"/>
          <w:lang w:val="sq-AL"/>
        </w:rPr>
        <w:t xml:space="preserve">aktualisht </w:t>
      </w:r>
      <w:r w:rsidR="00CE1051" w:rsidRPr="00A6284F">
        <w:rPr>
          <w:rFonts w:eastAsia="Times New Roman"/>
          <w:color w:val="000000"/>
          <w:sz w:val="24"/>
          <w:lang w:val="sq-AL"/>
        </w:rPr>
        <w:t>vetëm 0.1% të BPV. Një Ministri e re e Inovacionit u krijua në vitin 2018 dhe 1.1 milion euro u ndanë për laboratorë dhe pajisje specifike në dy qendra rajonale të inovacionit.</w:t>
      </w:r>
    </w:p>
    <w:p w:rsidR="00CE1051" w:rsidRPr="00A6284F" w:rsidRDefault="00CE1051" w:rsidP="00CE1051">
      <w:pPr>
        <w:spacing w:before="1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Kapitali fizik dhe cilësia e infrastrukturës</w:t>
      </w:r>
    </w:p>
    <w:p w:rsidR="00CE1051" w:rsidRPr="00A6284F" w:rsidRDefault="00CE1051" w:rsidP="00CE1051">
      <w:pPr>
        <w:spacing w:before="121"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Kosova ka shënuar progres në investimet e infrastrukturës rrugore publike. </w:t>
      </w:r>
      <w:r w:rsidRPr="00A6284F">
        <w:rPr>
          <w:rFonts w:eastAsia="Times New Roman"/>
          <w:color w:val="000000"/>
          <w:sz w:val="24"/>
          <w:lang w:val="sq-AL"/>
        </w:rPr>
        <w:t xml:space="preserve">Këtu përfshihet autostrada për në Pejë, ndërtimi i vazhdueshëm i një pjese të korridorit 6 dhe puna përgatitore në korridorin 7. Megjithatë, sistemi i transportit ende përballet me një sërë sfidash, siç janë mirëmbajtja joadekuate e rrugëve, gjendja e dobët e hekurudhave dhe kapaciteti i dobët administrativ i institucioneve </w:t>
      </w:r>
      <w:proofErr w:type="spellStart"/>
      <w:r w:rsidRPr="00A6284F">
        <w:rPr>
          <w:rFonts w:eastAsia="Times New Roman"/>
          <w:color w:val="000000"/>
          <w:sz w:val="24"/>
          <w:lang w:val="sq-AL"/>
        </w:rPr>
        <w:t>rregullat</w:t>
      </w:r>
      <w:r w:rsidR="00ED6306" w:rsidRPr="00A6284F">
        <w:rPr>
          <w:rFonts w:eastAsia="Times New Roman"/>
          <w:color w:val="000000"/>
          <w:sz w:val="24"/>
          <w:lang w:val="sq-AL"/>
        </w:rPr>
        <w:t>ive</w:t>
      </w:r>
      <w:proofErr w:type="spellEnd"/>
      <w:r w:rsidRPr="00A6284F">
        <w:rPr>
          <w:rFonts w:eastAsia="Times New Roman"/>
          <w:color w:val="000000"/>
          <w:sz w:val="24"/>
          <w:lang w:val="sq-AL"/>
        </w:rPr>
        <w:t>.</w:t>
      </w:r>
    </w:p>
    <w:p w:rsidR="00CE1051" w:rsidRPr="00A6284F" w:rsidRDefault="00AE58C8" w:rsidP="00CE1051">
      <w:pPr>
        <w:spacing w:before="120" w:line="276" w:lineRule="exact"/>
        <w:ind w:left="144" w:right="144"/>
        <w:jc w:val="both"/>
        <w:textAlignment w:val="baseline"/>
        <w:rPr>
          <w:rFonts w:eastAsia="Times New Roman"/>
          <w:b/>
          <w:color w:val="000000"/>
          <w:sz w:val="24"/>
          <w:lang w:val="sq-AL"/>
        </w:rPr>
      </w:pPr>
      <w:r w:rsidRPr="00A6284F">
        <w:rPr>
          <w:noProof/>
          <w:lang w:val="sq-AL"/>
        </w:rPr>
        <w:pict>
          <v:shape id="Text Box 35" o:spid="_x0000_s1143" type="#_x0000_t202" style="position:absolute;left:0;text-align:left;margin-left:89.55pt;margin-top:517.75pt;width:230.7pt;height:10.6pt;z-index:-25157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LAsAIAAKsFAAAOAAAAZHJzL2Uyb0RvYy54bWysVNuOmzAQfa/Uf7D8znIJZAN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" filled="f" stroked="f">
            <v:textbox inset="0,0,0,0">
              <w:txbxContent>
                <w:p w:rsidR="00F23D22" w:rsidRPr="00850146" w:rsidRDefault="00F23D22" w:rsidP="00CE1051">
                  <w:pPr>
                    <w:spacing w:before="22" w:line="187" w:lineRule="exact"/>
                    <w:textAlignment w:val="baseline"/>
                    <w:rPr>
                      <w:rFonts w:ascii="Calibri" w:eastAsia="Calibri" w:hAnsi="Calibri"/>
                      <w:b/>
                      <w:color w:val="000000"/>
                      <w:spacing w:val="-5"/>
                      <w:sz w:val="19"/>
                      <w:lang w:val="sq-AL"/>
                    </w:rPr>
                  </w:pPr>
                  <w:r w:rsidRPr="00850146">
                    <w:rPr>
                      <w:rFonts w:ascii="Calibri" w:eastAsia="Calibri" w:hAnsi="Calibri"/>
                      <w:b/>
                      <w:color w:val="000000"/>
                      <w:spacing w:val="-5"/>
                      <w:sz w:val="19"/>
                      <w:lang w:val="sq-AL"/>
                    </w:rPr>
                    <w:t>Kosova: Tregues të përzgjedhur në krahasim me popullsinë</w:t>
                  </w:r>
                </w:p>
              </w:txbxContent>
            </v:textbox>
            <w10:wrap type="square" anchorx="page" anchory="page"/>
          </v:shape>
        </w:pict>
      </w:r>
      <w:r w:rsidR="00CE1051" w:rsidRPr="00A6284F">
        <w:rPr>
          <w:rFonts w:eastAsia="Times New Roman"/>
          <w:b/>
          <w:color w:val="000000"/>
          <w:sz w:val="24"/>
          <w:lang w:val="sq-AL"/>
        </w:rPr>
        <w:t xml:space="preserve">Furnizimi i pasigurt me energji mbetet një pengesë kyçe për zhvillimin ekonomik të Kosovës. </w:t>
      </w:r>
      <w:r w:rsidR="00CE1051" w:rsidRPr="00A6284F">
        <w:rPr>
          <w:rFonts w:eastAsia="Times New Roman"/>
          <w:color w:val="000000"/>
          <w:sz w:val="24"/>
          <w:lang w:val="sq-AL"/>
        </w:rPr>
        <w:t xml:space="preserve">Qeveria ka ndërmarrë hapa për t'iu bashkuar Shkëmbimit të Energjisë në Shqipëri, por linja e re e transmetimit 400 </w:t>
      </w:r>
      <w:proofErr w:type="spellStart"/>
      <w:r w:rsidR="00CE1051" w:rsidRPr="00A6284F">
        <w:rPr>
          <w:rFonts w:eastAsia="Times New Roman"/>
          <w:color w:val="000000"/>
          <w:sz w:val="24"/>
          <w:lang w:val="sq-AL"/>
        </w:rPr>
        <w:t>kV</w:t>
      </w:r>
      <w:proofErr w:type="spellEnd"/>
      <w:r w:rsidR="00CE1051" w:rsidRPr="00A6284F">
        <w:rPr>
          <w:rFonts w:eastAsia="Times New Roman"/>
          <w:color w:val="000000"/>
          <w:sz w:val="24"/>
          <w:lang w:val="sq-AL"/>
        </w:rPr>
        <w:t xml:space="preserve"> dhe kontrolli i frekuencës së ngarkesës me Shqipërinë nuk janë funksionale, për shkak të mosmarrëveshjeve midis Kosovës dhe Serbisë për zbatimin e marrëveshjes </w:t>
      </w:r>
      <w:r w:rsidR="0083180A" w:rsidRPr="00A6284F">
        <w:rPr>
          <w:rFonts w:eastAsia="Times New Roman"/>
          <w:color w:val="000000"/>
          <w:sz w:val="24"/>
          <w:lang w:val="sq-AL"/>
        </w:rPr>
        <w:t xml:space="preserve">së </w:t>
      </w:r>
      <w:proofErr w:type="spellStart"/>
      <w:r w:rsidR="0083180A" w:rsidRPr="00A6284F">
        <w:rPr>
          <w:rFonts w:eastAsia="Times New Roman"/>
          <w:color w:val="000000"/>
          <w:sz w:val="24"/>
          <w:lang w:val="sq-AL"/>
        </w:rPr>
        <w:t>koneksionit</w:t>
      </w:r>
      <w:proofErr w:type="spellEnd"/>
      <w:r w:rsidR="00CE1051" w:rsidRPr="00A6284F">
        <w:rPr>
          <w:rFonts w:eastAsia="Times New Roman"/>
          <w:color w:val="000000"/>
          <w:sz w:val="24"/>
          <w:lang w:val="sq-AL"/>
        </w:rPr>
        <w:t xml:space="preserve"> të arritur në dialogun e lehtësuar nga BE. Kosova nuk ka infrastrukturë të brendshme të gazit, por është përfunduar një studim para-</w:t>
      </w:r>
      <w:proofErr w:type="spellStart"/>
      <w:r w:rsidR="00CE1051" w:rsidRPr="00A6284F">
        <w:rPr>
          <w:rFonts w:eastAsia="Times New Roman"/>
          <w:color w:val="000000"/>
          <w:sz w:val="24"/>
          <w:lang w:val="sq-AL"/>
        </w:rPr>
        <w:t>fizibiliteti</w:t>
      </w:r>
      <w:proofErr w:type="spellEnd"/>
      <w:r w:rsidR="00CE1051" w:rsidRPr="00A6284F">
        <w:rPr>
          <w:rFonts w:eastAsia="Times New Roman"/>
          <w:color w:val="000000"/>
          <w:sz w:val="24"/>
          <w:lang w:val="sq-AL"/>
        </w:rPr>
        <w:t xml:space="preserve"> për lidhjen e Kosovës dhe Shqipërisë me projektin e Gazsje</w:t>
      </w:r>
      <w:r w:rsidR="00D8054E" w:rsidRPr="00A6284F">
        <w:rPr>
          <w:rFonts w:eastAsia="Times New Roman"/>
          <w:color w:val="000000"/>
          <w:sz w:val="24"/>
          <w:lang w:val="sq-AL"/>
        </w:rPr>
        <w:t>llësit Trans-</w:t>
      </w:r>
      <w:r w:rsidR="00CE1051" w:rsidRPr="00A6284F">
        <w:rPr>
          <w:rFonts w:eastAsia="Times New Roman"/>
          <w:color w:val="000000"/>
          <w:sz w:val="24"/>
          <w:lang w:val="sq-AL"/>
        </w:rPr>
        <w:t>Adriatik (TAP). Qeveria ka lidhur një marrëveshje tregtare me ofertuesin për ndërtimin e termocentralit të linjitit "Kosova e Re" 500 MW, i cili do të fillojë në vitin 2019.</w:t>
      </w:r>
      <w:r w:rsidRPr="00A6284F">
        <w:rPr>
          <w:noProof/>
          <w:lang w:val="sq-AL"/>
        </w:rPr>
        <w:pict>
          <v:shape id="Text Box 37" o:spid="_x0000_s1141" type="#_x0000_t202" style="position:absolute;left:0;text-align:left;margin-left:63.75pt;margin-top:510.7pt;width:262.4pt;height:158.3pt;z-index:-251579392;visibility:visible;mso-wrap-distance-left:0;mso-wrap-distance-right:8.9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EM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" filled="f" stroked="f">
            <v:textbox inset="0,0,0,0">
              <w:txbxContent>
                <w:p w:rsidR="00F23D22" w:rsidRDefault="00F23D22" w:rsidP="00CE1051">
                  <w:pPr>
                    <w:pBdr>
                      <w:top w:val="single" w:sz="4" w:space="0" w:color="858585"/>
                      <w:left w:val="single" w:sz="4" w:space="0" w:color="858585"/>
                      <w:bottom w:val="single" w:sz="4" w:space="0" w:color="858585"/>
                      <w:right w:val="single" w:sz="4" w:space="8" w:color="858585"/>
                    </w:pBdr>
                  </w:pPr>
                </w:p>
              </w:txbxContent>
            </v:textbox>
            <w10:wrap type="square" anchorx="page" anchory="page"/>
          </v:shape>
        </w:pict>
      </w:r>
      <w:r w:rsidRPr="00A6284F">
        <w:rPr>
          <w:noProof/>
          <w:lang w:val="sq-AL"/>
        </w:rPr>
        <w:pict>
          <v:shape id="Text Box 36" o:spid="_x0000_s1142" type="#_x0000_t202" style="position:absolute;left:0;text-align:left;margin-left:63.75pt;margin-top:514.1pt;width:262.4pt;height:150pt;z-index:-25157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rxtwIAALM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" filled="f" stroked="f">
            <v:textbox inset="0,0,0,0">
              <w:txbxContent>
                <w:p w:rsidR="00F23D22" w:rsidRDefault="00F23D22" w:rsidP="00CE1051">
                  <w:pPr>
                    <w:ind w:left="146"/>
                    <w:textAlignment w:val="baseline"/>
                  </w:pPr>
                  <w:r>
                    <w:rPr>
                      <w:noProof/>
                    </w:rPr>
                    <w:drawing>
                      <wp:inline distT="0" distB="0" distL="0" distR="0" wp14:anchorId="438B0C7F" wp14:editId="486B38BB">
                        <wp:extent cx="3239770" cy="19050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0"/>
                                <a:stretch>
                                  <a:fillRect/>
                                </a:stretch>
                              </pic:blipFill>
                              <pic:spPr>
                                <a:xfrm>
                                  <a:off x="0" y="0"/>
                                  <a:ext cx="3239770" cy="1905000"/>
                                </a:xfrm>
                                <a:prstGeom prst="rect">
                                  <a:avLst/>
                                </a:prstGeom>
                              </pic:spPr>
                            </pic:pic>
                          </a:graphicData>
                        </a:graphic>
                      </wp:inline>
                    </w:drawing>
                  </w:r>
                </w:p>
              </w:txbxContent>
            </v:textbox>
            <w10:wrap type="square" anchorx="page" anchory="page"/>
          </v:shape>
        </w:pict>
      </w:r>
      <w:r w:rsidRPr="00A6284F">
        <w:rPr>
          <w:noProof/>
          <w:lang w:val="sq-AL"/>
        </w:rPr>
        <w:pict>
          <v:shape id="Text Box 34" o:spid="_x0000_s1144" type="#_x0000_t202" style="position:absolute;left:0;text-align:left;margin-left:107.5pt;margin-top:617.1pt;width:187.45pt;height:8.6pt;z-index:-25157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1N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" filled="f" stroked="f">
            <v:textbox inset="0,0,0,0">
              <w:txbxContent>
                <w:p w:rsidR="00F23D22" w:rsidRDefault="00F23D22" w:rsidP="00CE1051">
                  <w:pPr>
                    <w:tabs>
                      <w:tab w:val="left" w:pos="1080"/>
                      <w:tab w:val="left" w:pos="2160"/>
                      <w:tab w:val="right" w:pos="3744"/>
                    </w:tabs>
                    <w:spacing w:before="21" w:after="4" w:line="146" w:lineRule="exact"/>
                    <w:textAlignment w:val="baseline"/>
                    <w:rPr>
                      <w:rFonts w:ascii="Calibri" w:eastAsia="Calibri" w:hAnsi="Calibri"/>
                      <w:color w:val="000000"/>
                      <w:sz w:val="15"/>
                    </w:rPr>
                  </w:pPr>
                  <w:r>
                    <w:rPr>
                      <w:rFonts w:ascii="Calibri" w:eastAsia="Calibri" w:hAnsi="Calibri"/>
                      <w:color w:val="000000"/>
                      <w:sz w:val="15"/>
                    </w:rPr>
                    <w:t>KO, 2006</w:t>
                  </w:r>
                  <w:r>
                    <w:rPr>
                      <w:rFonts w:ascii="Calibri" w:eastAsia="Calibri" w:hAnsi="Calibri"/>
                      <w:color w:val="000000"/>
                      <w:sz w:val="15"/>
                    </w:rPr>
                    <w:tab/>
                    <w:t>EU, 2006</w:t>
                  </w:r>
                  <w:r>
                    <w:rPr>
                      <w:rFonts w:ascii="Calibri" w:eastAsia="Calibri" w:hAnsi="Calibri"/>
                      <w:color w:val="000000"/>
                      <w:sz w:val="15"/>
                    </w:rPr>
                    <w:tab/>
                    <w:t>KO, 2016</w:t>
                  </w:r>
                  <w:r>
                    <w:rPr>
                      <w:rFonts w:ascii="Calibri" w:eastAsia="Calibri" w:hAnsi="Calibri"/>
                      <w:color w:val="000000"/>
                      <w:sz w:val="15"/>
                    </w:rPr>
                    <w:tab/>
                    <w:t>EU, 2016</w:t>
                  </w:r>
                </w:p>
              </w:txbxContent>
            </v:textbox>
            <w10:wrap type="square" anchorx="page" anchory="page"/>
          </v:shape>
        </w:pict>
      </w:r>
      <w:r w:rsidRPr="00A6284F">
        <w:rPr>
          <w:noProof/>
          <w:lang w:val="sq-AL"/>
        </w:rPr>
        <w:pict>
          <v:shape id="Text Box 33" o:spid="_x0000_s1145" type="#_x0000_t202" style="position:absolute;left:0;text-align:left;margin-left:111.6pt;margin-top:627.9pt;width:208.8pt;height:33.05pt;z-index:-251575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xl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MMOKkhR490kGjOzGg2czUp+9UAm4PHTjqAfahz5ar6u5F8VUhLtY14Tt6K6Xoa0pKyM83N92z&#10;qyOOMiDb/oMoIQ7Za2GBhkq2pnhQDgTo0KenU29MLgVsBtHcX0RwVMBZ6MeL2dy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" filled="f" stroked="f">
            <v:textbox inset="0,0,0,0">
              <w:txbxContent>
                <w:p w:rsidR="00F23D22" w:rsidRPr="00850146" w:rsidRDefault="00F23D22" w:rsidP="00CE1051">
                  <w:pPr>
                    <w:spacing w:line="152" w:lineRule="exact"/>
                    <w:textAlignment w:val="baseline"/>
                    <w:rPr>
                      <w:rFonts w:ascii="Calibri" w:eastAsia="Calibri" w:hAnsi="Calibri"/>
                      <w:color w:val="000000"/>
                      <w:sz w:val="16"/>
                      <w:lang w:val="sq-AL"/>
                    </w:rPr>
                  </w:pPr>
                  <w:r w:rsidRPr="00850146">
                    <w:rPr>
                      <w:rFonts w:ascii="Calibri" w:eastAsia="Calibri" w:hAnsi="Calibri"/>
                      <w:color w:val="000000"/>
                      <w:sz w:val="16"/>
                      <w:lang w:val="sq-AL"/>
                    </w:rPr>
                    <w:t xml:space="preserve">Prodhimi i energjisë elektrike, </w:t>
                  </w:r>
                  <w:proofErr w:type="spellStart"/>
                  <w:r w:rsidRPr="00850146">
                    <w:rPr>
                      <w:rFonts w:ascii="Calibri" w:eastAsia="Calibri" w:hAnsi="Calibri"/>
                      <w:color w:val="000000"/>
                      <w:sz w:val="16"/>
                      <w:lang w:val="sq-AL"/>
                    </w:rPr>
                    <w:t>GWh</w:t>
                  </w:r>
                  <w:proofErr w:type="spellEnd"/>
                  <w:r w:rsidRPr="00850146">
                    <w:rPr>
                      <w:rFonts w:ascii="Calibri" w:eastAsia="Calibri" w:hAnsi="Calibri"/>
                      <w:color w:val="000000"/>
                      <w:sz w:val="16"/>
                      <w:lang w:val="sq-AL"/>
                    </w:rPr>
                    <w:t xml:space="preserve"> për 1000 banorë</w:t>
                  </w:r>
                </w:p>
                <w:p w:rsidR="00F23D22" w:rsidRPr="00850146" w:rsidRDefault="00F23D22" w:rsidP="00CE1051">
                  <w:pPr>
                    <w:spacing w:line="152" w:lineRule="exact"/>
                    <w:textAlignment w:val="baseline"/>
                    <w:rPr>
                      <w:rFonts w:ascii="Calibri" w:eastAsia="Calibri" w:hAnsi="Calibri"/>
                      <w:color w:val="000000"/>
                      <w:spacing w:val="-1"/>
                      <w:sz w:val="16"/>
                      <w:lang w:val="sq-AL"/>
                    </w:rPr>
                  </w:pPr>
                  <w:r w:rsidRPr="00850146">
                    <w:rPr>
                      <w:rFonts w:ascii="Calibri" w:eastAsia="Calibri" w:hAnsi="Calibri"/>
                      <w:color w:val="000000"/>
                      <w:sz w:val="16"/>
                      <w:lang w:val="sq-AL"/>
                    </w:rPr>
                    <w:t>Gjatësia e rrugës, km për 1000 banorë</w:t>
                  </w:r>
                </w:p>
                <w:p w:rsidR="00F23D22" w:rsidRPr="00850146" w:rsidRDefault="00F23D22" w:rsidP="00CE1051">
                  <w:pPr>
                    <w:spacing w:line="152" w:lineRule="exact"/>
                    <w:textAlignment w:val="baseline"/>
                    <w:rPr>
                      <w:rFonts w:ascii="Calibri" w:eastAsia="Calibri" w:hAnsi="Calibri"/>
                      <w:color w:val="000000"/>
                      <w:spacing w:val="-1"/>
                      <w:sz w:val="16"/>
                      <w:lang w:val="sq-AL"/>
                    </w:rPr>
                  </w:pPr>
                  <w:r>
                    <w:rPr>
                      <w:rFonts w:ascii="Calibri" w:eastAsia="Calibri" w:hAnsi="Calibri"/>
                      <w:color w:val="000000"/>
                      <w:spacing w:val="-1"/>
                      <w:sz w:val="16"/>
                      <w:lang w:val="sq-AL"/>
                    </w:rPr>
                    <w:t xml:space="preserve">Hekurudhë </w:t>
                  </w:r>
                  <w:r w:rsidRPr="00850146">
                    <w:rPr>
                      <w:rFonts w:ascii="Calibri" w:eastAsia="Calibri" w:hAnsi="Calibri"/>
                      <w:color w:val="000000"/>
                      <w:spacing w:val="-1"/>
                      <w:sz w:val="16"/>
                      <w:lang w:val="sq-AL"/>
                    </w:rPr>
                    <w:t>pa</w:t>
                  </w:r>
                  <w:r>
                    <w:rPr>
                      <w:rFonts w:ascii="Calibri" w:eastAsia="Calibri" w:hAnsi="Calibri"/>
                      <w:color w:val="000000"/>
                      <w:spacing w:val="-1"/>
                      <w:sz w:val="16"/>
                      <w:lang w:val="sq-AL"/>
                    </w:rPr>
                    <w:t>sagjer</w:t>
                  </w:r>
                  <w:r w:rsidRPr="00850146">
                    <w:rPr>
                      <w:rFonts w:ascii="Calibri" w:eastAsia="Calibri" w:hAnsi="Calibri"/>
                      <w:color w:val="000000"/>
                      <w:spacing w:val="-1"/>
                      <w:sz w:val="16"/>
                      <w:lang w:val="sq-AL"/>
                    </w:rPr>
                    <w:t xml:space="preserve">-km </w:t>
                  </w:r>
                  <w:r>
                    <w:rPr>
                      <w:rFonts w:ascii="Calibri" w:eastAsia="Calibri" w:hAnsi="Calibri"/>
                      <w:color w:val="000000"/>
                      <w:spacing w:val="-1"/>
                      <w:sz w:val="16"/>
                      <w:lang w:val="sq-AL"/>
                    </w:rPr>
                    <w:t>për banorë</w:t>
                  </w:r>
                  <w:r w:rsidRPr="00850146">
                    <w:rPr>
                      <w:rFonts w:ascii="Calibri" w:eastAsia="Calibri" w:hAnsi="Calibri"/>
                      <w:color w:val="000000"/>
                      <w:spacing w:val="-1"/>
                      <w:sz w:val="16"/>
                      <w:lang w:val="sq-AL"/>
                    </w:rPr>
                    <w:t xml:space="preserve">, </w:t>
                  </w:r>
                  <w:proofErr w:type="spellStart"/>
                  <w:r w:rsidRPr="00850146">
                    <w:rPr>
                      <w:rFonts w:ascii="Calibri" w:eastAsia="Calibri" w:hAnsi="Calibri"/>
                      <w:color w:val="000000"/>
                      <w:spacing w:val="-1"/>
                      <w:sz w:val="16"/>
                      <w:lang w:val="sq-AL"/>
                    </w:rPr>
                    <w:t>lhs</w:t>
                  </w:r>
                  <w:proofErr w:type="spellEnd"/>
                </w:p>
                <w:p w:rsidR="00F23D22" w:rsidRPr="00850146" w:rsidRDefault="00F23D22" w:rsidP="00CE1051">
                  <w:pPr>
                    <w:spacing w:line="140" w:lineRule="exact"/>
                    <w:jc w:val="center"/>
                    <w:textAlignment w:val="baseline"/>
                    <w:rPr>
                      <w:rFonts w:ascii="Calibri" w:eastAsia="Calibri" w:hAnsi="Calibri"/>
                      <w:i/>
                      <w:color w:val="000000"/>
                      <w:spacing w:val="-2"/>
                      <w:sz w:val="16"/>
                      <w:lang w:val="sq-AL"/>
                    </w:rPr>
                  </w:pPr>
                  <w:r>
                    <w:rPr>
                      <w:rFonts w:ascii="Calibri" w:eastAsia="Calibri" w:hAnsi="Calibri"/>
                      <w:i/>
                      <w:color w:val="000000"/>
                      <w:spacing w:val="-2"/>
                      <w:sz w:val="16"/>
                      <w:lang w:val="sq-AL"/>
                    </w:rPr>
                    <w:t>Burimi</w:t>
                  </w:r>
                  <w:r w:rsidRPr="00850146">
                    <w:rPr>
                      <w:rFonts w:ascii="Calibri" w:eastAsia="Calibri" w:hAnsi="Calibri"/>
                      <w:i/>
                      <w:color w:val="000000"/>
                      <w:spacing w:val="-2"/>
                      <w:sz w:val="16"/>
                      <w:lang w:val="sq-AL"/>
                    </w:rPr>
                    <w:t xml:space="preserve">: </w:t>
                  </w:r>
                  <w:proofErr w:type="spellStart"/>
                  <w:r w:rsidRPr="00850146">
                    <w:rPr>
                      <w:rFonts w:ascii="Calibri" w:eastAsia="Calibri" w:hAnsi="Calibri"/>
                      <w:i/>
                      <w:color w:val="000000"/>
                      <w:spacing w:val="-2"/>
                      <w:sz w:val="16"/>
                      <w:lang w:val="sq-AL"/>
                    </w:rPr>
                    <w:t>Eurostat</w:t>
                  </w:r>
                  <w:proofErr w:type="spellEnd"/>
                </w:p>
              </w:txbxContent>
            </v:textbox>
            <w10:wrap type="square" anchorx="page" anchory="page"/>
          </v:shape>
        </w:pict>
      </w:r>
      <w:r w:rsidRPr="00A6284F">
        <w:rPr>
          <w:noProof/>
          <w:lang w:val="sq-AL"/>
        </w:rPr>
        <w:pict>
          <v:shape id="Text Box 32" o:spid="_x0000_s1146" type="#_x0000_t202" style="position:absolute;left:0;text-align:left;margin-left:67.75pt;margin-top:528.3pt;width:23.6pt;height:8.35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gF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" filled="f" stroked="f">
            <v:textbox inset="0,0,0,0">
              <w:txbxContent>
                <w:p w:rsidR="00F23D22" w:rsidRDefault="00F23D22" w:rsidP="00CE1051">
                  <w:pPr>
                    <w:spacing w:before="21" w:line="141" w:lineRule="exact"/>
                    <w:textAlignment w:val="baseline"/>
                    <w:rPr>
                      <w:rFonts w:ascii="Calibri" w:eastAsia="Calibri" w:hAnsi="Calibri"/>
                      <w:color w:val="000000"/>
                      <w:spacing w:val="10"/>
                      <w:sz w:val="15"/>
                    </w:rPr>
                  </w:pPr>
                  <w:r>
                    <w:rPr>
                      <w:rFonts w:ascii="Calibri" w:eastAsia="Calibri" w:hAnsi="Calibri"/>
                      <w:color w:val="000000"/>
                      <w:spacing w:val="10"/>
                      <w:sz w:val="15"/>
                    </w:rPr>
                    <w:t>1000</w:t>
                  </w:r>
                </w:p>
              </w:txbxContent>
            </v:textbox>
            <w10:wrap type="square" anchorx="page" anchory="page"/>
          </v:shape>
        </w:pict>
      </w:r>
      <w:r w:rsidRPr="00A6284F">
        <w:rPr>
          <w:noProof/>
          <w:lang w:val="sq-AL"/>
        </w:rPr>
        <w:pict>
          <v:shape id="Text Box 31" o:spid="_x0000_s1147" type="#_x0000_t202" style="position:absolute;left:0;text-align:left;margin-left:71.15pt;margin-top:544.35pt;width:20.45pt;height:8.35pt;z-index:-251573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IhsQIAALE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" filled="f" stroked="f">
            <v:textbox inset="0,0,0,0">
              <w:txbxContent>
                <w:p w:rsidR="00F23D22" w:rsidRDefault="00F23D22" w:rsidP="00CE1051">
                  <w:pPr>
                    <w:spacing w:before="21" w:line="136" w:lineRule="exact"/>
                    <w:textAlignment w:val="baseline"/>
                    <w:rPr>
                      <w:rFonts w:ascii="Calibri" w:eastAsia="Calibri" w:hAnsi="Calibri"/>
                      <w:color w:val="000000"/>
                      <w:spacing w:val="17"/>
                      <w:sz w:val="15"/>
                    </w:rPr>
                  </w:pPr>
                  <w:r>
                    <w:rPr>
                      <w:rFonts w:ascii="Calibri" w:eastAsia="Calibri" w:hAnsi="Calibri"/>
                      <w:color w:val="000000"/>
                      <w:spacing w:val="17"/>
                      <w:sz w:val="15"/>
                    </w:rPr>
                    <w:t>800</w:t>
                  </w:r>
                </w:p>
              </w:txbxContent>
            </v:textbox>
            <w10:wrap type="square" anchorx="page" anchory="page"/>
          </v:shape>
        </w:pict>
      </w:r>
      <w:r w:rsidRPr="00A6284F">
        <w:rPr>
          <w:noProof/>
          <w:lang w:val="sq-AL"/>
        </w:rPr>
        <w:pict>
          <v:shape id="Text Box 30" o:spid="_x0000_s1148" type="#_x0000_t202" style="position:absolute;left:0;text-align:left;margin-left:71.15pt;margin-top:560.2pt;width:20.45pt;height:8.35pt;z-index:-251572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rxsQ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" filled="f" stroked="f">
            <v:textbox inset="0,0,0,0">
              <w:txbxContent>
                <w:p w:rsidR="00F23D22" w:rsidRDefault="00F23D22" w:rsidP="00CE1051">
                  <w:pPr>
                    <w:spacing w:before="21" w:line="136" w:lineRule="exact"/>
                    <w:textAlignment w:val="baseline"/>
                    <w:rPr>
                      <w:rFonts w:ascii="Calibri" w:eastAsia="Calibri" w:hAnsi="Calibri"/>
                      <w:color w:val="000000"/>
                      <w:spacing w:val="17"/>
                      <w:sz w:val="15"/>
                    </w:rPr>
                  </w:pPr>
                  <w:r>
                    <w:rPr>
                      <w:rFonts w:ascii="Calibri" w:eastAsia="Calibri" w:hAnsi="Calibri"/>
                      <w:color w:val="000000"/>
                      <w:spacing w:val="17"/>
                      <w:sz w:val="15"/>
                    </w:rPr>
                    <w:t>600</w:t>
                  </w:r>
                </w:p>
              </w:txbxContent>
            </v:textbox>
            <w10:wrap type="square" anchorx="page" anchory="page"/>
          </v:shape>
        </w:pict>
      </w:r>
      <w:r w:rsidRPr="00A6284F">
        <w:rPr>
          <w:noProof/>
          <w:lang w:val="sq-AL"/>
        </w:rPr>
        <w:pict>
          <v:shape id="Text Box 29" o:spid="_x0000_s1149" type="#_x0000_t202" style="position:absolute;left:0;text-align:left;margin-left:70.9pt;margin-top:576.05pt;width:20.7pt;height:8.35pt;z-index:-251571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4wsAIAALE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" filled="f" stroked="f">
            <v:textbox inset="0,0,0,0">
              <w:txbxContent>
                <w:p w:rsidR="00F23D22" w:rsidRDefault="00F23D22" w:rsidP="00CE1051">
                  <w:pPr>
                    <w:spacing w:before="21" w:line="136" w:lineRule="exact"/>
                    <w:textAlignment w:val="baseline"/>
                    <w:rPr>
                      <w:rFonts w:ascii="Calibri" w:eastAsia="Calibri" w:hAnsi="Calibri"/>
                      <w:color w:val="000000"/>
                      <w:spacing w:val="19"/>
                      <w:sz w:val="15"/>
                    </w:rPr>
                  </w:pPr>
                  <w:r>
                    <w:rPr>
                      <w:rFonts w:ascii="Calibri" w:eastAsia="Calibri" w:hAnsi="Calibri"/>
                      <w:color w:val="000000"/>
                      <w:spacing w:val="19"/>
                      <w:sz w:val="15"/>
                    </w:rPr>
                    <w:t>400</w:t>
                  </w:r>
                </w:p>
              </w:txbxContent>
            </v:textbox>
            <w10:wrap type="square" anchorx="page" anchory="page"/>
          </v:shape>
        </w:pict>
      </w:r>
      <w:r w:rsidRPr="00A6284F">
        <w:rPr>
          <w:noProof/>
          <w:lang w:val="sq-AL"/>
        </w:rPr>
        <w:pict>
          <v:shape id="Text Box 28" o:spid="_x0000_s1150" type="#_x0000_t202" style="position:absolute;left:0;text-align:left;margin-left:71.15pt;margin-top:592.15pt;width:20.45pt;height:8.35pt;z-index:-251570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3D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" filled="f" stroked="f">
            <v:textbox inset="0,0,0,0">
              <w:txbxContent>
                <w:p w:rsidR="00F23D22" w:rsidRDefault="00F23D22" w:rsidP="00CE1051">
                  <w:pPr>
                    <w:spacing w:before="21" w:line="145" w:lineRule="exact"/>
                    <w:textAlignment w:val="baseline"/>
                    <w:rPr>
                      <w:rFonts w:ascii="Calibri" w:eastAsia="Calibri" w:hAnsi="Calibri"/>
                      <w:color w:val="000000"/>
                      <w:spacing w:val="16"/>
                      <w:sz w:val="15"/>
                    </w:rPr>
                  </w:pPr>
                  <w:r>
                    <w:rPr>
                      <w:rFonts w:ascii="Calibri" w:eastAsia="Calibri" w:hAnsi="Calibri"/>
                      <w:color w:val="000000"/>
                      <w:spacing w:val="16"/>
                      <w:sz w:val="15"/>
                    </w:rPr>
                    <w:t>200</w:t>
                  </w:r>
                </w:p>
              </w:txbxContent>
            </v:textbox>
            <w10:wrap type="square" anchorx="page" anchory="page"/>
          </v:shape>
        </w:pict>
      </w:r>
      <w:r w:rsidRPr="00A6284F">
        <w:rPr>
          <w:noProof/>
          <w:lang w:val="sq-AL"/>
        </w:rPr>
        <w:pict>
          <v:shape id="Text Box 27" o:spid="_x0000_s1151" type="#_x0000_t202" style="position:absolute;left:0;text-align:left;margin-left:80.6pt;margin-top:607.95pt;width:8.75pt;height:8.3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" filled="f" stroked="f">
            <v:textbox inset="0,0,0,0">
              <w:txbxContent>
                <w:p w:rsidR="00F23D22" w:rsidRDefault="00F23D22" w:rsidP="00CE1051">
                  <w:pPr>
                    <w:spacing w:before="21" w:line="132" w:lineRule="exact"/>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w:r>
      <w:r w:rsidRPr="00A6284F">
        <w:rPr>
          <w:noProof/>
          <w:lang w:val="sq-AL"/>
        </w:rPr>
        <w:pict>
          <v:shape id="Text Box 26" o:spid="_x0000_s1152" type="#_x0000_t202" style="position:absolute;left:0;text-align:left;margin-left:311.3pt;margin-top:528.3pt;width:14.85pt;height:8.35pt;z-index:-251568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Rt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" filled="f" stroked="f">
            <v:textbox inset="0,0,0,0">
              <w:txbxContent>
                <w:p w:rsidR="00F23D22" w:rsidRDefault="00F23D22" w:rsidP="00CE1051">
                  <w:pPr>
                    <w:spacing w:before="21" w:line="141" w:lineRule="exact"/>
                    <w:jc w:val="right"/>
                    <w:textAlignment w:val="baseline"/>
                    <w:rPr>
                      <w:rFonts w:ascii="Calibri" w:eastAsia="Calibri" w:hAnsi="Calibri"/>
                      <w:color w:val="000000"/>
                      <w:spacing w:val="9"/>
                      <w:sz w:val="15"/>
                    </w:rPr>
                  </w:pPr>
                  <w:r>
                    <w:rPr>
                      <w:rFonts w:ascii="Calibri" w:eastAsia="Calibri" w:hAnsi="Calibri"/>
                      <w:color w:val="000000"/>
                      <w:spacing w:val="9"/>
                      <w:sz w:val="15"/>
                    </w:rPr>
                    <w:t>12</w:t>
                  </w:r>
                </w:p>
              </w:txbxContent>
            </v:textbox>
            <w10:wrap type="square" anchorx="page" anchory="page"/>
          </v:shape>
        </w:pict>
      </w:r>
      <w:r w:rsidRPr="00A6284F">
        <w:rPr>
          <w:noProof/>
          <w:lang w:val="sq-AL"/>
        </w:rPr>
        <w:pict>
          <v:shape id="Text Box 25" o:spid="_x0000_s1153" type="#_x0000_t202" style="position:absolute;left:0;text-align:left;margin-left:313.15pt;margin-top:554.95pt;width:8.75pt;height:8.35pt;z-index:-251567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" filled="f" stroked="f">
            <v:textbox inset="0,0,0,0">
              <w:txbxContent>
                <w:p w:rsidR="00F23D22" w:rsidRDefault="00F23D22" w:rsidP="00CE1051">
                  <w:pPr>
                    <w:spacing w:before="21" w:line="140" w:lineRule="exact"/>
                    <w:textAlignment w:val="baseline"/>
                    <w:rPr>
                      <w:rFonts w:ascii="Calibri" w:eastAsia="Calibri" w:hAnsi="Calibri"/>
                      <w:color w:val="000000"/>
                      <w:sz w:val="15"/>
                    </w:rPr>
                  </w:pPr>
                  <w:r>
                    <w:rPr>
                      <w:rFonts w:ascii="Calibri" w:eastAsia="Calibri" w:hAnsi="Calibri"/>
                      <w:color w:val="000000"/>
                      <w:sz w:val="15"/>
                    </w:rPr>
                    <w:t>8</w:t>
                  </w:r>
                </w:p>
              </w:txbxContent>
            </v:textbox>
            <w10:wrap type="square" anchorx="page" anchory="page"/>
          </v:shape>
        </w:pict>
      </w:r>
      <w:r w:rsidRPr="00A6284F">
        <w:rPr>
          <w:noProof/>
          <w:lang w:val="sq-AL"/>
        </w:rPr>
        <w:pict>
          <v:shape id="Text Box 24" o:spid="_x0000_s1154" type="#_x0000_t202" style="position:absolute;left:0;text-align:left;margin-left:312.75pt;margin-top:581.35pt;width:9.3pt;height:8.35pt;z-index:-251566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kPsAIAALI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" filled="f" stroked="f">
            <v:textbox inset="0,0,0,0">
              <w:txbxContent>
                <w:p w:rsidR="00F23D22" w:rsidRDefault="00F23D22" w:rsidP="00CE1051">
                  <w:pPr>
                    <w:spacing w:before="21" w:line="145" w:lineRule="exact"/>
                    <w:textAlignment w:val="baseline"/>
                    <w:rPr>
                      <w:rFonts w:ascii="Calibri" w:eastAsia="Calibri" w:hAnsi="Calibri"/>
                      <w:color w:val="000000"/>
                      <w:sz w:val="15"/>
                    </w:rPr>
                  </w:pPr>
                  <w:r>
                    <w:rPr>
                      <w:rFonts w:ascii="Calibri" w:eastAsia="Calibri" w:hAnsi="Calibri"/>
                      <w:color w:val="000000"/>
                      <w:sz w:val="15"/>
                    </w:rPr>
                    <w:t>4</w:t>
                  </w:r>
                </w:p>
              </w:txbxContent>
            </v:textbox>
            <w10:wrap type="square" anchorx="page" anchory="page"/>
          </v:shape>
        </w:pict>
      </w:r>
      <w:r w:rsidRPr="00A6284F">
        <w:rPr>
          <w:noProof/>
          <w:lang w:val="sq-AL"/>
        </w:rPr>
        <w:pict>
          <v:shape id="Text Box 23" o:spid="_x0000_s1155" type="#_x0000_t202" style="position:absolute;left:0;text-align:left;margin-left:313.15pt;margin-top:607.95pt;width:8.75pt;height:8.35pt;z-index:-251565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0xsA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" filled="f" stroked="f">
            <v:textbox inset="0,0,0,0">
              <w:txbxContent>
                <w:p w:rsidR="00F23D22" w:rsidRDefault="00F23D22" w:rsidP="00CE1051">
                  <w:pPr>
                    <w:spacing w:before="21" w:line="132" w:lineRule="exact"/>
                    <w:textAlignment w:val="baseline"/>
                    <w:rPr>
                      <w:rFonts w:ascii="Calibri" w:eastAsia="Calibri" w:hAnsi="Calibri"/>
                      <w:color w:val="000000"/>
                      <w:sz w:val="15"/>
                    </w:rPr>
                  </w:pPr>
                  <w:r>
                    <w:rPr>
                      <w:rFonts w:ascii="Calibri" w:eastAsia="Calibri" w:hAnsi="Calibri"/>
                      <w:color w:val="000000"/>
                      <w:sz w:val="15"/>
                    </w:rPr>
                    <w:t>0</w:t>
                  </w:r>
                </w:p>
              </w:txbxContent>
            </v:textbox>
            <w10:wrap type="square" anchorx="page" anchory="page"/>
          </v:shape>
        </w:pict>
      </w:r>
      <w:r w:rsidRPr="00A6284F">
        <w:rPr>
          <w:noProof/>
          <w:lang w:val="sq-AL"/>
        </w:rPr>
        <w:pict>
          <v:line id="Line 22" o:spid="_x0000_s1139" style="position:absolute;left:0;text-align:left;z-index:251735040;visibility:visible;mso-position-horizontal-relative:page;mso-position-vertical-relative:page" from="63.75pt,664.1pt" to="326.15pt,6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" strokecolor="#858585" strokeweight=".5pt">
            <w10:wrap anchorx="page" anchory="page"/>
          </v:line>
        </w:pict>
      </w:r>
      <w:r w:rsidRPr="00A6284F">
        <w:rPr>
          <w:noProof/>
          <w:lang w:val="sq-AL"/>
        </w:rPr>
        <w:pict>
          <v:line id="Line 21" o:spid="_x0000_s1140" style="position:absolute;left:0;text-align:left;z-index:251736064;visibility:visible;mso-position-horizontal-relative:page;mso-position-vertical-relative:page" from="326.15pt,514.1pt" to="326.15pt,6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" strokecolor="#858585" strokeweight=".5pt">
            <w10:wrap anchorx="page" anchory="page"/>
          </v:line>
        </w:pict>
      </w:r>
      <w:r w:rsidR="00D8054E" w:rsidRPr="00A6284F">
        <w:rPr>
          <w:rFonts w:eastAsia="Times New Roman"/>
          <w:color w:val="000000"/>
          <w:sz w:val="24"/>
          <w:lang w:val="sq-AL"/>
        </w:rPr>
        <w:t xml:space="preserve"> </w:t>
      </w:r>
      <w:r w:rsidR="00CE1051" w:rsidRPr="00A6284F">
        <w:rPr>
          <w:rFonts w:eastAsia="Times New Roman"/>
          <w:color w:val="000000"/>
          <w:sz w:val="24"/>
          <w:lang w:val="sq-AL"/>
        </w:rPr>
        <w:t>Pas tërheqjes së Bankës Botërore nga garancia e pjesshme e huas, marrëveshjet e financimit për projektin e parashikuar prej 1 miliardë € kanë mbetur</w:t>
      </w:r>
      <w:r w:rsidR="00D8054E" w:rsidRPr="00A6284F">
        <w:rPr>
          <w:rFonts w:eastAsia="Times New Roman"/>
          <w:color w:val="000000"/>
          <w:sz w:val="24"/>
          <w:lang w:val="sq-AL"/>
        </w:rPr>
        <w:t xml:space="preserve"> të </w:t>
      </w:r>
      <w:r w:rsidR="00CE1051" w:rsidRPr="00A6284F">
        <w:rPr>
          <w:rFonts w:eastAsia="Times New Roman"/>
          <w:color w:val="000000"/>
          <w:sz w:val="24"/>
          <w:lang w:val="sq-AL"/>
        </w:rPr>
        <w:t>zgjidh</w:t>
      </w:r>
      <w:r w:rsidR="00D8054E" w:rsidRPr="00A6284F">
        <w:rPr>
          <w:rFonts w:eastAsia="Times New Roman"/>
          <w:color w:val="000000"/>
          <w:sz w:val="24"/>
          <w:lang w:val="sq-AL"/>
        </w:rPr>
        <w:t>en</w:t>
      </w:r>
      <w:r w:rsidR="00CE1051" w:rsidRPr="00A6284F">
        <w:rPr>
          <w:rFonts w:eastAsia="Times New Roman"/>
          <w:color w:val="000000"/>
          <w:sz w:val="24"/>
          <w:lang w:val="sq-AL"/>
        </w:rPr>
        <w:t>. Kjo mund të ketë një ndikim të madh në financat publike, tarifat dhe mjedisin e kjo duhet rivlerës</w:t>
      </w:r>
      <w:r w:rsidR="00D8054E" w:rsidRPr="00A6284F">
        <w:rPr>
          <w:rFonts w:eastAsia="Times New Roman"/>
          <w:color w:val="000000"/>
          <w:sz w:val="24"/>
          <w:lang w:val="sq-AL"/>
        </w:rPr>
        <w:t xml:space="preserve">uar </w:t>
      </w:r>
      <w:r w:rsidR="00CE1051" w:rsidRPr="00A6284F">
        <w:rPr>
          <w:rFonts w:eastAsia="Times New Roman"/>
          <w:color w:val="000000"/>
          <w:sz w:val="24"/>
          <w:lang w:val="sq-AL"/>
        </w:rPr>
        <w:t>me kujdes.</w:t>
      </w:r>
    </w:p>
    <w:p w:rsidR="00CE1051" w:rsidRPr="00A6284F" w:rsidRDefault="00CE1051" w:rsidP="00CE1051">
      <w:pPr>
        <w:spacing w:before="118" w:after="307" w:line="276" w:lineRule="exact"/>
        <w:ind w:left="144" w:right="144"/>
        <w:jc w:val="both"/>
        <w:textAlignment w:val="baseline"/>
        <w:rPr>
          <w:rFonts w:eastAsia="Times New Roman"/>
          <w:color w:val="000000"/>
          <w:sz w:val="24"/>
          <w:lang w:val="sq-AL"/>
        </w:rPr>
      </w:pPr>
      <w:r w:rsidRPr="00A6284F">
        <w:rPr>
          <w:rFonts w:eastAsia="Times New Roman"/>
          <w:b/>
          <w:color w:val="000000"/>
          <w:spacing w:val="-1"/>
          <w:sz w:val="24"/>
          <w:lang w:val="sq-AL"/>
        </w:rPr>
        <w:t xml:space="preserve">Rritja e efiçiencës së energjisë dhe </w:t>
      </w:r>
      <w:proofErr w:type="spellStart"/>
      <w:r w:rsidRPr="00A6284F">
        <w:rPr>
          <w:rFonts w:eastAsia="Times New Roman"/>
          <w:b/>
          <w:color w:val="000000"/>
          <w:spacing w:val="-1"/>
          <w:sz w:val="24"/>
          <w:lang w:val="sq-AL"/>
        </w:rPr>
        <w:t>diversifikimi</w:t>
      </w:r>
      <w:proofErr w:type="spellEnd"/>
      <w:r w:rsidRPr="00A6284F">
        <w:rPr>
          <w:rFonts w:eastAsia="Times New Roman"/>
          <w:b/>
          <w:color w:val="000000"/>
          <w:spacing w:val="-1"/>
          <w:sz w:val="24"/>
          <w:lang w:val="sq-AL"/>
        </w:rPr>
        <w:t xml:space="preserve"> nga qymyri mbeten konsiderata të rëndësishme të politik</w:t>
      </w:r>
      <w:r w:rsidR="00D8054E" w:rsidRPr="00A6284F">
        <w:rPr>
          <w:rFonts w:eastAsia="Times New Roman"/>
          <w:b/>
          <w:color w:val="000000"/>
          <w:spacing w:val="-1"/>
          <w:sz w:val="24"/>
          <w:lang w:val="sq-AL"/>
        </w:rPr>
        <w:t>ave</w:t>
      </w:r>
      <w:r w:rsidRPr="00A6284F">
        <w:rPr>
          <w:rFonts w:eastAsia="Times New Roman"/>
          <w:b/>
          <w:color w:val="000000"/>
          <w:spacing w:val="-1"/>
          <w:sz w:val="24"/>
          <w:lang w:val="sq-AL"/>
        </w:rPr>
        <w:t xml:space="preserve">. </w:t>
      </w:r>
      <w:r w:rsidRPr="00A6284F">
        <w:rPr>
          <w:rFonts w:eastAsia="Times New Roman"/>
          <w:color w:val="000000"/>
          <w:spacing w:val="-1"/>
          <w:sz w:val="24"/>
          <w:lang w:val="sq-AL"/>
        </w:rPr>
        <w:t xml:space="preserve">Pavarësisht investimeve në infrastrukturën e rrjetit energjetik (15 milionë euro), humbjet </w:t>
      </w:r>
      <w:r w:rsidR="00C9142A" w:rsidRPr="00A6284F">
        <w:rPr>
          <w:rFonts w:eastAsia="Times New Roman"/>
          <w:color w:val="000000"/>
          <w:spacing w:val="-1"/>
          <w:sz w:val="24"/>
          <w:lang w:val="sq-AL"/>
        </w:rPr>
        <w:t xml:space="preserve">në sistemin e </w:t>
      </w:r>
      <w:proofErr w:type="spellStart"/>
      <w:r w:rsidR="00C9142A" w:rsidRPr="00A6284F">
        <w:rPr>
          <w:rFonts w:eastAsia="Times New Roman"/>
          <w:color w:val="000000"/>
          <w:spacing w:val="-1"/>
          <w:sz w:val="24"/>
          <w:lang w:val="sq-AL"/>
        </w:rPr>
        <w:t>distribuimit</w:t>
      </w:r>
      <w:proofErr w:type="spellEnd"/>
      <w:r w:rsidR="00C9142A"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mbeten të larta edhe sipas standardeve rajonale, duke arritur gati 24% në gjysmën e parë të vitit 2018. Ligji për </w:t>
      </w:r>
      <w:proofErr w:type="spellStart"/>
      <w:r w:rsidRPr="00A6284F">
        <w:rPr>
          <w:rFonts w:eastAsia="Times New Roman"/>
          <w:color w:val="000000"/>
          <w:spacing w:val="-1"/>
          <w:sz w:val="24"/>
          <w:lang w:val="sq-AL"/>
        </w:rPr>
        <w:t>Efiçiencën</w:t>
      </w:r>
      <w:proofErr w:type="spellEnd"/>
      <w:r w:rsidRPr="00A6284F">
        <w:rPr>
          <w:rFonts w:eastAsia="Times New Roman"/>
          <w:color w:val="000000"/>
          <w:spacing w:val="-1"/>
          <w:sz w:val="24"/>
          <w:lang w:val="sq-AL"/>
        </w:rPr>
        <w:t xml:space="preserve"> e Energjisë (miratuar në 2018) krijoi një Fond për </w:t>
      </w:r>
      <w:proofErr w:type="spellStart"/>
      <w:r w:rsidRPr="00A6284F">
        <w:rPr>
          <w:rFonts w:eastAsia="Times New Roman"/>
          <w:color w:val="000000"/>
          <w:spacing w:val="-1"/>
          <w:sz w:val="24"/>
          <w:lang w:val="sq-AL"/>
        </w:rPr>
        <w:t>Efiçiencë</w:t>
      </w:r>
      <w:proofErr w:type="spellEnd"/>
      <w:r w:rsidRPr="00A6284F">
        <w:rPr>
          <w:rFonts w:eastAsia="Times New Roman"/>
          <w:color w:val="000000"/>
          <w:spacing w:val="-1"/>
          <w:sz w:val="24"/>
          <w:lang w:val="sq-AL"/>
        </w:rPr>
        <w:t xml:space="preserve"> të Energjisë, i cili do të mbështesë masat </w:t>
      </w:r>
      <w:r w:rsidRPr="00A6284F">
        <w:rPr>
          <w:rFonts w:eastAsia="Times New Roman"/>
          <w:color w:val="000000"/>
          <w:spacing w:val="-1"/>
          <w:sz w:val="24"/>
          <w:lang w:val="sq-AL"/>
        </w:rPr>
        <w:lastRenderedPageBreak/>
        <w:t>përkatëse në ndërtesat publike. Asnjë përparim nuk është bërë për masat e mëtejshme të efiçiencës së energjisë, të tilla si çrregullimi i çmimeve për sektorin e ekonomisë familjare</w:t>
      </w:r>
      <w:r w:rsidRPr="00A6284F">
        <w:rPr>
          <w:rFonts w:eastAsia="Times New Roman"/>
          <w:color w:val="000000"/>
          <w:sz w:val="24"/>
          <w:lang w:val="sq-AL"/>
        </w:rPr>
        <w:t>.</w:t>
      </w:r>
    </w:p>
    <w:p w:rsidR="00CE1051" w:rsidRPr="00A6284F" w:rsidRDefault="00CE1051" w:rsidP="00CE1051">
      <w:pPr>
        <w:spacing w:before="120"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 xml:space="preserve">Digjitalizimi i ekonomisë është duke përparuar gradualisht. </w:t>
      </w:r>
      <w:r w:rsidRPr="00A6284F">
        <w:rPr>
          <w:rFonts w:eastAsia="Times New Roman"/>
          <w:color w:val="000000"/>
          <w:sz w:val="24"/>
          <w:lang w:val="sq-AL"/>
        </w:rPr>
        <w:t xml:space="preserve">Kosova kishte arritur objektivat afatmesme në agjendën digjitale 2013-2020 për Kosovën deri në mes të vitit 2018, pasi depërtimi i internetit </w:t>
      </w:r>
      <w:r w:rsidR="00DA68DD" w:rsidRPr="00A6284F">
        <w:rPr>
          <w:rFonts w:eastAsia="Times New Roman"/>
          <w:color w:val="000000"/>
          <w:sz w:val="24"/>
          <w:lang w:val="sq-AL"/>
        </w:rPr>
        <w:t>brez</w:t>
      </w:r>
      <w:r w:rsidR="00417E15" w:rsidRPr="00A6284F">
        <w:rPr>
          <w:rFonts w:eastAsia="Times New Roman"/>
          <w:color w:val="000000"/>
          <w:sz w:val="24"/>
          <w:lang w:val="sq-AL"/>
        </w:rPr>
        <w:t>-</w:t>
      </w:r>
      <w:r w:rsidR="00DA68DD" w:rsidRPr="00A6284F">
        <w:rPr>
          <w:rFonts w:eastAsia="Times New Roman"/>
          <w:color w:val="000000"/>
          <w:sz w:val="24"/>
          <w:lang w:val="sq-AL"/>
        </w:rPr>
        <w:t xml:space="preserve">gjerë </w:t>
      </w:r>
      <w:r w:rsidRPr="00A6284F">
        <w:rPr>
          <w:rFonts w:eastAsia="Times New Roman"/>
          <w:color w:val="000000"/>
          <w:sz w:val="24"/>
          <w:lang w:val="sq-AL"/>
        </w:rPr>
        <w:t>arriti në 91% dhe numri i përdoruesve të telefonisë mobile ishte 103% e popullsisë.</w:t>
      </w:r>
    </w:p>
    <w:p w:rsidR="00CE1051" w:rsidRPr="00A6284F" w:rsidRDefault="00CE1051" w:rsidP="00CE1051">
      <w:pPr>
        <w:spacing w:before="121" w:line="273"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 xml:space="preserve">Struktura </w:t>
      </w:r>
      <w:r w:rsidR="00DA68DD" w:rsidRPr="00A6284F">
        <w:rPr>
          <w:rFonts w:eastAsia="Times New Roman"/>
          <w:color w:val="000000"/>
          <w:sz w:val="24"/>
          <w:u w:val="single"/>
          <w:lang w:val="sq-AL"/>
        </w:rPr>
        <w:t>sektoriale</w:t>
      </w:r>
      <w:r w:rsidRPr="00A6284F">
        <w:rPr>
          <w:rFonts w:eastAsia="Times New Roman"/>
          <w:color w:val="000000"/>
          <w:sz w:val="24"/>
          <w:u w:val="single"/>
          <w:lang w:val="sq-AL"/>
        </w:rPr>
        <w:t xml:space="preserve"> dhe e ndërmarrjeve</w:t>
      </w:r>
    </w:p>
    <w:p w:rsidR="00CE1051" w:rsidRPr="00A6284F" w:rsidRDefault="00CE1051" w:rsidP="00CE1051">
      <w:pPr>
        <w:spacing w:before="122" w:line="276" w:lineRule="exact"/>
        <w:ind w:left="72"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 xml:space="preserve">Sektori i shërbimeve vazhdon të dominojë ekonominë sa i përket BPV dhe punësimit. </w:t>
      </w:r>
      <w:r w:rsidRPr="00A6284F">
        <w:rPr>
          <w:rFonts w:eastAsia="Times New Roman"/>
          <w:color w:val="000000"/>
          <w:spacing w:val="1"/>
          <w:sz w:val="24"/>
          <w:lang w:val="sq-AL"/>
        </w:rPr>
        <w:t>Tregtia me shumicë dhe pakicë për grupin më të madh të ndërmarrjeve të regjistruara (23.5% të totalit),</w:t>
      </w:r>
      <w:r w:rsidR="00DA68DD" w:rsidRPr="00A6284F">
        <w:rPr>
          <w:rFonts w:eastAsia="Times New Roman"/>
          <w:color w:val="000000"/>
          <w:spacing w:val="1"/>
          <w:sz w:val="24"/>
          <w:lang w:val="sq-AL"/>
        </w:rPr>
        <w:t xml:space="preserve"> e</w:t>
      </w:r>
      <w:r w:rsidRPr="00A6284F">
        <w:rPr>
          <w:rFonts w:eastAsia="Times New Roman"/>
          <w:color w:val="000000"/>
          <w:spacing w:val="1"/>
          <w:sz w:val="24"/>
          <w:lang w:val="sq-AL"/>
        </w:rPr>
        <w:t xml:space="preserve"> pasuar nga prodhimi (9.7%), akomodimi (9.6%) dhe ndërtimi (8.5%). Struktura sektoriale e vlerës së shtuar bruto (VSHB) tregon një rënie të vazhdueshme të pjesës së bujqësisë, nga 14% në vitin 2009 në 9% në vitin 2017, pasuar nga kontributet e pakësuara të administratës publike dhe aktiviteteve të pasurive të paluajtshme (nga rreth 9% secila në vitin 2014 në rreth 7.5% në vitin 2017).</w:t>
      </w:r>
      <w:r w:rsidR="005430E6"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Aksionet e industrisë dhe tregtisë me shumicë dhe pakicë, duke përfshirë minierat, mbeten rreth mesatareve të tyre afatgjata (mbi 12% secila), duke </w:t>
      </w:r>
      <w:r w:rsidR="005430E6" w:rsidRPr="00A6284F">
        <w:rPr>
          <w:rFonts w:eastAsia="Times New Roman"/>
          <w:color w:val="000000"/>
          <w:spacing w:val="1"/>
          <w:sz w:val="24"/>
          <w:lang w:val="sq-AL"/>
        </w:rPr>
        <w:t>përbërë</w:t>
      </w:r>
      <w:r w:rsidRPr="00A6284F">
        <w:rPr>
          <w:rFonts w:eastAsia="Times New Roman"/>
          <w:color w:val="000000"/>
          <w:spacing w:val="1"/>
          <w:sz w:val="24"/>
          <w:lang w:val="sq-AL"/>
        </w:rPr>
        <w:t xml:space="preserve"> së bashku pothuajse një të katërtën e VSHB që nga viti 2012. Këta sektorë gjithashtu </w:t>
      </w:r>
      <w:r w:rsidR="005430E6" w:rsidRPr="00A6284F">
        <w:rPr>
          <w:rFonts w:eastAsia="Times New Roman"/>
          <w:color w:val="000000"/>
          <w:spacing w:val="1"/>
          <w:sz w:val="24"/>
          <w:lang w:val="sq-AL"/>
        </w:rPr>
        <w:t xml:space="preserve">punësojnë numrin </w:t>
      </w:r>
      <w:r w:rsidRPr="00A6284F">
        <w:rPr>
          <w:rFonts w:eastAsia="Times New Roman"/>
          <w:color w:val="000000"/>
          <w:spacing w:val="1"/>
          <w:sz w:val="24"/>
          <w:lang w:val="sq-AL"/>
        </w:rPr>
        <w:t>më të ma</w:t>
      </w:r>
      <w:r w:rsidR="005430E6" w:rsidRPr="00A6284F">
        <w:rPr>
          <w:rFonts w:eastAsia="Times New Roman"/>
          <w:color w:val="000000"/>
          <w:spacing w:val="1"/>
          <w:sz w:val="24"/>
          <w:lang w:val="sq-AL"/>
        </w:rPr>
        <w:t>dh</w:t>
      </w:r>
      <w:r w:rsidRPr="00A6284F">
        <w:rPr>
          <w:rFonts w:eastAsia="Times New Roman"/>
          <w:color w:val="000000"/>
          <w:spacing w:val="1"/>
          <w:sz w:val="24"/>
          <w:lang w:val="sq-AL"/>
        </w:rPr>
        <w:t xml:space="preserve"> (mjaft të qëndrueshme) të punëtorëve (mbi 14% secili gjatë katër viteve të fundit). Përqindja e punëtorëve në ndërtim</w:t>
      </w:r>
      <w:r w:rsidR="005430E6" w:rsidRPr="00A6284F">
        <w:rPr>
          <w:rFonts w:eastAsia="Times New Roman"/>
          <w:color w:val="000000"/>
          <w:spacing w:val="1"/>
          <w:sz w:val="24"/>
          <w:lang w:val="sq-AL"/>
        </w:rPr>
        <w:t>tari</w:t>
      </w:r>
      <w:r w:rsidRPr="00A6284F">
        <w:rPr>
          <w:rFonts w:eastAsia="Times New Roman"/>
          <w:color w:val="000000"/>
          <w:spacing w:val="1"/>
          <w:sz w:val="24"/>
          <w:lang w:val="sq-AL"/>
        </w:rPr>
        <w:t xml:space="preserve"> u rrit me shpejtësi nga 9.5% në vitin 2012 në gati 13.9% në vitin 2017. Pavarësisht kontributit </w:t>
      </w:r>
      <w:r w:rsidR="005430E6" w:rsidRPr="00A6284F">
        <w:rPr>
          <w:rFonts w:eastAsia="Times New Roman"/>
          <w:color w:val="000000"/>
          <w:spacing w:val="1"/>
          <w:sz w:val="24"/>
          <w:lang w:val="sq-AL"/>
        </w:rPr>
        <w:t>n</w:t>
      </w:r>
      <w:r w:rsidRPr="00A6284F">
        <w:rPr>
          <w:rFonts w:eastAsia="Times New Roman"/>
          <w:color w:val="000000"/>
          <w:spacing w:val="1"/>
          <w:sz w:val="24"/>
          <w:lang w:val="sq-AL"/>
        </w:rPr>
        <w:t xml:space="preserve">ë </w:t>
      </w:r>
      <w:r w:rsidR="005430E6" w:rsidRPr="00A6284F">
        <w:rPr>
          <w:rFonts w:eastAsia="Times New Roman"/>
          <w:color w:val="000000"/>
          <w:spacing w:val="1"/>
          <w:sz w:val="24"/>
          <w:lang w:val="sq-AL"/>
        </w:rPr>
        <w:t xml:space="preserve">zvogëlim </w:t>
      </w:r>
      <w:r w:rsidRPr="00A6284F">
        <w:rPr>
          <w:rFonts w:eastAsia="Times New Roman"/>
          <w:color w:val="000000"/>
          <w:spacing w:val="1"/>
          <w:sz w:val="24"/>
          <w:lang w:val="sq-AL"/>
        </w:rPr>
        <w:t xml:space="preserve">të bujqësisë në VSHB, punësimi në sektor u ringjall nga 2.3% në vitin 2015 në 4.4% në vitin 2017, duke sugjeruar </w:t>
      </w:r>
      <w:r w:rsidR="005430E6" w:rsidRPr="00A6284F">
        <w:rPr>
          <w:rFonts w:eastAsia="Times New Roman"/>
          <w:color w:val="000000"/>
          <w:spacing w:val="1"/>
          <w:sz w:val="24"/>
          <w:lang w:val="sq-AL"/>
        </w:rPr>
        <w:t xml:space="preserve">kalimin drejtë vendeve </w:t>
      </w:r>
      <w:r w:rsidRPr="00A6284F">
        <w:rPr>
          <w:rFonts w:eastAsia="Times New Roman"/>
          <w:color w:val="000000"/>
          <w:spacing w:val="1"/>
          <w:sz w:val="24"/>
          <w:lang w:val="sq-AL"/>
        </w:rPr>
        <w:t>formale</w:t>
      </w:r>
      <w:r w:rsidR="005430E6" w:rsidRPr="00A6284F">
        <w:rPr>
          <w:rFonts w:eastAsia="Times New Roman"/>
          <w:color w:val="000000"/>
          <w:spacing w:val="1"/>
          <w:sz w:val="24"/>
          <w:lang w:val="sq-AL"/>
        </w:rPr>
        <w:t xml:space="preserve"> të punës</w:t>
      </w:r>
      <w:r w:rsidRPr="00A6284F">
        <w:rPr>
          <w:rFonts w:eastAsia="Times New Roman"/>
          <w:color w:val="000000"/>
          <w:spacing w:val="1"/>
          <w:sz w:val="24"/>
          <w:lang w:val="sq-AL"/>
        </w:rPr>
        <w:t>, pasi ky sektor ka një shkallë të lartë të punësimit joformal.</w:t>
      </w:r>
    </w:p>
    <w:p w:rsidR="00CE1051" w:rsidRPr="00A6284F" w:rsidRDefault="00CE1051" w:rsidP="00CE1051">
      <w:pPr>
        <w:spacing w:before="120"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 xml:space="preserve">Për shkak të dominimit të </w:t>
      </w:r>
      <w:proofErr w:type="spellStart"/>
      <w:r w:rsidRPr="00A6284F">
        <w:rPr>
          <w:rFonts w:eastAsia="Times New Roman"/>
          <w:b/>
          <w:color w:val="000000"/>
          <w:sz w:val="24"/>
          <w:lang w:val="sq-AL"/>
        </w:rPr>
        <w:t>mikro</w:t>
      </w:r>
      <w:proofErr w:type="spellEnd"/>
      <w:r w:rsidRPr="00A6284F">
        <w:rPr>
          <w:rFonts w:eastAsia="Times New Roman"/>
          <w:b/>
          <w:color w:val="000000"/>
          <w:sz w:val="24"/>
          <w:lang w:val="sq-AL"/>
        </w:rPr>
        <w:t xml:space="preserve">-ndërmarrjeve, sektori privat i Kosovës nuk mund të përfitojë nga ekonomitë e shkallës. </w:t>
      </w:r>
      <w:r w:rsidRPr="00A6284F">
        <w:rPr>
          <w:rFonts w:eastAsia="Times New Roman"/>
          <w:color w:val="000000"/>
          <w:sz w:val="24"/>
          <w:lang w:val="sq-AL"/>
        </w:rPr>
        <w:t xml:space="preserve">Megjithëse NVM-të përfaqësojnë mbi 99% të ndërmarrjeve të regjistruara, pothuajse të gjitha ato janë </w:t>
      </w:r>
      <w:proofErr w:type="spellStart"/>
      <w:r w:rsidRPr="00A6284F">
        <w:rPr>
          <w:rFonts w:eastAsia="Times New Roman"/>
          <w:color w:val="000000"/>
          <w:sz w:val="24"/>
          <w:lang w:val="sq-AL"/>
        </w:rPr>
        <w:t>mikro</w:t>
      </w:r>
      <w:proofErr w:type="spellEnd"/>
      <w:r w:rsidRPr="00A6284F">
        <w:rPr>
          <w:rFonts w:eastAsia="Times New Roman"/>
          <w:color w:val="000000"/>
          <w:sz w:val="24"/>
          <w:lang w:val="sq-AL"/>
        </w:rPr>
        <w:t xml:space="preserve">-ndërmarrje që punësojnë 1-9 të punësuar, ndërkohë që përqindja e firmave më të mëdha (që punësojnë 10-249 punëtorë) është vetëm 1%. Hyrja në fuqi e Marrëveshjes së </w:t>
      </w:r>
      <w:proofErr w:type="spellStart"/>
      <w:r w:rsidRPr="00A6284F">
        <w:rPr>
          <w:rFonts w:eastAsia="Times New Roman"/>
          <w:color w:val="000000"/>
          <w:sz w:val="24"/>
          <w:lang w:val="sq-AL"/>
        </w:rPr>
        <w:t>Konkurrueshmërisë</w:t>
      </w:r>
      <w:proofErr w:type="spellEnd"/>
      <w:r w:rsidRPr="00A6284F">
        <w:rPr>
          <w:rFonts w:eastAsia="Times New Roman"/>
          <w:color w:val="000000"/>
          <w:sz w:val="24"/>
          <w:lang w:val="sq-AL"/>
        </w:rPr>
        <w:t xml:space="preserve"> së Ndërmarrjeve të Vogla dhe të Mesme (COSME) në vitin 2018 duhet të lejojë përdorimin efektiv të programit të BE për të mbështetur NVM-të.</w:t>
      </w:r>
    </w:p>
    <w:p w:rsidR="00CE1051" w:rsidRPr="00A6284F" w:rsidRDefault="00CE1051" w:rsidP="00CE1051">
      <w:pPr>
        <w:spacing w:before="121" w:after="115" w:line="273"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 xml:space="preserve">Integrimi ekonomik me BE dhe </w:t>
      </w:r>
      <w:proofErr w:type="spellStart"/>
      <w:r w:rsidRPr="00A6284F">
        <w:rPr>
          <w:rFonts w:eastAsia="Times New Roman"/>
          <w:color w:val="000000"/>
          <w:sz w:val="24"/>
          <w:u w:val="single"/>
          <w:lang w:val="sq-AL"/>
        </w:rPr>
        <w:t>konkurrueshmëria</w:t>
      </w:r>
      <w:proofErr w:type="spellEnd"/>
      <w:r w:rsidRPr="00A6284F">
        <w:rPr>
          <w:rFonts w:eastAsia="Times New Roman"/>
          <w:color w:val="000000"/>
          <w:sz w:val="24"/>
          <w:u w:val="single"/>
          <w:lang w:val="sq-AL"/>
        </w:rPr>
        <w:t xml:space="preserve"> e çmimeve</w:t>
      </w:r>
    </w:p>
    <w:p w:rsidR="00CE1051" w:rsidRPr="00A6284F" w:rsidRDefault="00AE58C8" w:rsidP="00CE1051">
      <w:pPr>
        <w:spacing w:after="437" w:line="275" w:lineRule="exact"/>
        <w:ind w:left="72" w:right="144"/>
        <w:jc w:val="both"/>
        <w:textAlignment w:val="baseline"/>
        <w:rPr>
          <w:rFonts w:eastAsia="Times New Roman"/>
          <w:b/>
          <w:color w:val="000000"/>
          <w:spacing w:val="2"/>
          <w:sz w:val="24"/>
          <w:lang w:val="sq-AL"/>
        </w:rPr>
      </w:pPr>
      <w:r w:rsidRPr="00A6284F">
        <w:rPr>
          <w:b/>
          <w:noProof/>
          <w:lang w:val="sq-AL"/>
        </w:rPr>
        <w:pict>
          <v:shape id="Text Box 19" o:spid="_x0000_s1156" type="#_x0000_t202" style="position:absolute;left:0;text-align:left;margin-left:64.35pt;margin-top:506.9pt;width:468pt;height:141.45pt;z-index:-251564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wP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" filled="f" stroked="f">
            <v:textbox inset="0,0,0,0">
              <w:txbxContent>
                <w:p w:rsidR="00F23D22" w:rsidRDefault="00F23D22" w:rsidP="00CE1051"/>
              </w:txbxContent>
            </v:textbox>
            <w10:wrap type="square" anchorx="page" anchory="page"/>
          </v:shape>
        </w:pict>
      </w:r>
      <w:r w:rsidRPr="00A6284F">
        <w:rPr>
          <w:b/>
          <w:noProof/>
          <w:lang w:val="sq-AL"/>
        </w:rPr>
        <w:pict>
          <v:shape id="Text Box 18" o:spid="_x0000_s1157" type="#_x0000_t202" style="position:absolute;left:0;text-align:left;margin-left:64.35pt;margin-top:506.9pt;width:460.05pt;height:134.6pt;z-index:-251563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lFtg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" filled="f" stroked="f">
            <v:textbox inset="0,0,0,0">
              <w:txbxContent>
                <w:p w:rsidR="00F23D22" w:rsidRDefault="00F23D22" w:rsidP="00CE1051">
                  <w:pPr>
                    <w:ind w:left="129"/>
                    <w:textAlignment w:val="baseline"/>
                  </w:pPr>
                  <w:r>
                    <w:rPr>
                      <w:noProof/>
                    </w:rPr>
                    <w:drawing>
                      <wp:inline distT="0" distB="0" distL="0" distR="0" wp14:anchorId="7254EFB7" wp14:editId="3F7D21A3">
                        <wp:extent cx="5760720" cy="170942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1"/>
                                <a:stretch>
                                  <a:fillRect/>
                                </a:stretch>
                              </pic:blipFill>
                              <pic:spPr>
                                <a:xfrm>
                                  <a:off x="0" y="0"/>
                                  <a:ext cx="5760720" cy="1709420"/>
                                </a:xfrm>
                                <a:prstGeom prst="rect">
                                  <a:avLst/>
                                </a:prstGeom>
                              </pic:spPr>
                            </pic:pic>
                          </a:graphicData>
                        </a:graphic>
                      </wp:inline>
                    </w:drawing>
                  </w:r>
                </w:p>
              </w:txbxContent>
            </v:textbox>
            <w10:wrap type="square" anchorx="page" anchory="page"/>
          </v:shape>
        </w:pict>
      </w:r>
      <w:r w:rsidRPr="00A6284F">
        <w:rPr>
          <w:b/>
          <w:noProof/>
          <w:lang w:val="sq-AL"/>
        </w:rPr>
        <w:pict>
          <v:shape id="Text Box 17" o:spid="_x0000_s1158" type="#_x0000_t202" style="position:absolute;left:0;text-align:left;margin-left:137.75pt;margin-top:509.8pt;width:98.9pt;height:10.05pt;z-index:-251561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" filled="f" stroked="f">
            <v:textbox inset="0,0,0,0">
              <w:txbxContent>
                <w:p w:rsidR="00F23D22" w:rsidRDefault="00F23D22" w:rsidP="00CE1051">
                  <w:pPr>
                    <w:spacing w:before="22" w:after="4" w:line="174" w:lineRule="exact"/>
                    <w:textAlignment w:val="baseline"/>
                    <w:rPr>
                      <w:rFonts w:ascii="Calibri" w:eastAsia="Calibri" w:hAnsi="Calibri"/>
                      <w:b/>
                      <w:color w:val="000000"/>
                      <w:spacing w:val="-7"/>
                      <w:sz w:val="17"/>
                    </w:rPr>
                  </w:pPr>
                  <w:r>
                    <w:rPr>
                      <w:rFonts w:ascii="Calibri" w:eastAsia="Calibri" w:hAnsi="Calibri"/>
                      <w:b/>
                      <w:color w:val="000000"/>
                      <w:spacing w:val="-7"/>
                      <w:sz w:val="17"/>
                    </w:rPr>
                    <w:t>Kosovo: Exports composition</w:t>
                  </w:r>
                </w:p>
              </w:txbxContent>
            </v:textbox>
            <w10:wrap type="square" anchorx="page" anchory="page"/>
          </v:shape>
        </w:pict>
      </w:r>
      <w:r w:rsidRPr="00A6284F">
        <w:rPr>
          <w:b/>
          <w:noProof/>
          <w:lang w:val="sq-AL"/>
        </w:rPr>
        <w:pict>
          <v:shape id="Text Box 16" o:spid="_x0000_s1159" type="#_x0000_t202" style="position:absolute;left:0;text-align:left;margin-left:88.15pt;margin-top:523.9pt;width:35.35pt;height:7.25pt;z-index:-251560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XXsQ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" filled="f" stroked="f">
            <v:textbox inset="0,0,0,0">
              <w:txbxContent>
                <w:p w:rsidR="00F23D22" w:rsidRDefault="00F23D22" w:rsidP="00CE1051">
                  <w:pPr>
                    <w:spacing w:line="134" w:lineRule="exact"/>
                    <w:textAlignment w:val="baseline"/>
                    <w:rPr>
                      <w:rFonts w:ascii="Tahoma" w:eastAsia="Tahoma" w:hAnsi="Tahoma"/>
                      <w:color w:val="000000"/>
                      <w:spacing w:val="7"/>
                      <w:sz w:val="12"/>
                    </w:rPr>
                  </w:pPr>
                  <w:r>
                    <w:rPr>
                      <w:rFonts w:ascii="Tahoma" w:eastAsia="Tahoma" w:hAnsi="Tahoma"/>
                      <w:color w:val="000000"/>
                      <w:spacing w:val="7"/>
                      <w:sz w:val="12"/>
                    </w:rPr>
                    <w:t>% of GDP</w:t>
                  </w:r>
                </w:p>
              </w:txbxContent>
            </v:textbox>
            <w10:wrap type="square" anchorx="page" anchory="page"/>
          </v:shape>
        </w:pict>
      </w:r>
      <w:r w:rsidRPr="00A6284F">
        <w:rPr>
          <w:b/>
          <w:noProof/>
          <w:lang w:val="sq-AL"/>
        </w:rPr>
        <w:pict>
          <v:shape id="Text Box 15" o:spid="_x0000_s1160" type="#_x0000_t202" style="position:absolute;left:0;text-align:left;margin-left:95.3pt;margin-top:613.25pt;width:186.7pt;height:8.55pt;z-index:-251559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QWtAIAALM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" filled="f" stroked="f">
            <v:textbox inset="0,0,0,0">
              <w:txbxContent>
                <w:p w:rsidR="00F23D22" w:rsidRDefault="00F23D22" w:rsidP="00CE1051">
                  <w:pPr>
                    <w:spacing w:before="19" w:line="143" w:lineRule="exact"/>
                    <w:textAlignment w:val="baseline"/>
                    <w:rPr>
                      <w:rFonts w:ascii="Calibri" w:eastAsia="Calibri" w:hAnsi="Calibri"/>
                      <w:b/>
                      <w:color w:val="000000"/>
                      <w:spacing w:val="27"/>
                      <w:sz w:val="14"/>
                    </w:rPr>
                  </w:pPr>
                  <w:r>
                    <w:rPr>
                      <w:rFonts w:ascii="Calibri" w:eastAsia="Calibri" w:hAnsi="Calibri"/>
                      <w:b/>
                      <w:color w:val="000000"/>
                      <w:spacing w:val="27"/>
                      <w:sz w:val="14"/>
                    </w:rPr>
                    <w:t>2010 2011 2012 2013 2014 2015 2016 2017</w:t>
                  </w:r>
                </w:p>
              </w:txbxContent>
            </v:textbox>
            <w10:wrap type="square" anchorx="page" anchory="page"/>
          </v:shape>
        </w:pict>
      </w:r>
      <w:r w:rsidRPr="00A6284F">
        <w:rPr>
          <w:b/>
          <w:noProof/>
          <w:lang w:val="sq-AL"/>
        </w:rPr>
        <w:pict>
          <v:shape id="Text Box 14" o:spid="_x0000_s1161" type="#_x0000_t202" style="position:absolute;left:0;text-align:left;margin-left:89.5pt;margin-top:627.6pt;width:193.7pt;height:11.55pt;z-index:-251558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lsQ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" filled="f" stroked="f">
            <v:textbox inset="0,0,0,0">
              <w:txbxContent>
                <w:p w:rsidR="00F23D22" w:rsidRDefault="00F23D22" w:rsidP="00CE1051">
                  <w:pPr>
                    <w:spacing w:line="115" w:lineRule="exact"/>
                    <w:textAlignment w:val="baseline"/>
                    <w:rPr>
                      <w:rFonts w:ascii="Tahoma" w:eastAsia="Tahoma" w:hAnsi="Tahoma"/>
                      <w:color w:val="000000"/>
                      <w:spacing w:val="26"/>
                      <w:sz w:val="12"/>
                    </w:rPr>
                  </w:pPr>
                  <w:r>
                    <w:rPr>
                      <w:rFonts w:ascii="Tahoma" w:eastAsia="Tahoma" w:hAnsi="Tahoma"/>
                      <w:color w:val="000000"/>
                      <w:spacing w:val="26"/>
                      <w:sz w:val="12"/>
                    </w:rPr>
                    <w:t>EU  CEFTA Other</w:t>
                  </w:r>
                </w:p>
                <w:p w:rsidR="00F23D22" w:rsidRDefault="00F23D22" w:rsidP="00CE1051">
                  <w:pPr>
                    <w:spacing w:line="105" w:lineRule="exact"/>
                    <w:jc w:val="right"/>
                    <w:textAlignment w:val="baseline"/>
                    <w:rPr>
                      <w:rFonts w:ascii="Tahoma" w:eastAsia="Tahoma" w:hAnsi="Tahoma"/>
                      <w:i/>
                      <w:color w:val="000000"/>
                      <w:spacing w:val="3"/>
                      <w:sz w:val="12"/>
                    </w:rPr>
                  </w:pPr>
                  <w:proofErr w:type="spellStart"/>
                  <w:r>
                    <w:rPr>
                      <w:rFonts w:ascii="Tahoma" w:eastAsia="Tahoma" w:hAnsi="Tahoma"/>
                      <w:i/>
                      <w:color w:val="000000"/>
                      <w:spacing w:val="3"/>
                      <w:sz w:val="12"/>
                    </w:rPr>
                    <w:t>Burimi</w:t>
                  </w:r>
                  <w:proofErr w:type="spellEnd"/>
                  <w:r>
                    <w:rPr>
                      <w:rFonts w:ascii="Tahoma" w:eastAsia="Tahoma" w:hAnsi="Tahoma"/>
                      <w:i/>
                      <w:color w:val="000000"/>
                      <w:spacing w:val="3"/>
                      <w:sz w:val="12"/>
                    </w:rPr>
                    <w:t xml:space="preserve">: </w:t>
                  </w:r>
                  <w:proofErr w:type="spellStart"/>
                  <w:r>
                    <w:rPr>
                      <w:rFonts w:ascii="Tahoma" w:eastAsia="Tahoma" w:hAnsi="Tahoma"/>
                      <w:i/>
                      <w:color w:val="000000"/>
                      <w:spacing w:val="3"/>
                      <w:sz w:val="12"/>
                    </w:rPr>
                    <w:t>WiiW</w:t>
                  </w:r>
                  <w:proofErr w:type="spellEnd"/>
                </w:p>
              </w:txbxContent>
            </v:textbox>
            <w10:wrap type="square" anchorx="page" anchory="page"/>
          </v:shape>
        </w:pict>
      </w:r>
      <w:r w:rsidRPr="00A6284F">
        <w:rPr>
          <w:b/>
          <w:noProof/>
          <w:lang w:val="sq-AL"/>
        </w:rPr>
        <w:pict>
          <v:shape id="Text Box 13" o:spid="_x0000_s1162" type="#_x0000_t202" style="position:absolute;left:0;text-align:left;margin-left:77.9pt;margin-top:562.55pt;width:7.4pt;height:7.25pt;z-index:-251557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tf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" filled="f" stroked="f">
            <v:textbox inset="0,0,0,0">
              <w:txbxContent>
                <w:p w:rsidR="00F23D22" w:rsidRDefault="00F23D22" w:rsidP="00CE1051">
                  <w:pPr>
                    <w:spacing w:line="139" w:lineRule="exact"/>
                    <w:textAlignment w:val="baseline"/>
                    <w:rPr>
                      <w:rFonts w:ascii="Tahoma" w:eastAsia="Tahoma" w:hAnsi="Tahoma"/>
                      <w:color w:val="000000"/>
                      <w:sz w:val="12"/>
                    </w:rPr>
                  </w:pPr>
                  <w:r>
                    <w:rPr>
                      <w:rFonts w:ascii="Tahoma" w:eastAsia="Tahoma" w:hAnsi="Tahoma"/>
                      <w:color w:val="000000"/>
                      <w:sz w:val="12"/>
                    </w:rPr>
                    <w:t>5</w:t>
                  </w:r>
                </w:p>
              </w:txbxContent>
            </v:textbox>
            <w10:wrap type="square" anchorx="page" anchory="page"/>
          </v:shape>
        </w:pict>
      </w:r>
      <w:r w:rsidRPr="00A6284F">
        <w:rPr>
          <w:b/>
          <w:noProof/>
          <w:lang w:val="sq-AL"/>
        </w:rPr>
        <w:pict>
          <v:shape id="Text Box 12" o:spid="_x0000_s1163" type="#_x0000_t202" style="position:absolute;left:0;text-align:left;margin-left:77.75pt;margin-top:604.8pt;width:7.95pt;height:7.25pt;z-index:-251556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qSrgIAALE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" filled="f" stroked="f">
            <v:textbox inset="0,0,0,0">
              <w:txbxContent>
                <w:p w:rsidR="00F23D22" w:rsidRDefault="00F23D22" w:rsidP="00CE1051">
                  <w:pPr>
                    <w:spacing w:line="144" w:lineRule="exact"/>
                    <w:textAlignment w:val="baseline"/>
                    <w:rPr>
                      <w:rFonts w:ascii="Tahoma" w:eastAsia="Tahoma" w:hAnsi="Tahoma"/>
                      <w:color w:val="000000"/>
                      <w:sz w:val="12"/>
                    </w:rPr>
                  </w:pPr>
                  <w:r>
                    <w:rPr>
                      <w:rFonts w:ascii="Tahoma" w:eastAsia="Tahoma" w:hAnsi="Tahoma"/>
                      <w:color w:val="000000"/>
                      <w:sz w:val="12"/>
                    </w:rPr>
                    <w:t>0</w:t>
                  </w:r>
                </w:p>
              </w:txbxContent>
            </v:textbox>
            <w10:wrap type="square" anchorx="page" anchory="page"/>
          </v:shape>
        </w:pict>
      </w:r>
      <w:r w:rsidRPr="00A6284F">
        <w:rPr>
          <w:b/>
          <w:noProof/>
          <w:lang w:val="sq-AL"/>
        </w:rPr>
        <w:pict>
          <v:shape id="Text Box 11" o:spid="_x0000_s1164" type="#_x0000_t202" style="position:absolute;left:0;text-align:left;margin-left:1in;margin-top:520.1pt;width:15.85pt;height:7.25pt;z-index:-251555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oBrwIAALE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" filled="f" stroked="f">
            <v:textbox inset="0,0,0,0">
              <w:txbxContent>
                <w:p w:rsidR="00F23D22" w:rsidRDefault="00F23D22" w:rsidP="00CE1051">
                  <w:pPr>
                    <w:spacing w:line="138" w:lineRule="exact"/>
                    <w:textAlignment w:val="baseline"/>
                    <w:rPr>
                      <w:rFonts w:ascii="Tahoma" w:eastAsia="Tahoma" w:hAnsi="Tahoma"/>
                      <w:color w:val="000000"/>
                      <w:spacing w:val="23"/>
                      <w:sz w:val="12"/>
                    </w:rPr>
                  </w:pPr>
                  <w:r>
                    <w:rPr>
                      <w:rFonts w:ascii="Tahoma" w:eastAsia="Tahoma" w:hAnsi="Tahoma"/>
                      <w:color w:val="000000"/>
                      <w:spacing w:val="23"/>
                      <w:sz w:val="12"/>
                    </w:rPr>
                    <w:t>10</w:t>
                  </w:r>
                </w:p>
              </w:txbxContent>
            </v:textbox>
            <w10:wrap type="square" anchorx="page" anchory="page"/>
          </v:shape>
        </w:pict>
      </w:r>
      <w:r w:rsidRPr="00A6284F">
        <w:rPr>
          <w:b/>
          <w:noProof/>
          <w:lang w:val="sq-AL"/>
        </w:rPr>
        <w:pict>
          <v:shape id="Text Box 10" o:spid="_x0000_s1165" type="#_x0000_t202" style="position:absolute;left:0;text-align:left;margin-left:349.7pt;margin-top:510.8pt;width:99.8pt;height:10pt;z-index:-251554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" filled="f" stroked="f">
            <v:textbox inset="0,0,0,0">
              <w:txbxContent>
                <w:p w:rsidR="00F23D22" w:rsidRDefault="00F23D22" w:rsidP="00CE1051">
                  <w:pPr>
                    <w:spacing w:before="22" w:line="173" w:lineRule="exact"/>
                    <w:textAlignment w:val="baseline"/>
                    <w:rPr>
                      <w:rFonts w:ascii="Calibri" w:eastAsia="Calibri" w:hAnsi="Calibri"/>
                      <w:b/>
                      <w:color w:val="000000"/>
                      <w:spacing w:val="-7"/>
                      <w:sz w:val="17"/>
                    </w:rPr>
                  </w:pPr>
                  <w:r>
                    <w:rPr>
                      <w:rFonts w:ascii="Calibri" w:eastAsia="Calibri" w:hAnsi="Calibri"/>
                      <w:b/>
                      <w:color w:val="000000"/>
                      <w:spacing w:val="-7"/>
                      <w:sz w:val="17"/>
                    </w:rPr>
                    <w:t>Kosovo: Imports composition</w:t>
                  </w:r>
                </w:p>
              </w:txbxContent>
            </v:textbox>
            <w10:wrap type="square" anchorx="page" anchory="page"/>
          </v:shape>
        </w:pict>
      </w:r>
      <w:r w:rsidRPr="00A6284F">
        <w:rPr>
          <w:b/>
          <w:noProof/>
          <w:lang w:val="sq-AL"/>
        </w:rPr>
        <w:pict>
          <v:shape id="Text Box 9" o:spid="_x0000_s1166" type="#_x0000_t202" style="position:absolute;left:0;text-align:left;margin-left:300.35pt;margin-top:520.3pt;width:16.35pt;height:7.25pt;z-index:-251553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" filled="f" stroked="f">
            <v:textbox inset="0,0,0,0">
              <w:txbxContent>
                <w:p w:rsidR="00F23D22" w:rsidRDefault="00F23D22" w:rsidP="00CE1051">
                  <w:pPr>
                    <w:spacing w:line="134" w:lineRule="exact"/>
                    <w:jc w:val="center"/>
                    <w:textAlignment w:val="baseline"/>
                    <w:rPr>
                      <w:rFonts w:ascii="Tahoma" w:eastAsia="Tahoma" w:hAnsi="Tahoma"/>
                      <w:color w:val="000000"/>
                      <w:spacing w:val="29"/>
                      <w:sz w:val="12"/>
                    </w:rPr>
                  </w:pPr>
                  <w:r>
                    <w:rPr>
                      <w:rFonts w:ascii="Tahoma" w:eastAsia="Tahoma" w:hAnsi="Tahoma"/>
                      <w:color w:val="000000"/>
                      <w:spacing w:val="29"/>
                      <w:sz w:val="12"/>
                    </w:rPr>
                    <w:t>60</w:t>
                  </w:r>
                </w:p>
              </w:txbxContent>
            </v:textbox>
            <w10:wrap type="square" anchorx="page" anchory="page"/>
          </v:shape>
        </w:pict>
      </w:r>
      <w:r w:rsidRPr="00A6284F">
        <w:rPr>
          <w:b/>
          <w:noProof/>
          <w:lang w:val="sq-AL"/>
        </w:rPr>
        <w:pict>
          <v:shape id="Text Box 8" o:spid="_x0000_s1167" type="#_x0000_t202" style="position:absolute;left:0;text-align:left;margin-left:318.55pt;margin-top:524.15pt;width:35.35pt;height:7.25pt;z-index:-251552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CrgIAALA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" filled="f" stroked="f">
            <v:textbox inset="0,0,0,0">
              <w:txbxContent>
                <w:p w:rsidR="00F23D22" w:rsidRDefault="00F23D22" w:rsidP="00CE1051">
                  <w:pPr>
                    <w:spacing w:line="144" w:lineRule="exact"/>
                    <w:textAlignment w:val="baseline"/>
                    <w:rPr>
                      <w:rFonts w:ascii="Tahoma" w:eastAsia="Tahoma" w:hAnsi="Tahoma"/>
                      <w:color w:val="000000"/>
                      <w:spacing w:val="7"/>
                      <w:sz w:val="12"/>
                    </w:rPr>
                  </w:pPr>
                  <w:r>
                    <w:rPr>
                      <w:rFonts w:ascii="Tahoma" w:eastAsia="Tahoma" w:hAnsi="Tahoma"/>
                      <w:color w:val="000000"/>
                      <w:spacing w:val="7"/>
                      <w:sz w:val="12"/>
                    </w:rPr>
                    <w:t>% of GDP</w:t>
                  </w:r>
                </w:p>
              </w:txbxContent>
            </v:textbox>
            <w10:wrap type="square" anchorx="page" anchory="page"/>
          </v:shape>
        </w:pict>
      </w:r>
      <w:r w:rsidRPr="00A6284F">
        <w:rPr>
          <w:b/>
          <w:noProof/>
          <w:lang w:val="sq-AL"/>
        </w:rPr>
        <w:pict>
          <v:shape id="Text Box 7" o:spid="_x0000_s1168" type="#_x0000_t202" style="position:absolute;left:0;text-align:left;margin-left:327.1pt;margin-top:613.5pt;width:182.2pt;height:8.55pt;z-index:-251551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FsA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" filled="f" stroked="f">
            <v:textbox inset="0,0,0,0">
              <w:txbxContent>
                <w:p w:rsidR="00F23D22" w:rsidRDefault="00F23D22" w:rsidP="00CE1051">
                  <w:pPr>
                    <w:spacing w:before="19" w:line="138" w:lineRule="exact"/>
                    <w:textAlignment w:val="baseline"/>
                    <w:rPr>
                      <w:rFonts w:ascii="Calibri" w:eastAsia="Calibri" w:hAnsi="Calibri"/>
                      <w:b/>
                      <w:color w:val="000000"/>
                      <w:spacing w:val="28"/>
                      <w:sz w:val="14"/>
                    </w:rPr>
                  </w:pPr>
                  <w:r>
                    <w:rPr>
                      <w:rFonts w:ascii="Calibri" w:eastAsia="Calibri" w:hAnsi="Calibri"/>
                      <w:b/>
                      <w:color w:val="000000"/>
                      <w:spacing w:val="28"/>
                      <w:sz w:val="14"/>
                    </w:rPr>
                    <w:t>010 2011 2012 2013 2014 2015 2016 2017</w:t>
                  </w:r>
                </w:p>
              </w:txbxContent>
            </v:textbox>
            <w10:wrap type="square" anchorx="page" anchory="page"/>
          </v:shape>
        </w:pict>
      </w:r>
      <w:r w:rsidRPr="00A6284F">
        <w:rPr>
          <w:b/>
          <w:noProof/>
          <w:lang w:val="sq-AL"/>
        </w:rPr>
        <w:pict>
          <v:shape id="Text Box 6" o:spid="_x0000_s1169" type="#_x0000_t202" style="position:absolute;left:0;text-align:left;margin-left:318.25pt;margin-top:627.6pt;width:192.45pt;height:11.55pt;z-index:-251550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" filled="f" stroked="f">
            <v:textbox inset="0,0,0,0">
              <w:txbxContent>
                <w:p w:rsidR="00F23D22" w:rsidRDefault="00F23D22" w:rsidP="00CE1051">
                  <w:pPr>
                    <w:spacing w:line="115" w:lineRule="exact"/>
                    <w:textAlignment w:val="baseline"/>
                    <w:rPr>
                      <w:rFonts w:ascii="Tahoma" w:eastAsia="Tahoma" w:hAnsi="Tahoma"/>
                      <w:color w:val="000000"/>
                      <w:spacing w:val="26"/>
                      <w:sz w:val="12"/>
                    </w:rPr>
                  </w:pPr>
                  <w:r>
                    <w:rPr>
                      <w:rFonts w:ascii="Tahoma" w:eastAsia="Tahoma" w:hAnsi="Tahoma"/>
                      <w:color w:val="000000"/>
                      <w:spacing w:val="26"/>
                      <w:sz w:val="12"/>
                    </w:rPr>
                    <w:t>EU  CEFTA Other</w:t>
                  </w:r>
                </w:p>
                <w:p w:rsidR="00F23D22" w:rsidRDefault="00F23D22" w:rsidP="00CE1051">
                  <w:pPr>
                    <w:spacing w:line="105" w:lineRule="exact"/>
                    <w:jc w:val="right"/>
                    <w:textAlignment w:val="baseline"/>
                    <w:rPr>
                      <w:rFonts w:ascii="Tahoma" w:eastAsia="Tahoma" w:hAnsi="Tahoma"/>
                      <w:i/>
                      <w:color w:val="000000"/>
                      <w:spacing w:val="3"/>
                      <w:sz w:val="12"/>
                    </w:rPr>
                  </w:pPr>
                  <w:proofErr w:type="spellStart"/>
                  <w:r>
                    <w:rPr>
                      <w:rFonts w:ascii="Tahoma" w:eastAsia="Tahoma" w:hAnsi="Tahoma"/>
                      <w:i/>
                      <w:color w:val="000000"/>
                      <w:spacing w:val="3"/>
                      <w:sz w:val="12"/>
                    </w:rPr>
                    <w:t>Burimi</w:t>
                  </w:r>
                  <w:proofErr w:type="spellEnd"/>
                  <w:r>
                    <w:rPr>
                      <w:rFonts w:ascii="Tahoma" w:eastAsia="Tahoma" w:hAnsi="Tahoma"/>
                      <w:i/>
                      <w:color w:val="000000"/>
                      <w:spacing w:val="3"/>
                      <w:sz w:val="12"/>
                    </w:rPr>
                    <w:t xml:space="preserve">: </w:t>
                  </w:r>
                  <w:proofErr w:type="spellStart"/>
                  <w:r>
                    <w:rPr>
                      <w:rFonts w:ascii="Tahoma" w:eastAsia="Tahoma" w:hAnsi="Tahoma"/>
                      <w:i/>
                      <w:color w:val="000000"/>
                      <w:spacing w:val="3"/>
                      <w:sz w:val="12"/>
                    </w:rPr>
                    <w:t>WiiW</w:t>
                  </w:r>
                  <w:proofErr w:type="spellEnd"/>
                </w:p>
              </w:txbxContent>
            </v:textbox>
            <w10:wrap type="square" anchorx="page" anchory="page"/>
          </v:shape>
        </w:pict>
      </w:r>
      <w:r w:rsidRPr="00A6284F">
        <w:rPr>
          <w:b/>
          <w:noProof/>
          <w:lang w:val="sq-AL"/>
        </w:rPr>
        <w:pict>
          <v:shape id="Text Box 5" o:spid="_x0000_s1170" type="#_x0000_t202" style="position:absolute;left:0;text-align:left;margin-left:300.1pt;margin-top:548.65pt;width:16.6pt;height:7.25pt;z-index:-251549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fWsQIAAK8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" filled="f" stroked="f">
            <v:textbox inset="0,0,0,0">
              <w:txbxContent>
                <w:p w:rsidR="00F23D22" w:rsidRDefault="00F23D22" w:rsidP="00CE1051">
                  <w:pPr>
                    <w:spacing w:line="143" w:lineRule="exact"/>
                    <w:jc w:val="center"/>
                    <w:textAlignment w:val="baseline"/>
                    <w:rPr>
                      <w:rFonts w:ascii="Tahoma" w:eastAsia="Tahoma" w:hAnsi="Tahoma"/>
                      <w:color w:val="000000"/>
                      <w:spacing w:val="31"/>
                      <w:sz w:val="12"/>
                    </w:rPr>
                  </w:pPr>
                  <w:r>
                    <w:rPr>
                      <w:rFonts w:ascii="Tahoma" w:eastAsia="Tahoma" w:hAnsi="Tahoma"/>
                      <w:color w:val="000000"/>
                      <w:spacing w:val="31"/>
                      <w:sz w:val="12"/>
                    </w:rPr>
                    <w:t>40</w:t>
                  </w:r>
                </w:p>
              </w:txbxContent>
            </v:textbox>
            <w10:wrap type="square" anchorx="page" anchory="page"/>
          </v:shape>
        </w:pict>
      </w:r>
      <w:r w:rsidRPr="00A6284F">
        <w:rPr>
          <w:b/>
          <w:noProof/>
          <w:lang w:val="sq-AL"/>
        </w:rPr>
        <w:pict>
          <v:shape id="Text Box 4" o:spid="_x0000_s1171" type="#_x0000_t202" style="position:absolute;left:0;text-align:left;margin-left:300.35pt;margin-top:576.7pt;width:16.35pt;height:7.25pt;z-index:-251548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" filled="f" stroked="f">
            <v:textbox inset="0,0,0,0">
              <w:txbxContent>
                <w:p w:rsidR="00F23D22" w:rsidRDefault="00F23D22" w:rsidP="00CE1051">
                  <w:pPr>
                    <w:spacing w:line="144" w:lineRule="exact"/>
                    <w:jc w:val="center"/>
                    <w:textAlignment w:val="baseline"/>
                    <w:rPr>
                      <w:rFonts w:ascii="Tahoma" w:eastAsia="Tahoma" w:hAnsi="Tahoma"/>
                      <w:color w:val="000000"/>
                      <w:spacing w:val="28"/>
                      <w:sz w:val="12"/>
                    </w:rPr>
                  </w:pPr>
                  <w:r>
                    <w:rPr>
                      <w:rFonts w:ascii="Tahoma" w:eastAsia="Tahoma" w:hAnsi="Tahoma"/>
                      <w:color w:val="000000"/>
                      <w:spacing w:val="28"/>
                      <w:sz w:val="12"/>
                    </w:rPr>
                    <w:t>20</w:t>
                  </w:r>
                </w:p>
              </w:txbxContent>
            </v:textbox>
            <w10:wrap type="square" anchorx="page" anchory="page"/>
          </v:shape>
        </w:pict>
      </w:r>
      <w:r w:rsidRPr="00A6284F">
        <w:rPr>
          <w:b/>
          <w:noProof/>
          <w:lang w:val="sq-AL"/>
        </w:rPr>
        <w:pict>
          <v:shape id="Text Box 3" o:spid="_x0000_s1172" type="#_x0000_t202" style="position:absolute;left:0;text-align:left;margin-left:306.5pt;margin-top:605.05pt;width:7.9pt;height:7.25pt;z-index:-251547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cprgIAAK8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" filled="f" stroked="f">
            <v:textbox inset="0,0,0,0">
              <w:txbxContent>
                <w:p w:rsidR="00F23D22" w:rsidRDefault="00F23D22" w:rsidP="00CE1051">
                  <w:pPr>
                    <w:spacing w:line="139" w:lineRule="exact"/>
                    <w:jc w:val="center"/>
                    <w:textAlignment w:val="baseline"/>
                    <w:rPr>
                      <w:rFonts w:ascii="Tahoma" w:eastAsia="Tahoma" w:hAnsi="Tahoma"/>
                      <w:color w:val="000000"/>
                      <w:sz w:val="12"/>
                    </w:rPr>
                  </w:pPr>
                  <w:r>
                    <w:rPr>
                      <w:rFonts w:ascii="Tahoma" w:eastAsia="Tahoma" w:hAnsi="Tahoma"/>
                      <w:color w:val="000000"/>
                      <w:sz w:val="12"/>
                    </w:rPr>
                    <w:t>0</w:t>
                  </w:r>
                </w:p>
              </w:txbxContent>
            </v:textbox>
            <w10:wrap type="square" anchorx="page" anchory="page"/>
          </v:shape>
        </w:pict>
      </w:r>
      <w:r w:rsidR="00CE1051" w:rsidRPr="00A6284F">
        <w:rPr>
          <w:b/>
          <w:noProof/>
          <w:lang w:val="sq-AL"/>
        </w:rPr>
        <w:t xml:space="preserve">BE është partneri më i madh tregtar i Kosovës, me 41.3% të tregtisë së përgjithshme të mallrave në </w:t>
      </w:r>
      <w:r w:rsidR="001B7304" w:rsidRPr="00A6284F">
        <w:rPr>
          <w:b/>
          <w:noProof/>
          <w:lang w:val="sq-AL"/>
        </w:rPr>
        <w:t xml:space="preserve">vitin </w:t>
      </w:r>
      <w:r w:rsidR="00CE1051" w:rsidRPr="00A6284F">
        <w:rPr>
          <w:b/>
          <w:noProof/>
          <w:lang w:val="sq-AL"/>
        </w:rPr>
        <w:t>2018</w:t>
      </w:r>
      <w:r w:rsidR="00CE1051" w:rsidRPr="00A6284F">
        <w:rPr>
          <w:rFonts w:eastAsia="Times New Roman"/>
          <w:b/>
          <w:color w:val="000000"/>
          <w:spacing w:val="2"/>
          <w:sz w:val="24"/>
          <w:lang w:val="sq-AL"/>
        </w:rPr>
        <w:t>.</w:t>
      </w:r>
      <w:r w:rsidR="001B7304" w:rsidRPr="00A6284F">
        <w:rPr>
          <w:rFonts w:eastAsia="Times New Roman"/>
          <w:b/>
          <w:color w:val="000000"/>
          <w:spacing w:val="2"/>
          <w:sz w:val="24"/>
          <w:lang w:val="sq-AL"/>
        </w:rPr>
        <w:t xml:space="preserve"> </w:t>
      </w:r>
      <w:r w:rsidR="00CE1051" w:rsidRPr="00A6284F">
        <w:rPr>
          <w:rFonts w:eastAsia="Times New Roman"/>
          <w:color w:val="000000"/>
          <w:spacing w:val="2"/>
          <w:sz w:val="24"/>
          <w:lang w:val="sq-AL"/>
        </w:rPr>
        <w:t xml:space="preserve">Pasohet nga palët e CEFTA, me 29% të tregtisë totale. Palët e CEFTA përbëjnë gati 48% të eksporteve të mallrave të Kosovës dhe 30% shkojnë në BE. Nga ana e importit, pjesa e BE është mbi 40%, pasuar nga 28% nga palët e CEFTA. </w:t>
      </w:r>
      <w:r w:rsidR="001B7304" w:rsidRPr="00A6284F">
        <w:rPr>
          <w:rFonts w:eastAsia="Times New Roman"/>
          <w:color w:val="000000"/>
          <w:spacing w:val="2"/>
          <w:sz w:val="24"/>
          <w:lang w:val="sq-AL"/>
        </w:rPr>
        <w:t>Ta</w:t>
      </w:r>
      <w:r w:rsidR="00CE1051" w:rsidRPr="00A6284F">
        <w:rPr>
          <w:rFonts w:eastAsia="Times New Roman"/>
          <w:color w:val="000000"/>
          <w:spacing w:val="2"/>
          <w:sz w:val="24"/>
          <w:lang w:val="sq-AL"/>
        </w:rPr>
        <w:t>ksa</w:t>
      </w:r>
      <w:r w:rsidR="001B7304" w:rsidRPr="00A6284F">
        <w:rPr>
          <w:rFonts w:eastAsia="Times New Roman"/>
          <w:color w:val="000000"/>
          <w:spacing w:val="2"/>
          <w:sz w:val="24"/>
          <w:lang w:val="sq-AL"/>
        </w:rPr>
        <w:t xml:space="preserve"> prej</w:t>
      </w:r>
      <w:r w:rsidR="00CE1051" w:rsidRPr="00A6284F">
        <w:rPr>
          <w:rFonts w:eastAsia="Times New Roman"/>
          <w:color w:val="000000"/>
          <w:spacing w:val="2"/>
          <w:sz w:val="24"/>
          <w:lang w:val="sq-AL"/>
        </w:rPr>
        <w:t xml:space="preserve"> 100% </w:t>
      </w:r>
      <w:r w:rsidR="001B7304" w:rsidRPr="00A6284F">
        <w:rPr>
          <w:rFonts w:eastAsia="Times New Roman"/>
          <w:color w:val="000000"/>
          <w:spacing w:val="2"/>
          <w:sz w:val="24"/>
          <w:lang w:val="sq-AL"/>
        </w:rPr>
        <w:t xml:space="preserve"> e vendosur rishtazi ndaj mallrave të </w:t>
      </w:r>
      <w:r w:rsidR="00CE1051" w:rsidRPr="00A6284F">
        <w:rPr>
          <w:rFonts w:eastAsia="Times New Roman"/>
          <w:color w:val="000000"/>
          <w:spacing w:val="2"/>
          <w:sz w:val="24"/>
          <w:lang w:val="sq-AL"/>
        </w:rPr>
        <w:t>import</w:t>
      </w:r>
      <w:r w:rsidR="001B7304" w:rsidRPr="00A6284F">
        <w:rPr>
          <w:rFonts w:eastAsia="Times New Roman"/>
          <w:color w:val="000000"/>
          <w:spacing w:val="2"/>
          <w:sz w:val="24"/>
          <w:lang w:val="sq-AL"/>
        </w:rPr>
        <w:t xml:space="preserve">uara </w:t>
      </w:r>
      <w:r w:rsidR="00CE1051" w:rsidRPr="00A6284F">
        <w:rPr>
          <w:rFonts w:eastAsia="Times New Roman"/>
          <w:color w:val="000000"/>
          <w:spacing w:val="2"/>
          <w:sz w:val="24"/>
          <w:lang w:val="sq-AL"/>
        </w:rPr>
        <w:t xml:space="preserve">me origjinë nga Serbia dhe </w:t>
      </w:r>
      <w:proofErr w:type="spellStart"/>
      <w:r w:rsidR="00CE1051" w:rsidRPr="00A6284F">
        <w:rPr>
          <w:rFonts w:eastAsia="Times New Roman"/>
          <w:color w:val="000000"/>
          <w:spacing w:val="2"/>
          <w:sz w:val="24"/>
          <w:lang w:val="sq-AL"/>
        </w:rPr>
        <w:t>B</w:t>
      </w:r>
      <w:r w:rsidR="001B7304" w:rsidRPr="00A6284F">
        <w:rPr>
          <w:rFonts w:eastAsia="Times New Roman"/>
          <w:color w:val="000000"/>
          <w:spacing w:val="2"/>
          <w:sz w:val="24"/>
          <w:lang w:val="sq-AL"/>
        </w:rPr>
        <w:t>e</w:t>
      </w:r>
      <w:r w:rsidR="00CE1051" w:rsidRPr="00A6284F">
        <w:rPr>
          <w:rFonts w:eastAsia="Times New Roman"/>
          <w:color w:val="000000"/>
          <w:spacing w:val="2"/>
          <w:sz w:val="24"/>
          <w:lang w:val="sq-AL"/>
        </w:rPr>
        <w:t>H</w:t>
      </w:r>
      <w:proofErr w:type="spellEnd"/>
      <w:r w:rsidR="00CE1051" w:rsidRPr="00A6284F">
        <w:rPr>
          <w:rFonts w:eastAsia="Times New Roman"/>
          <w:color w:val="000000"/>
          <w:spacing w:val="2"/>
          <w:sz w:val="24"/>
          <w:lang w:val="sq-AL"/>
        </w:rPr>
        <w:t xml:space="preserve"> është në kundërshtim me CEFTA dhe pengon zhvillimin e një zone ekonomike rajonale të Ballkanit Perëndimor (</w:t>
      </w:r>
      <w:r w:rsidR="001B7304" w:rsidRPr="00A6284F">
        <w:rPr>
          <w:rFonts w:eastAsia="Times New Roman"/>
          <w:color w:val="000000"/>
          <w:spacing w:val="2"/>
          <w:sz w:val="24"/>
          <w:lang w:val="sq-AL"/>
        </w:rPr>
        <w:t>REA)</w:t>
      </w:r>
      <w:r w:rsidR="00CE1051" w:rsidRPr="00A6284F">
        <w:rPr>
          <w:rFonts w:eastAsia="Times New Roman"/>
          <w:color w:val="000000"/>
          <w:spacing w:val="2"/>
          <w:sz w:val="24"/>
          <w:lang w:val="sq-AL"/>
        </w:rPr>
        <w:t xml:space="preserve">. BE i ka bërë thirrje në mënyrë të përsëritur Kosovës që të revokojë këtë masë ekonomikisht </w:t>
      </w:r>
      <w:proofErr w:type="spellStart"/>
      <w:r w:rsidR="00CE1051" w:rsidRPr="00A6284F">
        <w:rPr>
          <w:rFonts w:eastAsia="Times New Roman"/>
          <w:color w:val="000000"/>
          <w:spacing w:val="2"/>
          <w:sz w:val="24"/>
          <w:lang w:val="sq-AL"/>
        </w:rPr>
        <w:t>kundërproduktive</w:t>
      </w:r>
      <w:proofErr w:type="spellEnd"/>
      <w:r w:rsidR="00CE1051" w:rsidRPr="00A6284F">
        <w:rPr>
          <w:rFonts w:eastAsia="Times New Roman"/>
          <w:color w:val="000000"/>
          <w:spacing w:val="2"/>
          <w:sz w:val="24"/>
          <w:lang w:val="sq-AL"/>
        </w:rPr>
        <w:t>.</w:t>
      </w:r>
    </w:p>
    <w:p w:rsidR="00CE1051" w:rsidRPr="00A6284F" w:rsidRDefault="00CE1051" w:rsidP="00CE1051">
      <w:pPr>
        <w:rPr>
          <w:lang w:val="sq-AL"/>
        </w:rPr>
        <w:sectPr w:rsidR="00CE1051" w:rsidRPr="00A6284F" w:rsidSect="00CE1051">
          <w:pgSz w:w="11909" w:h="16838"/>
          <w:pgMar w:top="1400" w:right="1282" w:bottom="562" w:left="1267" w:header="720" w:footer="720" w:gutter="0"/>
          <w:cols w:space="720"/>
        </w:sectPr>
      </w:pPr>
    </w:p>
    <w:p w:rsidR="00CE1051" w:rsidRPr="00A6284F" w:rsidRDefault="00CE1051" w:rsidP="00CE1051">
      <w:pPr>
        <w:spacing w:before="60" w:line="276" w:lineRule="exact"/>
        <w:ind w:left="72" w:right="144"/>
        <w:jc w:val="both"/>
        <w:textAlignment w:val="baseline"/>
        <w:rPr>
          <w:rFonts w:eastAsia="Times New Roman"/>
          <w:b/>
          <w:color w:val="000000"/>
          <w:spacing w:val="2"/>
          <w:sz w:val="24"/>
          <w:lang w:val="sq-AL"/>
        </w:rPr>
      </w:pPr>
      <w:r w:rsidRPr="00A6284F">
        <w:rPr>
          <w:rFonts w:eastAsia="Times New Roman"/>
          <w:b/>
          <w:color w:val="000000"/>
          <w:spacing w:val="2"/>
          <w:sz w:val="24"/>
          <w:lang w:val="sq-AL"/>
        </w:rPr>
        <w:lastRenderedPageBreak/>
        <w:t xml:space="preserve">BE mbetet investitori kryesor në Kosovë. </w:t>
      </w:r>
      <w:r w:rsidRPr="00A6284F">
        <w:rPr>
          <w:rFonts w:eastAsia="Times New Roman"/>
          <w:color w:val="000000"/>
          <w:spacing w:val="2"/>
          <w:sz w:val="24"/>
          <w:lang w:val="sq-AL"/>
        </w:rPr>
        <w:t>Pjesa e saj qëndroi në 36% të stokut neto të IHD në tremujorin e tretë të vitit 2018. Gjermania dhe Zvicra (dy vende me diaspora të mëdha kosovare) përbënin 11% secila, ndërsa 13% të tjerë kanë origjinën në Turqi. Sa i përket flukseve të IHD, pjesa e BE ishte në 47% të fluksit të përgjithshëm në vitin 2018, pasuar nga Zvicra prej 30%.</w:t>
      </w:r>
      <w:r w:rsidRPr="00A6284F">
        <w:rPr>
          <w:rStyle w:val="FootnoteReference"/>
          <w:rFonts w:eastAsia="Times New Roman"/>
          <w:color w:val="000000"/>
          <w:spacing w:val="2"/>
          <w:sz w:val="24"/>
          <w:lang w:val="sq-AL"/>
        </w:rPr>
        <w:footnoteReference w:id="11"/>
      </w:r>
    </w:p>
    <w:p w:rsidR="00CE1051" w:rsidRPr="00A6284F" w:rsidRDefault="00CE1051" w:rsidP="00CE1051">
      <w:pPr>
        <w:spacing w:before="78" w:line="276" w:lineRule="exact"/>
        <w:ind w:left="72" w:right="144"/>
        <w:jc w:val="both"/>
        <w:textAlignment w:val="baseline"/>
        <w:rPr>
          <w:rFonts w:eastAsia="Times New Roman"/>
          <w:b/>
          <w:color w:val="000000"/>
          <w:sz w:val="24"/>
          <w:lang w:val="sq-AL"/>
        </w:rPr>
      </w:pPr>
      <w:r w:rsidRPr="00A6284F">
        <w:rPr>
          <w:rFonts w:eastAsia="Times New Roman"/>
          <w:b/>
          <w:color w:val="000000"/>
          <w:sz w:val="24"/>
          <w:lang w:val="sq-AL"/>
        </w:rPr>
        <w:t xml:space="preserve">Hapja e përgjithshme e tregtisë u rrit në 79% të BPV në vitin 2017 nga 72% në vitin 2013. </w:t>
      </w:r>
      <w:r w:rsidRPr="00A6284F">
        <w:rPr>
          <w:rFonts w:eastAsia="Times New Roman"/>
          <w:color w:val="000000"/>
          <w:sz w:val="24"/>
          <w:lang w:val="sq-AL"/>
        </w:rPr>
        <w:t xml:space="preserve">Eksportet e mallrave dhe shërbimeve u rritën nga 22% në 27% të BPV për shkak të një kontributi të rëndësishëm nga eksportet e shërbimeve. Këto mbeten të </w:t>
      </w:r>
      <w:proofErr w:type="spellStart"/>
      <w:r w:rsidRPr="00A6284F">
        <w:rPr>
          <w:rFonts w:eastAsia="Times New Roman"/>
          <w:color w:val="000000"/>
          <w:sz w:val="24"/>
          <w:lang w:val="sq-AL"/>
        </w:rPr>
        <w:t>dominuara</w:t>
      </w:r>
      <w:proofErr w:type="spellEnd"/>
      <w:r w:rsidRPr="00A6284F">
        <w:rPr>
          <w:rFonts w:eastAsia="Times New Roman"/>
          <w:color w:val="000000"/>
          <w:sz w:val="24"/>
          <w:lang w:val="sq-AL"/>
        </w:rPr>
        <w:t xml:space="preserve"> nga shërbimet e udhëtimit në diasporë, por</w:t>
      </w:r>
      <w:r w:rsidR="002739B1" w:rsidRPr="00A6284F">
        <w:rPr>
          <w:rFonts w:eastAsia="Times New Roman"/>
          <w:color w:val="000000"/>
          <w:sz w:val="24"/>
          <w:lang w:val="sq-AL"/>
        </w:rPr>
        <w:t xml:space="preserve"> shërbimet e</w:t>
      </w:r>
      <w:r w:rsidRPr="00A6284F">
        <w:rPr>
          <w:rFonts w:eastAsia="Times New Roman"/>
          <w:color w:val="000000"/>
          <w:sz w:val="24"/>
          <w:lang w:val="sq-AL"/>
        </w:rPr>
        <w:t xml:space="preserve"> TI</w:t>
      </w:r>
      <w:r w:rsidR="002739B1" w:rsidRPr="00A6284F">
        <w:rPr>
          <w:rFonts w:eastAsia="Times New Roman"/>
          <w:color w:val="000000"/>
          <w:sz w:val="24"/>
          <w:lang w:val="sq-AL"/>
        </w:rPr>
        <w:t xml:space="preserve">-së </w:t>
      </w:r>
      <w:r w:rsidRPr="00A6284F">
        <w:rPr>
          <w:rFonts w:eastAsia="Times New Roman"/>
          <w:color w:val="000000"/>
          <w:sz w:val="24"/>
          <w:lang w:val="sq-AL"/>
        </w:rPr>
        <w:t xml:space="preserve">dhe shërbimet e tjera </w:t>
      </w:r>
      <w:proofErr w:type="spellStart"/>
      <w:r w:rsidRPr="00A6284F">
        <w:rPr>
          <w:rFonts w:eastAsia="Times New Roman"/>
          <w:color w:val="000000"/>
          <w:sz w:val="24"/>
          <w:lang w:val="sq-AL"/>
        </w:rPr>
        <w:t>biznes</w:t>
      </w:r>
      <w:r w:rsidR="002739B1" w:rsidRPr="00A6284F">
        <w:rPr>
          <w:rFonts w:eastAsia="Times New Roman"/>
          <w:color w:val="000000"/>
          <w:sz w:val="24"/>
          <w:lang w:val="sq-AL"/>
        </w:rPr>
        <w:t>ore</w:t>
      </w:r>
      <w:proofErr w:type="spellEnd"/>
      <w:r w:rsidR="002739B1" w:rsidRPr="00A6284F">
        <w:rPr>
          <w:rFonts w:eastAsia="Times New Roman"/>
          <w:color w:val="000000"/>
          <w:sz w:val="24"/>
          <w:lang w:val="sq-AL"/>
        </w:rPr>
        <w:t xml:space="preserve"> </w:t>
      </w:r>
      <w:r w:rsidRPr="00A6284F">
        <w:rPr>
          <w:rFonts w:eastAsia="Times New Roman"/>
          <w:color w:val="000000"/>
          <w:sz w:val="24"/>
          <w:lang w:val="sq-AL"/>
        </w:rPr>
        <w:t>u rritën duke arritur pothuajse 10% të totalit të eksporteve të shërbimeve në vitin 2018. Shumica e eksporteve të mallrave të Kosovës ende përbëhen n</w:t>
      </w:r>
      <w:r w:rsidR="002739B1" w:rsidRPr="00A6284F">
        <w:rPr>
          <w:rFonts w:eastAsia="Times New Roman"/>
          <w:color w:val="000000"/>
          <w:sz w:val="24"/>
          <w:lang w:val="sq-AL"/>
        </w:rPr>
        <w:t xml:space="preserve">ga lënda e parë </w:t>
      </w:r>
      <w:r w:rsidRPr="00A6284F">
        <w:rPr>
          <w:rFonts w:eastAsia="Times New Roman"/>
          <w:color w:val="000000"/>
          <w:sz w:val="24"/>
          <w:lang w:val="sq-AL"/>
        </w:rPr>
        <w:t xml:space="preserve">dhe produktet minerale, duke </w:t>
      </w:r>
      <w:r w:rsidR="002739B1" w:rsidRPr="00A6284F">
        <w:rPr>
          <w:rFonts w:eastAsia="Times New Roman"/>
          <w:color w:val="000000"/>
          <w:sz w:val="24"/>
          <w:lang w:val="sq-AL"/>
        </w:rPr>
        <w:t xml:space="preserve">pasqyruar kësisoj </w:t>
      </w:r>
      <w:proofErr w:type="spellStart"/>
      <w:r w:rsidRPr="00A6284F">
        <w:rPr>
          <w:rFonts w:eastAsia="Times New Roman"/>
          <w:color w:val="000000"/>
          <w:sz w:val="24"/>
          <w:lang w:val="sq-AL"/>
        </w:rPr>
        <w:t>diversifikimin</w:t>
      </w:r>
      <w:proofErr w:type="spellEnd"/>
      <w:r w:rsidRPr="00A6284F">
        <w:rPr>
          <w:rFonts w:eastAsia="Times New Roman"/>
          <w:color w:val="000000"/>
          <w:sz w:val="24"/>
          <w:lang w:val="sq-AL"/>
        </w:rPr>
        <w:t xml:space="preserve"> e kufizuar të sektorit të prodhimit.</w:t>
      </w:r>
    </w:p>
    <w:p w:rsidR="00CE1051" w:rsidRPr="00A6284F" w:rsidRDefault="00CE1051" w:rsidP="00CE1051">
      <w:pPr>
        <w:tabs>
          <w:tab w:val="left" w:pos="792"/>
        </w:tabs>
        <w:spacing w:before="130" w:line="274" w:lineRule="exact"/>
        <w:ind w:left="72"/>
        <w:textAlignment w:val="baseline"/>
        <w:rPr>
          <w:rFonts w:eastAsia="Times New Roman"/>
          <w:b/>
          <w:color w:val="000000"/>
          <w:sz w:val="24"/>
          <w:lang w:val="sq-AL"/>
        </w:rPr>
      </w:pPr>
      <w:r w:rsidRPr="00A6284F">
        <w:rPr>
          <w:rFonts w:eastAsia="Times New Roman"/>
          <w:b/>
          <w:color w:val="000000"/>
          <w:sz w:val="24"/>
          <w:lang w:val="sq-AL"/>
        </w:rPr>
        <w:t>4.</w:t>
      </w:r>
      <w:r w:rsidRPr="00A6284F">
        <w:rPr>
          <w:rFonts w:eastAsia="Times New Roman"/>
          <w:b/>
          <w:color w:val="000000"/>
          <w:sz w:val="24"/>
          <w:lang w:val="sq-AL"/>
        </w:rPr>
        <w:tab/>
        <w:t>M</w:t>
      </w:r>
      <w:r w:rsidRPr="00A6284F">
        <w:rPr>
          <w:rFonts w:eastAsia="Times New Roman"/>
          <w:b/>
          <w:color w:val="000000"/>
          <w:sz w:val="19"/>
          <w:lang w:val="sq-AL"/>
        </w:rPr>
        <w:t>ARRËDHËNIET E MIRA FQINJËSORE DHE BASHKËPUNIMI RAJONAL</w:t>
      </w:r>
    </w:p>
    <w:p w:rsidR="00CE1051" w:rsidRPr="00A6284F" w:rsidRDefault="00CE1051" w:rsidP="00CE1051">
      <w:pPr>
        <w:spacing w:before="112" w:line="276" w:lineRule="exact"/>
        <w:ind w:left="72"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 xml:space="preserve">Marrëdhëniet e mira fqinjësore dhe bashkëpunimi rajonal </w:t>
      </w:r>
      <w:r w:rsidRPr="00A6284F">
        <w:rPr>
          <w:rFonts w:eastAsia="Times New Roman"/>
          <w:color w:val="000000"/>
          <w:spacing w:val="1"/>
          <w:sz w:val="24"/>
          <w:lang w:val="sq-AL"/>
        </w:rPr>
        <w:t>paraqesin një aspekt thelbësor të procesit të Kosovës drejt BE.</w:t>
      </w:r>
      <w:r w:rsidR="002739B1" w:rsidRPr="00A6284F">
        <w:rPr>
          <w:rFonts w:eastAsia="Times New Roman"/>
          <w:color w:val="000000"/>
          <w:spacing w:val="1"/>
          <w:sz w:val="24"/>
          <w:lang w:val="sq-AL"/>
        </w:rPr>
        <w:t xml:space="preserve"> </w:t>
      </w:r>
      <w:r w:rsidRPr="00A6284F">
        <w:rPr>
          <w:rFonts w:eastAsia="Times New Roman"/>
          <w:color w:val="000000"/>
          <w:spacing w:val="1"/>
          <w:sz w:val="24"/>
          <w:lang w:val="sq-AL"/>
        </w:rPr>
        <w:t>Ato kontribuojnë në stabilitet, pajtim dhe një klimë që është e favorshme për adresimin e çështjeve të hapura bilaterale dhe trashëgiminë e së kaluarës. Kosova mbajti angazhimin e saj në një numër iniciativash të bashkëpunimit rajonal, si</w:t>
      </w:r>
      <w:r w:rsidR="002739B1" w:rsidRPr="00A6284F">
        <w:rPr>
          <w:rFonts w:eastAsia="Times New Roman"/>
          <w:color w:val="000000"/>
          <w:spacing w:val="1"/>
          <w:sz w:val="24"/>
          <w:lang w:val="sq-AL"/>
        </w:rPr>
        <w:t xml:space="preserve"> </w:t>
      </w:r>
      <w:r w:rsidRPr="00A6284F">
        <w:rPr>
          <w:rFonts w:eastAsia="Times New Roman"/>
          <w:color w:val="000000"/>
          <w:spacing w:val="1"/>
          <w:sz w:val="24"/>
          <w:lang w:val="sq-AL"/>
        </w:rPr>
        <w:t>Procesi i Bashkëpunimit të Evropës Juglindore, Këshilli për Bashkëpunim Rajonal, Marrëveshja e Tregtisë së Lirë të Evropës Qendrore (CEFTA),</w:t>
      </w:r>
      <w:r w:rsidR="002739B1"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Traktati i Komunitetit të Energjisë, Koalicioni për Komisionin për vërtetimin e fakteve mbi krimet e luftës dhe shkeljet tjera të rënda të </w:t>
      </w:r>
      <w:proofErr w:type="spellStart"/>
      <w:r w:rsidRPr="00A6284F">
        <w:rPr>
          <w:rFonts w:eastAsia="Times New Roman"/>
          <w:color w:val="000000"/>
          <w:spacing w:val="1"/>
          <w:sz w:val="24"/>
          <w:lang w:val="sq-AL"/>
        </w:rPr>
        <w:t>të</w:t>
      </w:r>
      <w:proofErr w:type="spellEnd"/>
      <w:r w:rsidRPr="00A6284F">
        <w:rPr>
          <w:rFonts w:eastAsia="Times New Roman"/>
          <w:color w:val="000000"/>
          <w:spacing w:val="1"/>
          <w:sz w:val="24"/>
          <w:lang w:val="sq-AL"/>
        </w:rPr>
        <w:t xml:space="preserve"> drejtave të njeriut të kryera në ish-Jugosllavi (RECOM) dhe procesi i </w:t>
      </w:r>
      <w:proofErr w:type="spellStart"/>
      <w:r w:rsidRPr="00A6284F">
        <w:rPr>
          <w:rFonts w:eastAsia="Times New Roman"/>
          <w:color w:val="000000"/>
          <w:spacing w:val="1"/>
          <w:sz w:val="24"/>
          <w:lang w:val="sq-AL"/>
        </w:rPr>
        <w:t>Brdo-Brijunit</w:t>
      </w:r>
      <w:proofErr w:type="spellEnd"/>
      <w:r w:rsidRPr="00A6284F">
        <w:rPr>
          <w:rFonts w:eastAsia="Times New Roman"/>
          <w:color w:val="000000"/>
          <w:spacing w:val="1"/>
          <w:sz w:val="24"/>
          <w:lang w:val="sq-AL"/>
        </w:rPr>
        <w:t>. Kosova kryesoi një numër aktivitetesh dhe ngjarjesh rajonale. Kosova ka marrë pjesë në zbatimin e Planit Shumëvjeçar të Veprimit (PSHV) për zhvillimin e një zone ekonomike rajonale në Ballkanin Perëndimor, megjithëse nevojitet më shumë vëmendje për të siguruar miratimin me kohë të masave të</w:t>
      </w:r>
      <w:r w:rsidR="002739B1" w:rsidRPr="00A6284F">
        <w:rPr>
          <w:rFonts w:eastAsia="Times New Roman"/>
          <w:color w:val="000000"/>
          <w:spacing w:val="1"/>
          <w:sz w:val="24"/>
          <w:lang w:val="sq-AL"/>
        </w:rPr>
        <w:t xml:space="preserve"> nevojshme</w:t>
      </w:r>
      <w:r w:rsidRPr="00A6284F">
        <w:rPr>
          <w:rFonts w:eastAsia="Times New Roman"/>
          <w:color w:val="000000"/>
          <w:spacing w:val="1"/>
          <w:sz w:val="24"/>
          <w:lang w:val="sq-AL"/>
        </w:rPr>
        <w:t xml:space="preserve"> si dhe për të riorganizuar angazhimet rajonale në politikat e brendshme.</w:t>
      </w:r>
    </w:p>
    <w:p w:rsidR="00CE1051" w:rsidRPr="00A6284F" w:rsidRDefault="00CE1051" w:rsidP="00CE105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Megjithatë, vendimi i qeverisë së Kosovës për të vendosur taksë</w:t>
      </w:r>
      <w:r w:rsidR="002739B1" w:rsidRPr="00A6284F">
        <w:rPr>
          <w:rFonts w:eastAsia="Times New Roman"/>
          <w:color w:val="000000"/>
          <w:sz w:val="24"/>
          <w:lang w:val="sq-AL"/>
        </w:rPr>
        <w:t>n</w:t>
      </w:r>
      <w:r w:rsidRPr="00A6284F">
        <w:rPr>
          <w:rFonts w:eastAsia="Times New Roman"/>
          <w:color w:val="000000"/>
          <w:sz w:val="24"/>
          <w:lang w:val="sq-AL"/>
        </w:rPr>
        <w:t xml:space="preserve"> 100% mbi importet nga Serbia dhe Bosnja dhe Hercegovina, ka dëmtuar përpjekjet e bashkëpunimit rajonal.</w:t>
      </w:r>
    </w:p>
    <w:p w:rsidR="00CE1051" w:rsidRPr="00A6284F" w:rsidRDefault="00CE1051" w:rsidP="00CE1051">
      <w:pPr>
        <w:spacing w:before="122" w:after="346"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Duke u mbështetur në rezultatet e samiteve të mëparshme, Samiti i Londrës i korrikut të vitit 2018 solli një angazhim të ripërtërirë në agjendën e </w:t>
      </w:r>
      <w:proofErr w:type="spellStart"/>
      <w:r w:rsidR="001775AC" w:rsidRPr="00A6284F">
        <w:rPr>
          <w:rFonts w:eastAsia="Times New Roman"/>
          <w:color w:val="000000"/>
          <w:sz w:val="24"/>
          <w:lang w:val="sq-AL"/>
        </w:rPr>
        <w:t>konektivitetit</w:t>
      </w:r>
      <w:proofErr w:type="spellEnd"/>
      <w:r w:rsidRPr="00A6284F">
        <w:rPr>
          <w:rFonts w:eastAsia="Times New Roman"/>
          <w:color w:val="000000"/>
          <w:sz w:val="24"/>
          <w:lang w:val="sq-AL"/>
        </w:rPr>
        <w:t xml:space="preserve">. Dialogu me Ballkanin Perëndimor vazhdoi në Shkup për zbatimin e Agjendës Digjitale, </w:t>
      </w:r>
      <w:r w:rsidR="001775AC" w:rsidRPr="00A6284F">
        <w:rPr>
          <w:rFonts w:eastAsia="Times New Roman"/>
          <w:color w:val="000000"/>
          <w:sz w:val="24"/>
          <w:lang w:val="sq-AL"/>
        </w:rPr>
        <w:t>p</w:t>
      </w:r>
      <w:r w:rsidRPr="00A6284F">
        <w:rPr>
          <w:rFonts w:eastAsia="Times New Roman"/>
          <w:color w:val="000000"/>
          <w:sz w:val="24"/>
          <w:lang w:val="sq-AL"/>
        </w:rPr>
        <w:t>ë</w:t>
      </w:r>
      <w:r w:rsidR="001775AC" w:rsidRPr="00A6284F">
        <w:rPr>
          <w:rFonts w:eastAsia="Times New Roman"/>
          <w:color w:val="000000"/>
          <w:sz w:val="24"/>
          <w:lang w:val="sq-AL"/>
        </w:rPr>
        <w:t>r</w:t>
      </w:r>
      <w:r w:rsidRPr="00A6284F">
        <w:rPr>
          <w:rFonts w:eastAsia="Times New Roman"/>
          <w:color w:val="000000"/>
          <w:sz w:val="24"/>
          <w:lang w:val="sq-AL"/>
        </w:rPr>
        <w:t xml:space="preserve"> të cilën </w:t>
      </w:r>
      <w:r w:rsidR="001775AC" w:rsidRPr="00A6284F">
        <w:rPr>
          <w:rFonts w:eastAsia="Times New Roman"/>
          <w:color w:val="000000"/>
          <w:sz w:val="24"/>
          <w:lang w:val="sq-AL"/>
        </w:rPr>
        <w:t xml:space="preserve">ishin zotuar </w:t>
      </w:r>
      <w:r w:rsidRPr="00A6284F">
        <w:rPr>
          <w:rFonts w:eastAsia="Times New Roman"/>
          <w:color w:val="000000"/>
          <w:sz w:val="24"/>
          <w:lang w:val="sq-AL"/>
        </w:rPr>
        <w:t xml:space="preserve">të gjithë udhëheqësit e rajonit përmes një deklarate të mbështetjes. Më konkretisht në lidhje me negociatat për tarifat e </w:t>
      </w:r>
      <w:proofErr w:type="spellStart"/>
      <w:r w:rsidRPr="00A6284F">
        <w:rPr>
          <w:rFonts w:eastAsia="Times New Roman"/>
          <w:color w:val="000000"/>
          <w:sz w:val="24"/>
          <w:lang w:val="sq-AL"/>
        </w:rPr>
        <w:t>romingut</w:t>
      </w:r>
      <w:proofErr w:type="spellEnd"/>
      <w:r w:rsidRPr="00A6284F">
        <w:rPr>
          <w:rFonts w:eastAsia="Times New Roman"/>
          <w:color w:val="000000"/>
          <w:sz w:val="24"/>
          <w:lang w:val="sq-AL"/>
        </w:rPr>
        <w:t xml:space="preserve">, në Samitin Digjital të Ballkanit Perëndimor në Beograd, </w:t>
      </w:r>
      <w:r w:rsidR="001775AC" w:rsidRPr="00A6284F">
        <w:rPr>
          <w:rFonts w:eastAsia="Times New Roman"/>
          <w:color w:val="000000"/>
          <w:sz w:val="24"/>
          <w:lang w:val="sq-AL"/>
        </w:rPr>
        <w:t xml:space="preserve">të mbajtur </w:t>
      </w:r>
      <w:r w:rsidRPr="00A6284F">
        <w:rPr>
          <w:rFonts w:eastAsia="Times New Roman"/>
          <w:color w:val="000000"/>
          <w:sz w:val="24"/>
          <w:lang w:val="sq-AL"/>
        </w:rPr>
        <w:t xml:space="preserve">në prill të vitit 2019, u nënshkrua një marrëveshje rajonale, duke mundësuar </w:t>
      </w:r>
      <w:r w:rsidR="001775AC" w:rsidRPr="00A6284F">
        <w:rPr>
          <w:rFonts w:eastAsia="Times New Roman"/>
          <w:color w:val="000000"/>
          <w:sz w:val="24"/>
          <w:lang w:val="sq-AL"/>
        </w:rPr>
        <w:t>“</w:t>
      </w:r>
      <w:proofErr w:type="spellStart"/>
      <w:r w:rsidRPr="00A6284F">
        <w:rPr>
          <w:rFonts w:eastAsia="Times New Roman"/>
          <w:color w:val="000000"/>
          <w:sz w:val="24"/>
          <w:lang w:val="sq-AL"/>
        </w:rPr>
        <w:t>Roam</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like</w:t>
      </w:r>
      <w:proofErr w:type="spellEnd"/>
      <w:r w:rsidRPr="00A6284F">
        <w:rPr>
          <w:rFonts w:eastAsia="Times New Roman"/>
          <w:color w:val="000000"/>
          <w:sz w:val="24"/>
          <w:lang w:val="sq-AL"/>
        </w:rPr>
        <w:t xml:space="preserve"> at </w:t>
      </w:r>
      <w:proofErr w:type="spellStart"/>
      <w:r w:rsidRPr="00A6284F">
        <w:rPr>
          <w:rFonts w:eastAsia="Times New Roman"/>
          <w:color w:val="000000"/>
          <w:sz w:val="24"/>
          <w:lang w:val="sq-AL"/>
        </w:rPr>
        <w:t>Home</w:t>
      </w:r>
      <w:proofErr w:type="spellEnd"/>
      <w:r w:rsidR="001775AC" w:rsidRPr="00A6284F">
        <w:rPr>
          <w:rFonts w:eastAsia="Times New Roman"/>
          <w:color w:val="000000"/>
          <w:sz w:val="24"/>
          <w:lang w:val="sq-AL"/>
        </w:rPr>
        <w:t>”</w:t>
      </w:r>
      <w:r w:rsidRPr="00A6284F">
        <w:rPr>
          <w:rFonts w:eastAsia="Times New Roman"/>
          <w:color w:val="000000"/>
          <w:sz w:val="24"/>
          <w:lang w:val="sq-AL"/>
        </w:rPr>
        <w:t xml:space="preserve"> (RLAH), që nga korriku i vitit 2021. Kosova mori pjesë në konferencën rajonale të Komisionit Evropian për mediat (Ditët e Medias) në Shkup. Shtetet Anëtare dhe partnerët e Ballkanit Perëndimor nënshkruan Planin e Përbashkët të Veprimit kundër Terrorizmit për Ballkanin Perëndimor në Ministrinë e Punëve të Brendshme dhe Drejtësisë në Tiranë, në tetor të vitit 2018. Kosova kryeson bordin drejtues të Zyrës Rajonale për Bashkëpunim Rinor (RYCO) në 2019.</w:t>
      </w:r>
      <w:r w:rsidR="001775AC" w:rsidRPr="00A6284F">
        <w:rPr>
          <w:rFonts w:eastAsia="Times New Roman"/>
          <w:color w:val="000000"/>
          <w:sz w:val="24"/>
          <w:lang w:val="sq-AL"/>
        </w:rPr>
        <w:t xml:space="preserve"> </w:t>
      </w:r>
      <w:r w:rsidRPr="00A6284F">
        <w:rPr>
          <w:rFonts w:eastAsia="Times New Roman"/>
          <w:color w:val="000000"/>
          <w:sz w:val="24"/>
          <w:lang w:val="sq-AL"/>
        </w:rPr>
        <w:t xml:space="preserve">Kushtet për mbledhjet nuk ishin të favorshme për miratimin e vendimeve të nevojshme për funksionimin e RYCO. Në shkurt të vitit 2019, në Takimin Ministror për </w:t>
      </w:r>
      <w:proofErr w:type="spellStart"/>
      <w:r w:rsidRPr="00A6284F">
        <w:rPr>
          <w:rFonts w:eastAsia="Times New Roman"/>
          <w:color w:val="000000"/>
          <w:sz w:val="24"/>
          <w:lang w:val="sq-AL"/>
        </w:rPr>
        <w:t>Tranzicionin</w:t>
      </w:r>
      <w:proofErr w:type="spellEnd"/>
      <w:r w:rsidRPr="00A6284F">
        <w:rPr>
          <w:rFonts w:eastAsia="Times New Roman"/>
          <w:color w:val="000000"/>
          <w:sz w:val="24"/>
          <w:lang w:val="sq-AL"/>
        </w:rPr>
        <w:t xml:space="preserve"> e Energjisë së Pastër të mbajtur në Podgoricë, Ministrat e Ballkanit Perëndimor për Energji dhe Mjedis u angazhuan për miratimin e masave konkrete që synonin zbatimin e Marrëveshjes së Parisit dhe të detyrimeve të Komunitetit të Energjisë bazuar në pakon e BE për Energjitë Pastër për të gjithë evropianët.</w:t>
      </w:r>
      <w:r w:rsidR="001775AC" w:rsidRPr="00A6284F">
        <w:rPr>
          <w:rFonts w:eastAsia="Times New Roman"/>
          <w:color w:val="000000"/>
          <w:sz w:val="24"/>
          <w:lang w:val="sq-AL"/>
        </w:rPr>
        <w:t xml:space="preserve"> </w:t>
      </w:r>
      <w:r w:rsidRPr="00A6284F">
        <w:rPr>
          <w:rFonts w:eastAsia="Times New Roman"/>
          <w:color w:val="000000"/>
          <w:sz w:val="24"/>
          <w:lang w:val="sq-AL"/>
        </w:rPr>
        <w:t xml:space="preserve">Për shkak të mosmarrëveshjes së energjisë me Serbinë, </w:t>
      </w:r>
      <w:r w:rsidR="00FA7734" w:rsidRPr="00A6284F">
        <w:rPr>
          <w:rFonts w:eastAsia="Times New Roman"/>
          <w:color w:val="000000"/>
          <w:sz w:val="24"/>
          <w:lang w:val="sq-AL"/>
        </w:rPr>
        <w:t xml:space="preserve">kompania </w:t>
      </w:r>
      <w:r w:rsidRPr="00A6284F">
        <w:rPr>
          <w:rFonts w:eastAsia="Times New Roman"/>
          <w:color w:val="000000"/>
          <w:sz w:val="24"/>
          <w:lang w:val="sq-AL"/>
        </w:rPr>
        <w:t xml:space="preserve">Kosovare e Transmisionit të Energjisë Elektrike ende nuk është në gjendje të përfitojë plotësisht nga tregu rajonal i energjisë elektrike. Kosova e ratifikoi Traktatin e Komunitetit të Transportit në tetor të vitit 2018. Projektet e </w:t>
      </w:r>
      <w:proofErr w:type="spellStart"/>
      <w:r w:rsidR="00FA7734" w:rsidRPr="00A6284F">
        <w:rPr>
          <w:rFonts w:eastAsia="Times New Roman"/>
          <w:color w:val="000000"/>
          <w:sz w:val="24"/>
          <w:lang w:val="sq-AL"/>
        </w:rPr>
        <w:t>konektivitetit</w:t>
      </w:r>
      <w:proofErr w:type="spellEnd"/>
      <w:r w:rsidRPr="00A6284F">
        <w:rPr>
          <w:rFonts w:eastAsia="Times New Roman"/>
          <w:color w:val="000000"/>
          <w:sz w:val="24"/>
          <w:lang w:val="sq-AL"/>
        </w:rPr>
        <w:t xml:space="preserve"> në sektorin hekurudhor janë në zhvillim e sipër.</w:t>
      </w:r>
    </w:p>
    <w:p w:rsidR="00CE1051" w:rsidRPr="00A6284F" w:rsidRDefault="00CE1051" w:rsidP="00CE1051">
      <w:pPr>
        <w:spacing w:before="122" w:after="346"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lastRenderedPageBreak/>
        <w:t>Kosova duhet urgjentisht të përfundojë procesin e saj të pranimit në Marrëveshjen e Shkollës Rajonale të Administratës Publike (</w:t>
      </w:r>
      <w:proofErr w:type="spellStart"/>
      <w:r w:rsidRPr="00A6284F">
        <w:rPr>
          <w:rFonts w:eastAsia="Times New Roman"/>
          <w:color w:val="000000"/>
          <w:sz w:val="24"/>
          <w:lang w:val="sq-AL"/>
        </w:rPr>
        <w:t>ReSPA</w:t>
      </w:r>
      <w:proofErr w:type="spellEnd"/>
      <w:r w:rsidRPr="00A6284F">
        <w:rPr>
          <w:rFonts w:eastAsia="Times New Roman"/>
          <w:color w:val="000000"/>
          <w:sz w:val="24"/>
          <w:lang w:val="sq-AL"/>
        </w:rPr>
        <w:t xml:space="preserve">), në mënyrë që të jetë në gjendje të vazhdojë të përfitojë nga aktivitetet e </w:t>
      </w:r>
      <w:proofErr w:type="spellStart"/>
      <w:r w:rsidRPr="00A6284F">
        <w:rPr>
          <w:rFonts w:eastAsia="Times New Roman"/>
          <w:color w:val="000000"/>
          <w:sz w:val="24"/>
          <w:lang w:val="sq-AL"/>
        </w:rPr>
        <w:t>ReSPA</w:t>
      </w:r>
      <w:proofErr w:type="spellEnd"/>
      <w:r w:rsidRPr="00A6284F">
        <w:rPr>
          <w:rFonts w:eastAsia="Times New Roman"/>
          <w:color w:val="000000"/>
          <w:sz w:val="24"/>
          <w:lang w:val="sq-AL"/>
        </w:rPr>
        <w:t xml:space="preserve"> në mënyrë të barabartë me anëtarët e tjerë të </w:t>
      </w:r>
      <w:proofErr w:type="spellStart"/>
      <w:r w:rsidRPr="00A6284F">
        <w:rPr>
          <w:rFonts w:eastAsia="Times New Roman"/>
          <w:color w:val="000000"/>
          <w:sz w:val="24"/>
          <w:lang w:val="sq-AL"/>
        </w:rPr>
        <w:t>ReSPA</w:t>
      </w:r>
      <w:proofErr w:type="spellEnd"/>
      <w:r w:rsidRPr="00A6284F">
        <w:rPr>
          <w:rFonts w:eastAsia="Times New Roman"/>
          <w:color w:val="000000"/>
          <w:sz w:val="24"/>
          <w:lang w:val="sq-AL"/>
        </w:rPr>
        <w:t>.</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Fati i pazgjidhur i </w:t>
      </w:r>
      <w:r w:rsidRPr="00A6284F">
        <w:rPr>
          <w:rFonts w:eastAsia="Times New Roman"/>
          <w:b/>
          <w:color w:val="000000"/>
          <w:sz w:val="24"/>
          <w:lang w:val="sq-AL"/>
        </w:rPr>
        <w:t>personave të zhdukur</w:t>
      </w:r>
      <w:r w:rsidRPr="00A6284F">
        <w:rPr>
          <w:rFonts w:eastAsia="Times New Roman"/>
          <w:color w:val="000000"/>
          <w:sz w:val="24"/>
          <w:lang w:val="sq-AL"/>
        </w:rPr>
        <w:t xml:space="preserve"> nga konfliktet e viteve 1990 mbetet një shqetësim humanitar në Ballkanin Perëndimor. Deri në shkurt të vitit 2019, gjithsej 10</w:t>
      </w:r>
      <w:r w:rsidR="00FA7734" w:rsidRPr="00A6284F">
        <w:rPr>
          <w:rFonts w:eastAsia="Times New Roman"/>
          <w:color w:val="000000"/>
          <w:sz w:val="24"/>
          <w:lang w:val="sq-AL"/>
        </w:rPr>
        <w:t>,</w:t>
      </w:r>
      <w:r w:rsidRPr="00A6284F">
        <w:rPr>
          <w:rFonts w:eastAsia="Times New Roman"/>
          <w:color w:val="000000"/>
          <w:sz w:val="24"/>
          <w:lang w:val="sq-AL"/>
        </w:rPr>
        <w:t>247 persona ende janë të zhdukur në të gjithë rajonin sipas Komitetit Ndërkombëtar të Kryqit të Kuq (KNKK). Nga këto raste, 1</w:t>
      </w:r>
      <w:r w:rsidR="00FA7734" w:rsidRPr="00A6284F">
        <w:rPr>
          <w:rFonts w:eastAsia="Times New Roman"/>
          <w:color w:val="000000"/>
          <w:sz w:val="24"/>
          <w:lang w:val="sq-AL"/>
        </w:rPr>
        <w:t>,</w:t>
      </w:r>
      <w:r w:rsidRPr="00A6284F">
        <w:rPr>
          <w:rFonts w:eastAsia="Times New Roman"/>
          <w:color w:val="000000"/>
          <w:sz w:val="24"/>
          <w:lang w:val="sq-AL"/>
        </w:rPr>
        <w:t xml:space="preserve">653 (84% burra, 16% gra) kanë të bëjnë me konfliktin në Kosovë dhe pasojat e tij. Grupi punues Beograd-Prishtinë për Persona të Zhdukur, i kryesuar nga KNKK, mbajti disa sesione dhe në tetor të vitit 2018 miratoi procedurat për dorëzimin e mbetjeve </w:t>
      </w:r>
      <w:r w:rsidR="00FA7734" w:rsidRPr="00A6284F">
        <w:rPr>
          <w:rFonts w:eastAsia="Times New Roman"/>
          <w:color w:val="000000"/>
          <w:sz w:val="24"/>
          <w:lang w:val="sq-AL"/>
        </w:rPr>
        <w:t>mortore</w:t>
      </w:r>
      <w:r w:rsidRPr="00A6284F">
        <w:rPr>
          <w:rFonts w:eastAsia="Times New Roman"/>
          <w:color w:val="000000"/>
          <w:sz w:val="24"/>
          <w:lang w:val="sq-AL"/>
        </w:rPr>
        <w:t xml:space="preserve">. Në nëntor të vitit 2018, Bosnja dhe Hercegovina, Kroacia, Kosova, Mali i Zi dhe Serbia nënshkruan një plan kornizë për nxitjen e bashkëpunimit rajonal në adresimin e çështjes së personave të zhdukur nga konfliktet në territorin e ish-Jugosllavisë. Mungesa e informatave të reja mbi varrezat e zbuluara mbetet pengesa kryesore për zgjidhjen e rasteve. Komisioni Qeveritar i Kosovës për Persona të Zhdukur ka kryer gërmime vlerësimi në 20 </w:t>
      </w:r>
      <w:r w:rsidR="00FA7734" w:rsidRPr="00A6284F">
        <w:rPr>
          <w:rFonts w:eastAsia="Times New Roman"/>
          <w:color w:val="000000"/>
          <w:sz w:val="24"/>
          <w:lang w:val="sq-AL"/>
        </w:rPr>
        <w:t>lokacione</w:t>
      </w:r>
      <w:r w:rsidRPr="00A6284F">
        <w:rPr>
          <w:rFonts w:eastAsia="Times New Roman"/>
          <w:color w:val="000000"/>
          <w:sz w:val="24"/>
          <w:lang w:val="sq-AL"/>
        </w:rPr>
        <w:t>. Vetëm 7 raste të personave të zhdukur në lidhje me konfliktin e Kosovës u zgjidhën në vitin 2018.</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Përpjekjet e Kosovës në zgjidhjen e fatit të personave të zhdukur vazhdojnë të dëmtohen nga çështjet ndërinstitucionale dhe administrative. Sidoqoftë, koordinimi dhe bashkëpunimi ndërinstitucional ndërmjet Institutit të Mjekësisë Ligjore dhe Komisionit Qeveritar për Persona të Zhdukur janë përmirësuar në periudhën raportuese. Procesi i krijimit të një regjistri qendror të personave të zhdukur ka ngecur përsëri. Autoritetet ende duhet të miratojnë legjislacionin dytësor për krijimin e një regjistri të tillë dhe për mbylljen e rasteve, për të mbështetur zbatimin e Ligjit për personat e zhdukur.</w:t>
      </w:r>
    </w:p>
    <w:p w:rsidR="00CE1051" w:rsidRPr="00A6284F" w:rsidRDefault="00842B42"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Posti</w:t>
      </w:r>
      <w:r w:rsidR="00CE1051" w:rsidRPr="00A6284F">
        <w:rPr>
          <w:rFonts w:eastAsia="Times New Roman"/>
          <w:color w:val="000000"/>
          <w:sz w:val="24"/>
          <w:lang w:val="sq-AL"/>
        </w:rPr>
        <w:t xml:space="preserve"> i drejtorit të Institutit të Mjekësisë Ligjore përfundimisht u plotësua në gusht të vitit 2018. Instituti ende nuk i plotëson standardet e kërkuara për praktikat e qëndrueshme të mjekësisë ligjore, duke përfshirë arkeologjinë dhe antropologjinë mjeko-ligjore. Duhet bërë më shumë për të ndërtuar një kapacitet të tillë dhe për të siguruar financim të vazhdueshëm dhe të qëndrueshëm të Institutit. </w:t>
      </w:r>
      <w:r w:rsidRPr="00A6284F">
        <w:rPr>
          <w:rFonts w:eastAsia="Times New Roman"/>
          <w:color w:val="000000"/>
          <w:sz w:val="24"/>
          <w:lang w:val="sq-AL"/>
        </w:rPr>
        <w:t>P</w:t>
      </w:r>
      <w:r w:rsidR="00CE1051" w:rsidRPr="00A6284F">
        <w:rPr>
          <w:rFonts w:eastAsia="Times New Roman"/>
          <w:color w:val="000000"/>
          <w:sz w:val="24"/>
          <w:lang w:val="sq-AL"/>
        </w:rPr>
        <w:t>una për krijimin e një sistemi funksional të menaxhimit të rasteve</w:t>
      </w:r>
      <w:r w:rsidRPr="00A6284F">
        <w:rPr>
          <w:rFonts w:eastAsia="Times New Roman"/>
          <w:color w:val="000000"/>
          <w:sz w:val="24"/>
          <w:lang w:val="sq-AL"/>
        </w:rPr>
        <w:t xml:space="preserve"> ka filluar</w:t>
      </w:r>
      <w:r w:rsidR="00CE1051" w:rsidRPr="00A6284F">
        <w:rPr>
          <w:rFonts w:eastAsia="Times New Roman"/>
          <w:color w:val="000000"/>
          <w:sz w:val="24"/>
          <w:lang w:val="sq-AL"/>
        </w:rPr>
        <w:t xml:space="preserve">. Qindra mbetje </w:t>
      </w:r>
      <w:r w:rsidRPr="00A6284F">
        <w:rPr>
          <w:rFonts w:eastAsia="Times New Roman"/>
          <w:color w:val="000000"/>
          <w:sz w:val="24"/>
          <w:lang w:val="sq-AL"/>
        </w:rPr>
        <w:t xml:space="preserve">mortore </w:t>
      </w:r>
      <w:r w:rsidR="00CE1051" w:rsidRPr="00A6284F">
        <w:rPr>
          <w:rFonts w:eastAsia="Times New Roman"/>
          <w:color w:val="000000"/>
          <w:sz w:val="24"/>
          <w:lang w:val="sq-AL"/>
        </w:rPr>
        <w:t xml:space="preserve">të ruajtura në </w:t>
      </w:r>
      <w:proofErr w:type="spellStart"/>
      <w:r w:rsidR="00CE1051" w:rsidRPr="00A6284F">
        <w:rPr>
          <w:rFonts w:eastAsia="Times New Roman"/>
          <w:color w:val="000000"/>
          <w:sz w:val="24"/>
          <w:lang w:val="sq-AL"/>
        </w:rPr>
        <w:t>morgun</w:t>
      </w:r>
      <w:proofErr w:type="spellEnd"/>
      <w:r w:rsidR="00CE1051" w:rsidRPr="00A6284F">
        <w:rPr>
          <w:rFonts w:eastAsia="Times New Roman"/>
          <w:color w:val="000000"/>
          <w:sz w:val="24"/>
          <w:lang w:val="sq-AL"/>
        </w:rPr>
        <w:t xml:space="preserve"> e Prishtinës, për të cilat janë shteruar të gjitha mundësitë për veprime </w:t>
      </w:r>
      <w:r w:rsidRPr="00A6284F">
        <w:rPr>
          <w:rFonts w:eastAsia="Times New Roman"/>
          <w:color w:val="000000"/>
          <w:sz w:val="24"/>
          <w:lang w:val="sq-AL"/>
        </w:rPr>
        <w:t>mjekoligjore</w:t>
      </w:r>
      <w:r w:rsidR="00CE1051" w:rsidRPr="00A6284F">
        <w:rPr>
          <w:rFonts w:eastAsia="Times New Roman"/>
          <w:color w:val="000000"/>
          <w:sz w:val="24"/>
          <w:lang w:val="sq-AL"/>
        </w:rPr>
        <w:t>, mbeten të paidentifikuara.</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Angazhimi i Kosovës për të mbajtur </w:t>
      </w:r>
      <w:r w:rsidRPr="00A6284F">
        <w:rPr>
          <w:rFonts w:eastAsia="Times New Roman"/>
          <w:b/>
          <w:color w:val="000000"/>
          <w:sz w:val="24"/>
          <w:lang w:val="sq-AL"/>
        </w:rPr>
        <w:t>marrëdhënie të mira dhe konstruktive bilaterale</w:t>
      </w:r>
      <w:r w:rsidRPr="00A6284F">
        <w:rPr>
          <w:rFonts w:eastAsia="Times New Roman"/>
          <w:color w:val="000000"/>
          <w:sz w:val="24"/>
          <w:lang w:val="sq-AL"/>
        </w:rPr>
        <w:t xml:space="preserve"> në rajon është vënë në dyshim nga vendimi i qeverisë për të vendosur një taksë 100% mbi importet nga Serbia dhe Bosnja dhe Hercegovina.</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vazhduar të zhvillojë marrëdhënie më të ngushta me </w:t>
      </w:r>
      <w:r w:rsidRPr="00A6284F">
        <w:rPr>
          <w:rFonts w:eastAsia="Times New Roman"/>
          <w:b/>
          <w:i/>
          <w:color w:val="000000"/>
          <w:sz w:val="24"/>
          <w:lang w:val="sq-AL"/>
        </w:rPr>
        <w:t>Shqipërinë.</w:t>
      </w:r>
      <w:r w:rsidRPr="00A6284F">
        <w:rPr>
          <w:rFonts w:eastAsia="Times New Roman"/>
          <w:color w:val="000000"/>
          <w:sz w:val="24"/>
          <w:lang w:val="sq-AL"/>
        </w:rPr>
        <w:t xml:space="preserve"> Tregtia mes të dyjave u rrit pak mbi 20% në vitin 2018. Takimi i pestë i përbashkët qeveritar u zhvillua në nëntor të vitit 2018, me marrëveshje të bashkëpunimit të nënshkruara në disa fusha. Në dhjetor të vitit 2018, qeveritë e Kosovës dhe Shqipërisë nënshkruan një marrëveshje që përfshin procedura të thjeshtësuara për kalimin e kufirit dhe kontrollet e përbashkëta kufitare. Sipas një marrëveshjeje të nënshkruar më parë, një zyrë doganore e Kosovës u hap në portin shqiptar të Durrësit, me qëllim të thjeshtësimit të procedurave për importet në Kosovë që kalonin përmes Shqipërisë. Çdo vendim lidhur me menaxhimin e kontrollit kufitar duhet të jetë në përputhje me standardet e MIK.</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ka pasur ndryshime në marrëdhëniet formale të Kosovës me </w:t>
      </w:r>
      <w:r w:rsidRPr="00A6284F">
        <w:rPr>
          <w:rFonts w:eastAsia="Times New Roman"/>
          <w:b/>
          <w:i/>
          <w:color w:val="000000"/>
          <w:sz w:val="24"/>
          <w:lang w:val="sq-AL"/>
        </w:rPr>
        <w:t>Bosnjën dhe Hercegovinën</w:t>
      </w:r>
      <w:r w:rsidRPr="00A6284F">
        <w:rPr>
          <w:rFonts w:eastAsia="Times New Roman"/>
          <w:color w:val="000000"/>
          <w:sz w:val="24"/>
          <w:lang w:val="sq-AL"/>
        </w:rPr>
        <w:t xml:space="preserve">, e cila nuk njeh pavarësinë e Kosovës. Regjimi reciprok i vizave ende </w:t>
      </w:r>
      <w:r w:rsidR="00842B42" w:rsidRPr="00A6284F">
        <w:rPr>
          <w:rFonts w:eastAsia="Times New Roman"/>
          <w:color w:val="000000"/>
          <w:sz w:val="24"/>
          <w:lang w:val="sq-AL"/>
        </w:rPr>
        <w:t>ekziston</w:t>
      </w:r>
      <w:r w:rsidRPr="00A6284F">
        <w:rPr>
          <w:rFonts w:eastAsia="Times New Roman"/>
          <w:color w:val="000000"/>
          <w:sz w:val="24"/>
          <w:lang w:val="sq-AL"/>
        </w:rPr>
        <w:t>. Marrëdhë</w:t>
      </w:r>
      <w:r w:rsidR="00842B42" w:rsidRPr="00A6284F">
        <w:rPr>
          <w:rFonts w:eastAsia="Times New Roman"/>
          <w:color w:val="000000"/>
          <w:sz w:val="24"/>
          <w:lang w:val="sq-AL"/>
        </w:rPr>
        <w:t xml:space="preserve">niet </w:t>
      </w:r>
      <w:r w:rsidR="00826DFF" w:rsidRPr="00A6284F">
        <w:rPr>
          <w:rFonts w:eastAsia="Times New Roman"/>
          <w:color w:val="000000"/>
          <w:sz w:val="24"/>
          <w:lang w:val="sq-AL"/>
        </w:rPr>
        <w:t>janë</w:t>
      </w:r>
      <w:r w:rsidR="00842B42" w:rsidRPr="00A6284F">
        <w:rPr>
          <w:rFonts w:eastAsia="Times New Roman"/>
          <w:color w:val="000000"/>
          <w:sz w:val="24"/>
          <w:lang w:val="sq-AL"/>
        </w:rPr>
        <w:t xml:space="preserve"> ndikuar negativisht </w:t>
      </w:r>
      <w:r w:rsidR="00826DFF" w:rsidRPr="00A6284F">
        <w:rPr>
          <w:rFonts w:eastAsia="Times New Roman"/>
          <w:color w:val="000000"/>
          <w:sz w:val="24"/>
          <w:lang w:val="sq-AL"/>
        </w:rPr>
        <w:t>pas</w:t>
      </w:r>
      <w:r w:rsidR="00842B42" w:rsidRPr="00A6284F">
        <w:rPr>
          <w:rFonts w:eastAsia="Times New Roman"/>
          <w:color w:val="000000"/>
          <w:sz w:val="24"/>
          <w:lang w:val="sq-AL"/>
        </w:rPr>
        <w:t xml:space="preserve"> </w:t>
      </w:r>
      <w:r w:rsidRPr="00A6284F">
        <w:rPr>
          <w:rFonts w:eastAsia="Times New Roman"/>
          <w:color w:val="000000"/>
          <w:sz w:val="24"/>
          <w:lang w:val="sq-AL"/>
        </w:rPr>
        <w:t>vendosj</w:t>
      </w:r>
      <w:r w:rsidR="00826DFF" w:rsidRPr="00A6284F">
        <w:rPr>
          <w:rFonts w:eastAsia="Times New Roman"/>
          <w:color w:val="000000"/>
          <w:sz w:val="24"/>
          <w:lang w:val="sq-AL"/>
        </w:rPr>
        <w:t>es</w:t>
      </w:r>
      <w:r w:rsidRPr="00A6284F">
        <w:rPr>
          <w:rFonts w:eastAsia="Times New Roman"/>
          <w:color w:val="000000"/>
          <w:sz w:val="24"/>
          <w:lang w:val="sq-AL"/>
        </w:rPr>
        <w:t xml:space="preserve"> </w:t>
      </w:r>
      <w:r w:rsidR="00826DFF" w:rsidRPr="00A6284F">
        <w:rPr>
          <w:rFonts w:eastAsia="Times New Roman"/>
          <w:color w:val="000000"/>
          <w:sz w:val="24"/>
          <w:lang w:val="sq-AL"/>
        </w:rPr>
        <w:t xml:space="preserve">së </w:t>
      </w:r>
      <w:r w:rsidRPr="00A6284F">
        <w:rPr>
          <w:rFonts w:eastAsia="Times New Roman"/>
          <w:color w:val="000000"/>
          <w:sz w:val="24"/>
          <w:lang w:val="sq-AL"/>
        </w:rPr>
        <w:t xml:space="preserve">taksës </w:t>
      </w:r>
      <w:r w:rsidR="00826DFF" w:rsidRPr="00A6284F">
        <w:rPr>
          <w:rFonts w:eastAsia="Times New Roman"/>
          <w:color w:val="000000"/>
          <w:sz w:val="24"/>
          <w:lang w:val="sq-AL"/>
        </w:rPr>
        <w:t xml:space="preserve">prej </w:t>
      </w:r>
      <w:r w:rsidRPr="00A6284F">
        <w:rPr>
          <w:rFonts w:eastAsia="Times New Roman"/>
          <w:color w:val="000000"/>
          <w:sz w:val="24"/>
          <w:lang w:val="sq-AL"/>
        </w:rPr>
        <w:t xml:space="preserve">100% </w:t>
      </w:r>
      <w:r w:rsidR="00842B42" w:rsidRPr="00A6284F">
        <w:rPr>
          <w:rFonts w:eastAsia="Times New Roman"/>
          <w:color w:val="000000"/>
          <w:sz w:val="24"/>
          <w:lang w:val="sq-AL"/>
        </w:rPr>
        <w:t xml:space="preserve">për mallrat e importuara </w:t>
      </w:r>
      <w:r w:rsidRPr="00A6284F">
        <w:rPr>
          <w:rFonts w:eastAsia="Times New Roman"/>
          <w:color w:val="000000"/>
          <w:sz w:val="24"/>
          <w:lang w:val="sq-AL"/>
        </w:rPr>
        <w:t>nga Bosnja dhe Hercegovina në nëntor të vitit 2018.</w:t>
      </w:r>
    </w:p>
    <w:p w:rsidR="00CE1051" w:rsidRPr="00A6284F" w:rsidRDefault="00CE1051" w:rsidP="00CE1051">
      <w:pPr>
        <w:spacing w:before="20" w:line="276" w:lineRule="exact"/>
        <w:ind w:left="144" w:right="144"/>
        <w:jc w:val="both"/>
        <w:textAlignment w:val="baseline"/>
        <w:rPr>
          <w:rFonts w:eastAsia="Times New Roman"/>
          <w:color w:val="000000"/>
          <w:sz w:val="24"/>
          <w:lang w:val="sq-AL"/>
        </w:rPr>
      </w:pPr>
    </w:p>
    <w:p w:rsidR="00CE1051" w:rsidRPr="00A6284F" w:rsidRDefault="00CE1051" w:rsidP="00CE105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vazhdon të </w:t>
      </w:r>
      <w:r w:rsidR="00826DFF" w:rsidRPr="00A6284F">
        <w:rPr>
          <w:rFonts w:eastAsia="Times New Roman"/>
          <w:color w:val="000000"/>
          <w:sz w:val="24"/>
          <w:lang w:val="sq-AL"/>
        </w:rPr>
        <w:t>ketë</w:t>
      </w:r>
      <w:r w:rsidRPr="00A6284F">
        <w:rPr>
          <w:rFonts w:eastAsia="Times New Roman"/>
          <w:color w:val="000000"/>
          <w:sz w:val="24"/>
          <w:lang w:val="sq-AL"/>
        </w:rPr>
        <w:t xml:space="preserve"> marrëdhënie të mira me </w:t>
      </w:r>
      <w:r w:rsidRPr="00A6284F">
        <w:rPr>
          <w:rFonts w:eastAsia="Times New Roman"/>
          <w:b/>
          <w:i/>
          <w:color w:val="000000"/>
          <w:sz w:val="24"/>
          <w:lang w:val="sq-AL"/>
        </w:rPr>
        <w:t>Malin e Zi</w:t>
      </w:r>
      <w:r w:rsidRPr="00A6284F">
        <w:rPr>
          <w:rFonts w:eastAsia="Times New Roman"/>
          <w:color w:val="000000"/>
          <w:sz w:val="24"/>
          <w:lang w:val="sq-AL"/>
        </w:rPr>
        <w:t xml:space="preserve">. Ratifikimi i marrëveshjes për demarkacionin kufitar me Malin e Zi </w:t>
      </w:r>
      <w:r w:rsidR="00826DFF" w:rsidRPr="00A6284F">
        <w:rPr>
          <w:rFonts w:eastAsia="Times New Roman"/>
          <w:color w:val="000000"/>
          <w:sz w:val="24"/>
          <w:lang w:val="sq-AL"/>
        </w:rPr>
        <w:t xml:space="preserve">nga Kuvendi i Kosovës </w:t>
      </w:r>
      <w:r w:rsidRPr="00A6284F">
        <w:rPr>
          <w:rFonts w:eastAsia="Times New Roman"/>
          <w:color w:val="000000"/>
          <w:sz w:val="24"/>
          <w:lang w:val="sq-AL"/>
        </w:rPr>
        <w:t xml:space="preserve">në mars të vitit 2018 ishte një </w:t>
      </w:r>
      <w:r w:rsidRPr="00A6284F">
        <w:rPr>
          <w:rFonts w:eastAsia="Times New Roman"/>
          <w:color w:val="000000"/>
          <w:sz w:val="24"/>
          <w:lang w:val="sq-AL"/>
        </w:rPr>
        <w:lastRenderedPageBreak/>
        <w:t>arritje e rëndësishme dhe hyri në fuqi në qershor të vitit 2018. Marrëveshja mbi transportin ndërkombëtar të pasagjerëve dhe ngarkesave u nënshkrua në gusht të vitit 2018.</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Ka pasur përparim të mëtejshëm në marrëdhëniet me </w:t>
      </w:r>
      <w:r w:rsidRPr="00A6284F">
        <w:rPr>
          <w:rFonts w:eastAsia="Times New Roman"/>
          <w:b/>
          <w:i/>
          <w:color w:val="000000"/>
          <w:sz w:val="24"/>
          <w:lang w:val="sq-AL"/>
        </w:rPr>
        <w:t>Maqedoninë e Veriut</w:t>
      </w:r>
      <w:r w:rsidRPr="00A6284F">
        <w:rPr>
          <w:rFonts w:eastAsia="Times New Roman"/>
          <w:color w:val="000000"/>
          <w:sz w:val="24"/>
          <w:lang w:val="sq-AL"/>
        </w:rPr>
        <w:t>. Puna në pikë-kalimin e ri</w:t>
      </w:r>
      <w:r w:rsidR="00826DFF" w:rsidRPr="00A6284F">
        <w:rPr>
          <w:rFonts w:eastAsia="Times New Roman"/>
          <w:color w:val="000000"/>
          <w:sz w:val="24"/>
          <w:lang w:val="sq-AL"/>
        </w:rPr>
        <w:t xml:space="preserve"> kufitar </w:t>
      </w:r>
      <w:r w:rsidRPr="00A6284F">
        <w:rPr>
          <w:rFonts w:eastAsia="Times New Roman"/>
          <w:color w:val="000000"/>
          <w:sz w:val="24"/>
          <w:lang w:val="sq-AL"/>
        </w:rPr>
        <w:t xml:space="preserve">në </w:t>
      </w:r>
      <w:proofErr w:type="spellStart"/>
      <w:r w:rsidRPr="00A6284F">
        <w:rPr>
          <w:rFonts w:eastAsia="Times New Roman"/>
          <w:color w:val="000000"/>
          <w:sz w:val="24"/>
          <w:lang w:val="sq-AL"/>
        </w:rPr>
        <w:t>Stancic-Belanoc</w:t>
      </w:r>
      <w:proofErr w:type="spellEnd"/>
      <w:r w:rsidRPr="00A6284F">
        <w:rPr>
          <w:rFonts w:eastAsia="Times New Roman"/>
          <w:color w:val="000000"/>
          <w:sz w:val="24"/>
          <w:lang w:val="sq-AL"/>
        </w:rPr>
        <w:t xml:space="preserve"> filloi në qershor të vitit 2018. Kontaktet m</w:t>
      </w:r>
      <w:r w:rsidR="00826DFF" w:rsidRPr="00A6284F">
        <w:rPr>
          <w:rFonts w:eastAsia="Times New Roman"/>
          <w:color w:val="000000"/>
          <w:sz w:val="24"/>
          <w:lang w:val="sq-AL"/>
        </w:rPr>
        <w:t>e</w:t>
      </w:r>
      <w:r w:rsidRPr="00A6284F">
        <w:rPr>
          <w:rFonts w:eastAsia="Times New Roman"/>
          <w:color w:val="000000"/>
          <w:sz w:val="24"/>
          <w:lang w:val="sq-AL"/>
        </w:rPr>
        <w:t xml:space="preserve">s zyrtarëve qeveritarë vazhduan të intensifikoheshin. Udhëheqësit politikë të Kosovës e kanë mirëpritur marrëveshjen e Prespës si një kontribut pozitiv në stabilitetin e rajonit. Më 1 qershor </w:t>
      </w:r>
      <w:r w:rsidR="00826DFF" w:rsidRPr="00A6284F">
        <w:rPr>
          <w:rFonts w:eastAsia="Times New Roman"/>
          <w:color w:val="000000"/>
          <w:sz w:val="24"/>
          <w:lang w:val="sq-AL"/>
        </w:rPr>
        <w:t xml:space="preserve">të vitit </w:t>
      </w:r>
      <w:r w:rsidRPr="00A6284F">
        <w:rPr>
          <w:rFonts w:eastAsia="Times New Roman"/>
          <w:color w:val="000000"/>
          <w:sz w:val="24"/>
          <w:lang w:val="sq-AL"/>
        </w:rPr>
        <w:t>2018 hyri në fuqi një protokoll lidhur me marrëveshjen e ri</w:t>
      </w:r>
      <w:r w:rsidR="00826DFF" w:rsidRPr="00A6284F">
        <w:rPr>
          <w:rFonts w:eastAsia="Times New Roman"/>
          <w:color w:val="000000"/>
          <w:sz w:val="24"/>
          <w:lang w:val="sq-AL"/>
        </w:rPr>
        <w:t>-</w:t>
      </w:r>
      <w:r w:rsidRPr="00A6284F">
        <w:rPr>
          <w:rFonts w:eastAsia="Times New Roman"/>
          <w:color w:val="000000"/>
          <w:sz w:val="24"/>
          <w:lang w:val="sq-AL"/>
        </w:rPr>
        <w:t>pranimit me Maqedoninë e Veriut.</w:t>
      </w:r>
    </w:p>
    <w:p w:rsidR="00CE1051" w:rsidRPr="00A6284F" w:rsidRDefault="00CE1051" w:rsidP="00CE1051">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mbajtur marrëdhënie të mira me </w:t>
      </w:r>
      <w:r w:rsidRPr="00A6284F">
        <w:rPr>
          <w:rFonts w:eastAsia="Times New Roman"/>
          <w:b/>
          <w:i/>
          <w:color w:val="000000"/>
          <w:sz w:val="24"/>
          <w:lang w:val="sq-AL"/>
        </w:rPr>
        <w:t>Turqinë</w:t>
      </w:r>
      <w:r w:rsidRPr="00A6284F">
        <w:rPr>
          <w:rFonts w:eastAsia="Times New Roman"/>
          <w:color w:val="000000"/>
          <w:sz w:val="24"/>
          <w:lang w:val="sq-AL"/>
        </w:rPr>
        <w:t xml:space="preserve"> dhe vizitat reciproke të nivelit të lartë vazhdojnë. Arrestimi dhe dëbimi me forcë në Turqi i gjashtë shtetasve turq që banonin ligjërisht në Kosovë në mars të vitit 2018 ngriti </w:t>
      </w:r>
      <w:r w:rsidR="00826DFF" w:rsidRPr="00A6284F">
        <w:rPr>
          <w:rFonts w:eastAsia="Times New Roman"/>
          <w:color w:val="000000"/>
          <w:sz w:val="24"/>
          <w:lang w:val="sq-AL"/>
        </w:rPr>
        <w:t xml:space="preserve">dyshime </w:t>
      </w:r>
      <w:r w:rsidRPr="00A6284F">
        <w:rPr>
          <w:rFonts w:eastAsia="Times New Roman"/>
          <w:color w:val="000000"/>
          <w:sz w:val="24"/>
          <w:lang w:val="sq-AL"/>
        </w:rPr>
        <w:t>serioze rreth respektimit të procesit të rregullt (</w:t>
      </w:r>
      <w:r w:rsidRPr="00A6284F">
        <w:rPr>
          <w:rFonts w:eastAsia="Times New Roman"/>
          <w:i/>
          <w:color w:val="000000"/>
          <w:sz w:val="24"/>
          <w:lang w:val="sq-AL"/>
        </w:rPr>
        <w:t>Shih seksionin 2.2.1 - Gjyqësori dhe të drejtat themelore</w:t>
      </w:r>
      <w:r w:rsidRPr="00A6284F">
        <w:rPr>
          <w:rFonts w:eastAsia="Times New Roman"/>
          <w:color w:val="000000"/>
          <w:sz w:val="24"/>
          <w:lang w:val="sq-AL"/>
        </w:rPr>
        <w:t>).</w:t>
      </w:r>
    </w:p>
    <w:p w:rsidR="00CE1051" w:rsidRPr="00A6284F" w:rsidRDefault="00CE1051" w:rsidP="00CE1051">
      <w:pPr>
        <w:tabs>
          <w:tab w:val="left" w:pos="792"/>
        </w:tabs>
        <w:spacing w:before="129" w:line="274" w:lineRule="exact"/>
        <w:ind w:left="144"/>
        <w:textAlignment w:val="baseline"/>
        <w:rPr>
          <w:rFonts w:eastAsia="Times New Roman"/>
          <w:b/>
          <w:color w:val="000000"/>
          <w:sz w:val="24"/>
          <w:lang w:val="sq-AL"/>
        </w:rPr>
      </w:pPr>
      <w:r w:rsidRPr="00A6284F">
        <w:rPr>
          <w:rFonts w:eastAsia="Times New Roman"/>
          <w:b/>
          <w:color w:val="000000"/>
          <w:sz w:val="24"/>
          <w:lang w:val="sq-AL"/>
        </w:rPr>
        <w:t>5.</w:t>
      </w:r>
      <w:r w:rsidRPr="00A6284F">
        <w:rPr>
          <w:rFonts w:eastAsia="Times New Roman"/>
          <w:b/>
          <w:color w:val="000000"/>
          <w:sz w:val="24"/>
          <w:lang w:val="sq-AL"/>
        </w:rPr>
        <w:tab/>
        <w:t>N</w:t>
      </w:r>
      <w:r w:rsidRPr="00A6284F">
        <w:rPr>
          <w:rFonts w:eastAsia="Times New Roman"/>
          <w:b/>
          <w:color w:val="000000"/>
          <w:sz w:val="19"/>
          <w:lang w:val="sq-AL"/>
        </w:rPr>
        <w:t>ORMALIZIMI I MARRËDHËNIEVE NDËRMJET KOSOVËS DHE SERBISË</w:t>
      </w:r>
    </w:p>
    <w:p w:rsidR="00CE1051" w:rsidRPr="00A6284F" w:rsidRDefault="00CE1051" w:rsidP="00CE1051">
      <w:pPr>
        <w:spacing w:before="112"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Në kuadër të </w:t>
      </w:r>
      <w:r w:rsidRPr="00A6284F">
        <w:rPr>
          <w:rFonts w:eastAsia="Times New Roman"/>
          <w:b/>
          <w:color w:val="000000"/>
          <w:spacing w:val="-1"/>
          <w:sz w:val="24"/>
          <w:lang w:val="sq-AL"/>
        </w:rPr>
        <w:t>dialogut të lehtësuar nga BE</w:t>
      </w:r>
      <w:r w:rsidRPr="00A6284F">
        <w:rPr>
          <w:rFonts w:eastAsia="Times New Roman"/>
          <w:color w:val="000000"/>
          <w:spacing w:val="-1"/>
          <w:sz w:val="24"/>
          <w:lang w:val="sq-AL"/>
        </w:rPr>
        <w:t xml:space="preserve">, puna vazhdoi me një numër takimesh të nivelit të lartë të udhëhequr nga Përfaqësuesja e Lartë/Nënkryetarja </w:t>
      </w:r>
      <w:proofErr w:type="spellStart"/>
      <w:r w:rsidRPr="00A6284F">
        <w:rPr>
          <w:rFonts w:eastAsia="Times New Roman"/>
          <w:color w:val="000000"/>
          <w:spacing w:val="-1"/>
          <w:sz w:val="24"/>
          <w:lang w:val="sq-AL"/>
        </w:rPr>
        <w:t>Mogherini</w:t>
      </w:r>
      <w:proofErr w:type="spellEnd"/>
      <w:r w:rsidRPr="00A6284F">
        <w:rPr>
          <w:rFonts w:eastAsia="Times New Roman"/>
          <w:color w:val="000000"/>
          <w:spacing w:val="-1"/>
          <w:sz w:val="24"/>
          <w:lang w:val="sq-AL"/>
        </w:rPr>
        <w:t xml:space="preserve"> me Presidentët </w:t>
      </w:r>
      <w:proofErr w:type="spellStart"/>
      <w:r w:rsidRPr="00A6284F">
        <w:rPr>
          <w:rFonts w:eastAsia="Times New Roman"/>
          <w:color w:val="000000"/>
          <w:spacing w:val="-1"/>
          <w:sz w:val="24"/>
          <w:lang w:val="sq-AL"/>
        </w:rPr>
        <w:t>Vuçiq</w:t>
      </w:r>
      <w:proofErr w:type="spellEnd"/>
      <w:r w:rsidRPr="00A6284F">
        <w:rPr>
          <w:rFonts w:eastAsia="Times New Roman"/>
          <w:color w:val="000000"/>
          <w:spacing w:val="-1"/>
          <w:sz w:val="24"/>
          <w:lang w:val="sq-AL"/>
        </w:rPr>
        <w:t xml:space="preserve"> dhe Thaçi. Kjo fazë e re synon të përfundojë </w:t>
      </w:r>
      <w:r w:rsidR="00E7333C" w:rsidRPr="00A6284F">
        <w:rPr>
          <w:rFonts w:eastAsia="Times New Roman"/>
          <w:color w:val="000000"/>
          <w:spacing w:val="-1"/>
          <w:sz w:val="24"/>
          <w:lang w:val="sq-AL"/>
        </w:rPr>
        <w:t xml:space="preserve">me </w:t>
      </w:r>
      <w:r w:rsidRPr="00A6284F">
        <w:rPr>
          <w:rFonts w:eastAsia="Times New Roman"/>
          <w:color w:val="000000"/>
          <w:spacing w:val="-1"/>
          <w:sz w:val="24"/>
          <w:lang w:val="sq-AL"/>
        </w:rPr>
        <w:t xml:space="preserve">një marrëveshje plotësisht gjithëpërfshirëse dhe ligjërisht të detyrueshme ndërmjet Serbisë dhe Kosovës, në përputhje me të drejtën ndërkombëtare dhe </w:t>
      </w:r>
      <w:r w:rsidRPr="00A6284F">
        <w:rPr>
          <w:rFonts w:eastAsia="Times New Roman"/>
          <w:i/>
          <w:color w:val="000000"/>
          <w:spacing w:val="-1"/>
          <w:sz w:val="24"/>
          <w:lang w:val="sq-AL"/>
        </w:rPr>
        <w:t>acquis</w:t>
      </w:r>
      <w:r w:rsidR="00826DFF" w:rsidRPr="00A6284F">
        <w:rPr>
          <w:rFonts w:eastAsia="Times New Roman"/>
          <w:i/>
          <w:color w:val="000000"/>
          <w:spacing w:val="-1"/>
          <w:sz w:val="24"/>
          <w:lang w:val="sq-AL"/>
        </w:rPr>
        <w:t xml:space="preserve"> e</w:t>
      </w:r>
      <w:r w:rsidRPr="00A6284F">
        <w:rPr>
          <w:rFonts w:eastAsia="Times New Roman"/>
          <w:color w:val="000000"/>
          <w:spacing w:val="-1"/>
          <w:sz w:val="24"/>
          <w:lang w:val="sq-AL"/>
        </w:rPr>
        <w:t xml:space="preserve"> BE</w:t>
      </w:r>
      <w:r w:rsidR="00826DFF" w:rsidRPr="00A6284F">
        <w:rPr>
          <w:rFonts w:eastAsia="Times New Roman"/>
          <w:color w:val="000000"/>
          <w:spacing w:val="-1"/>
          <w:sz w:val="24"/>
          <w:lang w:val="sq-AL"/>
        </w:rPr>
        <w:t xml:space="preserve">-së </w:t>
      </w:r>
      <w:r w:rsidR="00E7333C" w:rsidRPr="00A6284F">
        <w:rPr>
          <w:rFonts w:eastAsia="Times New Roman"/>
          <w:color w:val="000000"/>
          <w:spacing w:val="-1"/>
          <w:sz w:val="24"/>
          <w:lang w:val="sq-AL"/>
        </w:rPr>
        <w:t>që do të jet</w:t>
      </w:r>
      <w:r w:rsidRPr="00A6284F">
        <w:rPr>
          <w:rFonts w:eastAsia="Times New Roman"/>
          <w:color w:val="000000"/>
          <w:spacing w:val="-1"/>
          <w:sz w:val="24"/>
          <w:lang w:val="sq-AL"/>
        </w:rPr>
        <w:t xml:space="preserve">ë </w:t>
      </w:r>
      <w:r w:rsidR="00E7333C" w:rsidRPr="00A6284F">
        <w:rPr>
          <w:rFonts w:eastAsia="Times New Roman"/>
          <w:color w:val="000000"/>
          <w:spacing w:val="-1"/>
          <w:sz w:val="24"/>
          <w:lang w:val="sq-AL"/>
        </w:rPr>
        <w:t xml:space="preserve">e </w:t>
      </w:r>
      <w:r w:rsidRPr="00A6284F">
        <w:rPr>
          <w:rFonts w:eastAsia="Times New Roman"/>
          <w:color w:val="000000"/>
          <w:spacing w:val="-1"/>
          <w:sz w:val="24"/>
          <w:lang w:val="sq-AL"/>
        </w:rPr>
        <w:t>pranueshme për Shtetet Anëtare të BE dhe rajonin. Kjo punë u ndërpre në nëntor të vitit 2018 pas vendimit të qeverisë së Kosovës për të vendosur taksat doganore prej 100% mbi mallrat e importuara nga Serbia dhe Bosnja dhe Hercegovina për arsye politike dhe ekonomike.</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zbatimin e marrëveshjeve të mëparshme, është bërë një konsolidim i mëtejshëm për zbatimin e </w:t>
      </w:r>
      <w:r w:rsidRPr="00A6284F">
        <w:rPr>
          <w:rFonts w:eastAsia="Times New Roman"/>
          <w:b/>
          <w:color w:val="000000"/>
          <w:sz w:val="24"/>
          <w:lang w:val="sq-AL"/>
        </w:rPr>
        <w:t>“Marrëveshjes së parë të parimeve që rregullojnë normalizimin e marrëdhënieve” të prillit të vitit 2013</w:t>
      </w:r>
      <w:r w:rsidRPr="00A6284F">
        <w:rPr>
          <w:rFonts w:eastAsia="Times New Roman"/>
          <w:color w:val="000000"/>
          <w:sz w:val="24"/>
          <w:lang w:val="sq-AL"/>
        </w:rPr>
        <w:t>, me zbatimin e plotë të marrëveshjes së drejtësisë, e cila i ka mundësuar personelit të ri të integruar gjyqësor që të adresojë lëndëte pazgjidhura me kolegët e tyre gjyqësorë.</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Zbatimi i </w:t>
      </w:r>
      <w:r w:rsidRPr="00A6284F">
        <w:rPr>
          <w:rFonts w:eastAsia="Times New Roman"/>
          <w:b/>
          <w:color w:val="000000"/>
          <w:sz w:val="24"/>
          <w:lang w:val="sq-AL"/>
        </w:rPr>
        <w:t xml:space="preserve">Marrëveshjeve të </w:t>
      </w:r>
      <w:r w:rsidR="00E7333C" w:rsidRPr="00A6284F">
        <w:rPr>
          <w:rFonts w:eastAsia="Times New Roman"/>
          <w:b/>
          <w:color w:val="000000"/>
          <w:sz w:val="24"/>
          <w:lang w:val="sq-AL"/>
        </w:rPr>
        <w:t xml:space="preserve">25 </w:t>
      </w:r>
      <w:r w:rsidRPr="00A6284F">
        <w:rPr>
          <w:rFonts w:eastAsia="Times New Roman"/>
          <w:b/>
          <w:color w:val="000000"/>
          <w:sz w:val="24"/>
          <w:lang w:val="sq-AL"/>
        </w:rPr>
        <w:t>gushtit të vitit 2015</w:t>
      </w:r>
      <w:r w:rsidRPr="00A6284F">
        <w:rPr>
          <w:rFonts w:eastAsia="Times New Roman"/>
          <w:color w:val="000000"/>
          <w:sz w:val="24"/>
          <w:lang w:val="sq-AL"/>
        </w:rPr>
        <w:t xml:space="preserve"> ka mbetur përgjithësisht i ngadaltë. Nuk është bërë përparim në </w:t>
      </w:r>
      <w:r w:rsidRPr="00A6284F">
        <w:rPr>
          <w:rFonts w:eastAsia="Times New Roman"/>
          <w:b/>
          <w:color w:val="000000"/>
          <w:sz w:val="24"/>
          <w:lang w:val="sq-AL"/>
        </w:rPr>
        <w:t>Asociacionin/Bashkësinë e komunave me shumicë serbe</w:t>
      </w:r>
      <w:r w:rsidRPr="00A6284F">
        <w:rPr>
          <w:rFonts w:eastAsia="Times New Roman"/>
          <w:color w:val="000000"/>
          <w:sz w:val="24"/>
          <w:lang w:val="sq-AL"/>
        </w:rPr>
        <w:t xml:space="preserve"> dhe Kosova ende nuk është angazhuar në mënyrë konstruktive në themelimin e </w:t>
      </w:r>
      <w:r w:rsidR="00E7333C" w:rsidRPr="00A6284F">
        <w:rPr>
          <w:rFonts w:eastAsia="Times New Roman"/>
          <w:color w:val="000000"/>
          <w:sz w:val="24"/>
          <w:lang w:val="sq-AL"/>
        </w:rPr>
        <w:t>sa</w:t>
      </w:r>
      <w:r w:rsidRPr="00A6284F">
        <w:rPr>
          <w:rFonts w:eastAsia="Times New Roman"/>
          <w:color w:val="000000"/>
          <w:sz w:val="24"/>
          <w:lang w:val="sq-AL"/>
        </w:rPr>
        <w:t xml:space="preserve">j. Marrëveshja </w:t>
      </w:r>
      <w:r w:rsidRPr="00A6284F">
        <w:rPr>
          <w:rFonts w:eastAsia="Times New Roman"/>
          <w:b/>
          <w:color w:val="000000"/>
          <w:sz w:val="24"/>
          <w:lang w:val="sq-AL"/>
        </w:rPr>
        <w:t>e</w:t>
      </w:r>
      <w:r w:rsidR="00E7333C" w:rsidRPr="00A6284F">
        <w:rPr>
          <w:rFonts w:eastAsia="Times New Roman"/>
          <w:b/>
          <w:color w:val="000000"/>
          <w:sz w:val="24"/>
          <w:lang w:val="sq-AL"/>
        </w:rPr>
        <w:t xml:space="preserve"> </w:t>
      </w:r>
      <w:r w:rsidRPr="00A6284F">
        <w:rPr>
          <w:rFonts w:eastAsia="Times New Roman"/>
          <w:b/>
          <w:color w:val="000000"/>
          <w:sz w:val="24"/>
          <w:lang w:val="sq-AL"/>
        </w:rPr>
        <w:t>energjisë</w:t>
      </w:r>
      <w:r w:rsidRPr="00A6284F">
        <w:rPr>
          <w:rFonts w:eastAsia="Times New Roman"/>
          <w:color w:val="000000"/>
          <w:sz w:val="24"/>
          <w:lang w:val="sq-AL"/>
        </w:rPr>
        <w:t xml:space="preserve"> m</w:t>
      </w:r>
      <w:r w:rsidR="00E7333C" w:rsidRPr="00A6284F">
        <w:rPr>
          <w:rFonts w:eastAsia="Times New Roman"/>
          <w:color w:val="000000"/>
          <w:sz w:val="24"/>
          <w:lang w:val="sq-AL"/>
        </w:rPr>
        <w:t>e</w:t>
      </w:r>
      <w:r w:rsidRPr="00A6284F">
        <w:rPr>
          <w:rFonts w:eastAsia="Times New Roman"/>
          <w:color w:val="000000"/>
          <w:sz w:val="24"/>
          <w:lang w:val="sq-AL"/>
        </w:rPr>
        <w:t>s Serbisë dhe Kosovës duhet të zbatohet pa vonesa të mëtejshme në mënyrë që shmanget pasoja</w:t>
      </w:r>
      <w:r w:rsidR="00E7333C" w:rsidRPr="00A6284F">
        <w:rPr>
          <w:rFonts w:eastAsia="Times New Roman"/>
          <w:color w:val="000000"/>
          <w:sz w:val="24"/>
          <w:lang w:val="sq-AL"/>
        </w:rPr>
        <w:t>t</w:t>
      </w:r>
      <w:r w:rsidRPr="00A6284F">
        <w:rPr>
          <w:rFonts w:eastAsia="Times New Roman"/>
          <w:color w:val="000000"/>
          <w:sz w:val="24"/>
          <w:lang w:val="sq-AL"/>
        </w:rPr>
        <w:t xml:space="preserve"> </w:t>
      </w:r>
      <w:r w:rsidR="00E7333C" w:rsidRPr="00A6284F">
        <w:rPr>
          <w:rFonts w:eastAsia="Times New Roman"/>
          <w:color w:val="000000"/>
          <w:sz w:val="24"/>
          <w:lang w:val="sq-AL"/>
        </w:rPr>
        <w:t>e</w:t>
      </w:r>
      <w:r w:rsidRPr="00A6284F">
        <w:rPr>
          <w:rFonts w:eastAsia="Times New Roman"/>
          <w:color w:val="000000"/>
          <w:sz w:val="24"/>
          <w:lang w:val="sq-AL"/>
        </w:rPr>
        <w:t xml:space="preserve"> mëtejshme për stabilitetin dhe sigurinë energjetike në Serbi, Kosovë dhe në vendet anembanë Evropës</w:t>
      </w:r>
      <w:r w:rsidR="00E7333C" w:rsidRPr="00A6284F">
        <w:rPr>
          <w:rFonts w:eastAsia="Times New Roman"/>
          <w:color w:val="000000"/>
          <w:sz w:val="24"/>
          <w:lang w:val="sq-AL"/>
        </w:rPr>
        <w:t xml:space="preserve"> nga kjo mosmarrëveshje që ka ekzistuar për një kohë të gjatë</w:t>
      </w:r>
      <w:r w:rsidRPr="00A6284F">
        <w:rPr>
          <w:rFonts w:eastAsia="Times New Roman"/>
          <w:color w:val="000000"/>
          <w:sz w:val="24"/>
          <w:lang w:val="sq-AL"/>
        </w:rPr>
        <w:t>.</w:t>
      </w:r>
      <w:r w:rsidR="00E7333C" w:rsidRPr="00A6284F">
        <w:rPr>
          <w:rFonts w:eastAsia="Times New Roman"/>
          <w:color w:val="000000"/>
          <w:sz w:val="24"/>
          <w:lang w:val="sq-AL"/>
        </w:rPr>
        <w:t xml:space="preserve"> </w:t>
      </w:r>
      <w:r w:rsidRPr="00A6284F">
        <w:rPr>
          <w:rFonts w:eastAsia="Times New Roman"/>
          <w:color w:val="000000"/>
          <w:sz w:val="24"/>
          <w:lang w:val="sq-AL"/>
        </w:rPr>
        <w:t xml:space="preserve">Pas përfundimit të regjistrimit të </w:t>
      </w:r>
      <w:proofErr w:type="spellStart"/>
      <w:r w:rsidRPr="00A6284F">
        <w:rPr>
          <w:rFonts w:eastAsia="Times New Roman"/>
          <w:color w:val="000000"/>
          <w:sz w:val="24"/>
          <w:lang w:val="sq-AL"/>
        </w:rPr>
        <w:t>Elektrosever</w:t>
      </w:r>
      <w:proofErr w:type="spellEnd"/>
      <w:r w:rsidRPr="00A6284F">
        <w:rPr>
          <w:rFonts w:eastAsia="Times New Roman"/>
          <w:color w:val="000000"/>
          <w:sz w:val="24"/>
          <w:lang w:val="sq-AL"/>
        </w:rPr>
        <w:t xml:space="preserve">, Serbia duhet të paraqesë </w:t>
      </w:r>
      <w:r w:rsidR="00526B1F" w:rsidRPr="00A6284F">
        <w:rPr>
          <w:rFonts w:eastAsia="Times New Roman"/>
          <w:color w:val="000000"/>
          <w:sz w:val="24"/>
          <w:lang w:val="sq-AL"/>
        </w:rPr>
        <w:t xml:space="preserve">kërkesën </w:t>
      </w:r>
      <w:r w:rsidRPr="00A6284F">
        <w:rPr>
          <w:rFonts w:eastAsia="Times New Roman"/>
          <w:color w:val="000000"/>
          <w:sz w:val="24"/>
          <w:lang w:val="sq-AL"/>
        </w:rPr>
        <w:t xml:space="preserve">për procesin e licencimit në Kosovë si çështje urgjente. Punimet në </w:t>
      </w:r>
      <w:r w:rsidRPr="00A6284F">
        <w:rPr>
          <w:rFonts w:eastAsia="Times New Roman"/>
          <w:b/>
          <w:color w:val="000000"/>
          <w:sz w:val="24"/>
          <w:lang w:val="sq-AL"/>
        </w:rPr>
        <w:t>urën e Mitrovicës</w:t>
      </w:r>
      <w:r w:rsidRPr="00A6284F">
        <w:rPr>
          <w:rFonts w:eastAsia="Times New Roman"/>
          <w:color w:val="000000"/>
          <w:sz w:val="24"/>
          <w:lang w:val="sq-AL"/>
        </w:rPr>
        <w:t xml:space="preserve"> janë përfunduar dhe ura duhet të hapet për trafikun e automjeteve pa vonesa ose pengesa të mëtejshme. Zbatimi i plotë i marrëveshjes së </w:t>
      </w:r>
      <w:r w:rsidRPr="00A6284F">
        <w:rPr>
          <w:rFonts w:eastAsia="Times New Roman"/>
          <w:b/>
          <w:color w:val="000000"/>
          <w:sz w:val="24"/>
          <w:lang w:val="sq-AL"/>
        </w:rPr>
        <w:t>telekomunikacion</w:t>
      </w:r>
      <w:r w:rsidR="00526B1F" w:rsidRPr="00A6284F">
        <w:rPr>
          <w:rFonts w:eastAsia="Times New Roman"/>
          <w:b/>
          <w:color w:val="000000"/>
          <w:sz w:val="24"/>
          <w:lang w:val="sq-AL"/>
        </w:rPr>
        <w:t xml:space="preserve">it </w:t>
      </w:r>
      <w:r w:rsidRPr="00A6284F">
        <w:rPr>
          <w:rFonts w:eastAsia="Times New Roman"/>
          <w:color w:val="000000"/>
          <w:sz w:val="24"/>
          <w:lang w:val="sq-AL"/>
        </w:rPr>
        <w:t>ka mundësuar futjen e prefiksit të ri.</w:t>
      </w:r>
    </w:p>
    <w:p w:rsidR="00CE1051" w:rsidRPr="00A6284F" w:rsidRDefault="00CE1051" w:rsidP="00CE1051">
      <w:pPr>
        <w:spacing w:before="118" w:after="37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Marrëveshjeve të Dialogut Teknik (2011-2012)</w:t>
      </w:r>
      <w:r w:rsidRPr="00A6284F">
        <w:rPr>
          <w:rFonts w:eastAsia="Times New Roman"/>
          <w:color w:val="000000"/>
          <w:sz w:val="24"/>
          <w:lang w:val="sq-AL"/>
        </w:rPr>
        <w:t xml:space="preserve">, disa nuk janë zbatuar ose janë zbatuar vetëm pjesërisht. Të dy palët duhet të mbeten të përkushtuara për zbatimin e vazhdueshëm të marrëveshjes për përfaqësimin dhe pjesëmarrjen e Kosovës në </w:t>
      </w:r>
      <w:r w:rsidRPr="00A6284F">
        <w:rPr>
          <w:rFonts w:eastAsia="Times New Roman"/>
          <w:b/>
          <w:color w:val="000000"/>
          <w:sz w:val="24"/>
          <w:lang w:val="sq-AL"/>
        </w:rPr>
        <w:t>forumet rajonale</w:t>
      </w:r>
      <w:r w:rsidRPr="00A6284F">
        <w:rPr>
          <w:rFonts w:eastAsia="Times New Roman"/>
          <w:color w:val="000000"/>
          <w:sz w:val="24"/>
          <w:lang w:val="sq-AL"/>
        </w:rPr>
        <w:t xml:space="preserve">. Çështjet e njohjes së </w:t>
      </w:r>
      <w:r w:rsidRPr="00A6284F">
        <w:rPr>
          <w:rFonts w:eastAsia="Times New Roman"/>
          <w:b/>
          <w:color w:val="000000"/>
          <w:sz w:val="24"/>
          <w:lang w:val="sq-AL"/>
        </w:rPr>
        <w:t>diplomave universitare</w:t>
      </w:r>
      <w:r w:rsidR="00526B1F" w:rsidRPr="00A6284F">
        <w:rPr>
          <w:rFonts w:eastAsia="Times New Roman"/>
          <w:b/>
          <w:color w:val="000000"/>
          <w:sz w:val="24"/>
          <w:lang w:val="sq-AL"/>
        </w:rPr>
        <w:t xml:space="preserve"> </w:t>
      </w:r>
      <w:r w:rsidRPr="00A6284F">
        <w:rPr>
          <w:rFonts w:eastAsia="Times New Roman"/>
          <w:color w:val="000000"/>
          <w:sz w:val="24"/>
          <w:lang w:val="sq-AL"/>
        </w:rPr>
        <w:t xml:space="preserve">dhe </w:t>
      </w:r>
      <w:r w:rsidR="00526B1F" w:rsidRPr="00A6284F">
        <w:rPr>
          <w:rFonts w:eastAsia="Times New Roman"/>
          <w:color w:val="000000"/>
          <w:sz w:val="24"/>
          <w:lang w:val="sq-AL"/>
        </w:rPr>
        <w:t xml:space="preserve">dokumenteve </w:t>
      </w:r>
      <w:proofErr w:type="spellStart"/>
      <w:r w:rsidR="00526B1F" w:rsidRPr="00A6284F">
        <w:rPr>
          <w:rFonts w:eastAsia="Times New Roman"/>
          <w:b/>
          <w:color w:val="000000"/>
          <w:sz w:val="24"/>
          <w:lang w:val="sq-AL"/>
        </w:rPr>
        <w:t>kadastare</w:t>
      </w:r>
      <w:proofErr w:type="spellEnd"/>
      <w:r w:rsidR="00526B1F" w:rsidRPr="00A6284F">
        <w:rPr>
          <w:rFonts w:eastAsia="Times New Roman"/>
          <w:b/>
          <w:color w:val="000000"/>
          <w:sz w:val="24"/>
          <w:lang w:val="sq-AL"/>
        </w:rPr>
        <w:t xml:space="preserve"> </w:t>
      </w:r>
      <w:r w:rsidR="00526B1F" w:rsidRPr="00A6284F">
        <w:rPr>
          <w:rFonts w:eastAsia="Times New Roman"/>
          <w:color w:val="000000"/>
          <w:sz w:val="24"/>
          <w:lang w:val="sq-AL"/>
        </w:rPr>
        <w:t>e</w:t>
      </w:r>
      <w:r w:rsidRPr="00A6284F">
        <w:rPr>
          <w:rFonts w:eastAsia="Times New Roman"/>
          <w:color w:val="000000"/>
          <w:sz w:val="24"/>
          <w:lang w:val="sq-AL"/>
        </w:rPr>
        <w:t xml:space="preserve">nde nuk </w:t>
      </w:r>
      <w:r w:rsidR="00526B1F" w:rsidRPr="00A6284F">
        <w:rPr>
          <w:rFonts w:eastAsia="Times New Roman"/>
          <w:color w:val="000000"/>
          <w:sz w:val="24"/>
          <w:lang w:val="sq-AL"/>
        </w:rPr>
        <w:t xml:space="preserve">është </w:t>
      </w:r>
      <w:r w:rsidRPr="00A6284F">
        <w:rPr>
          <w:rFonts w:eastAsia="Times New Roman"/>
          <w:color w:val="000000"/>
          <w:sz w:val="24"/>
          <w:lang w:val="sq-AL"/>
        </w:rPr>
        <w:t xml:space="preserve">zgjidhur, siç </w:t>
      </w:r>
      <w:r w:rsidR="00526B1F" w:rsidRPr="00A6284F">
        <w:rPr>
          <w:rFonts w:eastAsia="Times New Roman"/>
          <w:color w:val="000000"/>
          <w:sz w:val="24"/>
          <w:lang w:val="sq-AL"/>
        </w:rPr>
        <w:t xml:space="preserve">nuk janë zgjidhur elementet </w:t>
      </w:r>
      <w:r w:rsidRPr="00A6284F">
        <w:rPr>
          <w:rFonts w:eastAsia="Times New Roman"/>
          <w:color w:val="000000"/>
          <w:sz w:val="24"/>
          <w:lang w:val="sq-AL"/>
        </w:rPr>
        <w:t xml:space="preserve">lidhur me </w:t>
      </w:r>
      <w:r w:rsidRPr="00A6284F">
        <w:rPr>
          <w:rFonts w:eastAsia="Times New Roman"/>
          <w:b/>
          <w:color w:val="000000"/>
          <w:sz w:val="24"/>
          <w:lang w:val="sq-AL"/>
        </w:rPr>
        <w:t>targat e makinave</w:t>
      </w:r>
      <w:r w:rsidRPr="00A6284F">
        <w:rPr>
          <w:rFonts w:eastAsia="Times New Roman"/>
          <w:color w:val="000000"/>
          <w:sz w:val="24"/>
          <w:lang w:val="sq-AL"/>
        </w:rPr>
        <w:t xml:space="preserve"> të</w:t>
      </w:r>
      <w:r w:rsidR="00526B1F" w:rsidRPr="00A6284F">
        <w:rPr>
          <w:rFonts w:eastAsia="Times New Roman"/>
          <w:color w:val="000000"/>
          <w:sz w:val="24"/>
          <w:lang w:val="sq-AL"/>
        </w:rPr>
        <w:t xml:space="preserve"> parapara në </w:t>
      </w:r>
      <w:r w:rsidRPr="00A6284F">
        <w:rPr>
          <w:rFonts w:eastAsia="Times New Roman"/>
          <w:color w:val="000000"/>
          <w:sz w:val="24"/>
          <w:lang w:val="sq-AL"/>
        </w:rPr>
        <w:t xml:space="preserve"> marrëveshje</w:t>
      </w:r>
      <w:r w:rsidR="00526B1F" w:rsidRPr="00A6284F">
        <w:rPr>
          <w:rFonts w:eastAsia="Times New Roman"/>
          <w:color w:val="000000"/>
          <w:sz w:val="24"/>
          <w:lang w:val="sq-AL"/>
        </w:rPr>
        <w:t>n</w:t>
      </w:r>
      <w:r w:rsidRPr="00A6284F">
        <w:rPr>
          <w:rFonts w:eastAsia="Times New Roman"/>
          <w:color w:val="000000"/>
          <w:sz w:val="24"/>
          <w:lang w:val="sq-AL"/>
        </w:rPr>
        <w:t xml:space="preserve"> për lirinë e lëvizjes. Serbia ende nuk e ka adresuar çështjen e ri-vendosjes së strukturave </w:t>
      </w:r>
      <w:r w:rsidRPr="00A6284F">
        <w:rPr>
          <w:rFonts w:eastAsia="Times New Roman"/>
          <w:b/>
          <w:color w:val="000000"/>
          <w:sz w:val="24"/>
          <w:lang w:val="sq-AL"/>
        </w:rPr>
        <w:t xml:space="preserve">doganore </w:t>
      </w:r>
      <w:r w:rsidRPr="00A6284F">
        <w:rPr>
          <w:rFonts w:eastAsia="Times New Roman"/>
          <w:color w:val="000000"/>
          <w:sz w:val="24"/>
          <w:lang w:val="sq-AL"/>
        </w:rPr>
        <w:t>administrative serbe me emërtimin e Kosovës që veprojnë nga brenda Serbisë dhe për të ndaluar lëshimin e dokumentacionit ose vendosjen e pullave me emërtim që bie në kundërshtim me marrëveshjen përkatëse.</w:t>
      </w:r>
      <w:r w:rsidR="00526B1F" w:rsidRPr="00A6284F">
        <w:rPr>
          <w:rFonts w:eastAsia="Times New Roman"/>
          <w:color w:val="000000"/>
          <w:sz w:val="24"/>
          <w:lang w:val="sq-AL"/>
        </w:rPr>
        <w:t xml:space="preserve"> Sa i përket </w:t>
      </w:r>
      <w:r w:rsidRPr="00A6284F">
        <w:rPr>
          <w:rFonts w:eastAsia="Times New Roman"/>
          <w:b/>
          <w:color w:val="000000"/>
          <w:sz w:val="24"/>
          <w:lang w:val="sq-AL"/>
        </w:rPr>
        <w:t>MIK</w:t>
      </w:r>
      <w:r w:rsidR="00526B1F" w:rsidRPr="00A6284F">
        <w:rPr>
          <w:rFonts w:eastAsia="Times New Roman"/>
          <w:b/>
          <w:color w:val="000000"/>
          <w:sz w:val="24"/>
          <w:lang w:val="sq-AL"/>
        </w:rPr>
        <w:t>-ut</w:t>
      </w:r>
      <w:r w:rsidRPr="00A6284F">
        <w:rPr>
          <w:rFonts w:eastAsia="Times New Roman"/>
          <w:color w:val="000000"/>
          <w:sz w:val="24"/>
          <w:lang w:val="sq-AL"/>
        </w:rPr>
        <w:t>, pikë-kalimet</w:t>
      </w:r>
      <w:r w:rsidR="00526B1F" w:rsidRPr="00A6284F">
        <w:rPr>
          <w:rFonts w:eastAsia="Times New Roman"/>
          <w:color w:val="000000"/>
          <w:sz w:val="24"/>
          <w:lang w:val="sq-AL"/>
        </w:rPr>
        <w:t xml:space="preserve"> </w:t>
      </w:r>
      <w:r w:rsidRPr="00A6284F">
        <w:rPr>
          <w:rFonts w:eastAsia="Times New Roman"/>
          <w:color w:val="000000"/>
          <w:sz w:val="24"/>
          <w:lang w:val="sq-AL"/>
        </w:rPr>
        <w:t>e përkohshme</w:t>
      </w:r>
      <w:r w:rsidR="00526B1F" w:rsidRPr="00A6284F">
        <w:rPr>
          <w:rFonts w:eastAsia="Times New Roman"/>
          <w:color w:val="000000"/>
          <w:sz w:val="24"/>
          <w:lang w:val="sq-AL"/>
        </w:rPr>
        <w:t xml:space="preserve"> kufitare </w:t>
      </w:r>
      <w:r w:rsidRPr="00A6284F">
        <w:rPr>
          <w:rFonts w:eastAsia="Times New Roman"/>
          <w:color w:val="000000"/>
          <w:sz w:val="24"/>
          <w:lang w:val="sq-AL"/>
        </w:rPr>
        <w:t xml:space="preserve">të përbashkëta me Serbinë vazhdojnë të jenë funksionale. Ka pasur progres të kufizuar në krijimin e gjashtë pikë-kalimeve të përhershme të përbashkëta të MIK në mes të Serbisë dhe Kosovës siç përcaktohet në marrëveshjen e MIK. Serbia nuk u angazhua në mënyrë konstruktive në fillimin e krijimit të këtyre pikë-kalimeve në anën serbe (në </w:t>
      </w:r>
      <w:proofErr w:type="spellStart"/>
      <w:r w:rsidRPr="00A6284F">
        <w:rPr>
          <w:rFonts w:eastAsia="Times New Roman"/>
          <w:color w:val="000000"/>
          <w:sz w:val="24"/>
          <w:lang w:val="sq-AL"/>
        </w:rPr>
        <w:t>Jarinje</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Muqibabë</w:t>
      </w:r>
      <w:proofErr w:type="spellEnd"/>
      <w:r w:rsidRPr="00A6284F">
        <w:rPr>
          <w:rFonts w:eastAsia="Times New Roman"/>
          <w:color w:val="000000"/>
          <w:sz w:val="24"/>
          <w:lang w:val="sq-AL"/>
        </w:rPr>
        <w:t xml:space="preserve"> dhe </w:t>
      </w:r>
      <w:proofErr w:type="spellStart"/>
      <w:r w:rsidRPr="00A6284F">
        <w:rPr>
          <w:rFonts w:eastAsia="Times New Roman"/>
          <w:color w:val="000000"/>
          <w:sz w:val="24"/>
          <w:lang w:val="sq-AL"/>
        </w:rPr>
        <w:t>Konçul</w:t>
      </w:r>
      <w:proofErr w:type="spellEnd"/>
      <w:r w:rsidRPr="00A6284F">
        <w:rPr>
          <w:rFonts w:eastAsia="Times New Roman"/>
          <w:color w:val="000000"/>
          <w:sz w:val="24"/>
          <w:lang w:val="sq-AL"/>
        </w:rPr>
        <w:t>). Kjo çoi në pezullimin e fondeve të BE</w:t>
      </w:r>
      <w:r w:rsidR="00526B1F" w:rsidRPr="00A6284F">
        <w:rPr>
          <w:rFonts w:eastAsia="Times New Roman"/>
          <w:color w:val="000000"/>
          <w:sz w:val="24"/>
          <w:lang w:val="sq-AL"/>
        </w:rPr>
        <w:t xml:space="preserve">-së </w:t>
      </w:r>
      <w:r w:rsidRPr="00A6284F">
        <w:rPr>
          <w:rFonts w:eastAsia="Times New Roman"/>
          <w:color w:val="000000"/>
          <w:sz w:val="24"/>
          <w:lang w:val="sq-AL"/>
        </w:rPr>
        <w:t xml:space="preserve">në korrik të vitit 2018. Në ato të organizuara nga Kosova (në </w:t>
      </w:r>
      <w:proofErr w:type="spellStart"/>
      <w:r w:rsidRPr="00A6284F">
        <w:rPr>
          <w:rFonts w:eastAsia="Times New Roman"/>
          <w:color w:val="000000"/>
          <w:sz w:val="24"/>
          <w:lang w:val="sq-AL"/>
        </w:rPr>
        <w:t>Tabavije</w:t>
      </w:r>
      <w:proofErr w:type="spellEnd"/>
      <w:r w:rsidRPr="00A6284F">
        <w:rPr>
          <w:rFonts w:eastAsia="Times New Roman"/>
          <w:color w:val="000000"/>
          <w:sz w:val="24"/>
          <w:lang w:val="sq-AL"/>
        </w:rPr>
        <w:t xml:space="preserve">/Bërnjak, </w:t>
      </w:r>
      <w:proofErr w:type="spellStart"/>
      <w:r w:rsidRPr="00A6284F">
        <w:rPr>
          <w:rFonts w:eastAsia="Times New Roman"/>
          <w:color w:val="000000"/>
          <w:sz w:val="24"/>
          <w:lang w:val="sq-AL"/>
        </w:rPr>
        <w:t>Mutivodë</w:t>
      </w:r>
      <w:proofErr w:type="spellEnd"/>
      <w:r w:rsidRPr="00A6284F">
        <w:rPr>
          <w:rFonts w:eastAsia="Times New Roman"/>
          <w:color w:val="000000"/>
          <w:sz w:val="24"/>
          <w:lang w:val="sq-AL"/>
        </w:rPr>
        <w:t xml:space="preserve"> dhe </w:t>
      </w:r>
      <w:proofErr w:type="spellStart"/>
      <w:r w:rsidRPr="00A6284F">
        <w:rPr>
          <w:rFonts w:eastAsia="Times New Roman"/>
          <w:color w:val="000000"/>
          <w:sz w:val="24"/>
          <w:lang w:val="sq-AL"/>
        </w:rPr>
        <w:t>Merdarë</w:t>
      </w:r>
      <w:proofErr w:type="spellEnd"/>
      <w:r w:rsidRPr="00A6284F">
        <w:rPr>
          <w:rFonts w:eastAsia="Times New Roman"/>
          <w:color w:val="000000"/>
          <w:sz w:val="24"/>
          <w:lang w:val="sq-AL"/>
        </w:rPr>
        <w:t xml:space="preserve">), </w:t>
      </w:r>
      <w:r w:rsidRPr="00A6284F">
        <w:rPr>
          <w:rFonts w:eastAsia="Times New Roman"/>
          <w:color w:val="000000"/>
          <w:sz w:val="24"/>
          <w:lang w:val="sq-AL"/>
        </w:rPr>
        <w:lastRenderedPageBreak/>
        <w:t xml:space="preserve">ndërtimi në </w:t>
      </w:r>
      <w:proofErr w:type="spellStart"/>
      <w:r w:rsidRPr="00A6284F">
        <w:rPr>
          <w:rFonts w:eastAsia="Times New Roman"/>
          <w:color w:val="000000"/>
          <w:sz w:val="24"/>
          <w:lang w:val="sq-AL"/>
        </w:rPr>
        <w:t>Tabavije</w:t>
      </w:r>
      <w:proofErr w:type="spellEnd"/>
      <w:r w:rsidRPr="00A6284F">
        <w:rPr>
          <w:rFonts w:eastAsia="Times New Roman"/>
          <w:color w:val="000000"/>
          <w:sz w:val="24"/>
          <w:lang w:val="sq-AL"/>
        </w:rPr>
        <w:t xml:space="preserve">/Bërnjak nuk ka filluar kurrë për shkak të dështimit të Beogradit për të zhvendosur shtyllat e energjisë elektrike </w:t>
      </w:r>
      <w:r w:rsidR="0004516D" w:rsidRPr="00A6284F">
        <w:rPr>
          <w:rFonts w:eastAsia="Times New Roman"/>
          <w:color w:val="000000"/>
          <w:sz w:val="24"/>
          <w:lang w:val="sq-AL"/>
        </w:rPr>
        <w:t>q</w:t>
      </w:r>
      <w:r w:rsidRPr="00A6284F">
        <w:rPr>
          <w:rFonts w:eastAsia="Times New Roman"/>
          <w:color w:val="000000"/>
          <w:sz w:val="24"/>
          <w:lang w:val="sq-AL"/>
        </w:rPr>
        <w:t xml:space="preserve">ë </w:t>
      </w:r>
      <w:r w:rsidR="0004516D" w:rsidRPr="00A6284F">
        <w:rPr>
          <w:rFonts w:eastAsia="Times New Roman"/>
          <w:color w:val="000000"/>
          <w:sz w:val="24"/>
          <w:lang w:val="sq-AL"/>
        </w:rPr>
        <w:t xml:space="preserve">do </w:t>
      </w:r>
      <w:r w:rsidRPr="00A6284F">
        <w:rPr>
          <w:rFonts w:eastAsia="Times New Roman"/>
          <w:color w:val="000000"/>
          <w:sz w:val="24"/>
          <w:lang w:val="sq-AL"/>
        </w:rPr>
        <w:t>të lej</w:t>
      </w:r>
      <w:r w:rsidR="0004516D" w:rsidRPr="00A6284F">
        <w:rPr>
          <w:rFonts w:eastAsia="Times New Roman"/>
          <w:color w:val="000000"/>
          <w:sz w:val="24"/>
          <w:lang w:val="sq-AL"/>
        </w:rPr>
        <w:t xml:space="preserve">onin </w:t>
      </w:r>
      <w:r w:rsidRPr="00A6284F">
        <w:rPr>
          <w:rFonts w:eastAsia="Times New Roman"/>
          <w:color w:val="000000"/>
          <w:sz w:val="24"/>
          <w:lang w:val="sq-AL"/>
        </w:rPr>
        <w:t>fillimin e ndërtimit.</w:t>
      </w:r>
      <w:r w:rsidR="0004516D" w:rsidRPr="00A6284F">
        <w:rPr>
          <w:rFonts w:eastAsia="Times New Roman"/>
          <w:color w:val="000000"/>
          <w:sz w:val="24"/>
          <w:lang w:val="sq-AL"/>
        </w:rPr>
        <w:t xml:space="preserve"> </w:t>
      </w:r>
      <w:r w:rsidRPr="00A6284F">
        <w:rPr>
          <w:rFonts w:eastAsia="Times New Roman"/>
          <w:color w:val="000000"/>
          <w:sz w:val="24"/>
          <w:lang w:val="sq-AL"/>
        </w:rPr>
        <w:t xml:space="preserve">Në </w:t>
      </w:r>
      <w:proofErr w:type="spellStart"/>
      <w:r w:rsidRPr="00A6284F">
        <w:rPr>
          <w:rFonts w:eastAsia="Times New Roman"/>
          <w:color w:val="000000"/>
          <w:sz w:val="24"/>
          <w:lang w:val="sq-AL"/>
        </w:rPr>
        <w:t>Mutivodë</w:t>
      </w:r>
      <w:proofErr w:type="spellEnd"/>
      <w:r w:rsidRPr="00A6284F">
        <w:rPr>
          <w:rFonts w:eastAsia="Times New Roman"/>
          <w:color w:val="000000"/>
          <w:sz w:val="24"/>
          <w:lang w:val="sq-AL"/>
        </w:rPr>
        <w:t>, të gjitha bashkëpunimet e përfaqësuesve teknikë serbë janë ndalur që nga marsi i vitit 2018. Së fundi, refuzimi i a</w:t>
      </w:r>
      <w:r w:rsidR="0004516D" w:rsidRPr="00A6284F">
        <w:rPr>
          <w:rFonts w:eastAsia="Times New Roman"/>
          <w:color w:val="000000"/>
          <w:sz w:val="24"/>
          <w:lang w:val="sq-AL"/>
        </w:rPr>
        <w:t xml:space="preserve">utoriteteve serbe për lirimin e objekteve </w:t>
      </w:r>
      <w:r w:rsidRPr="00A6284F">
        <w:rPr>
          <w:rFonts w:eastAsia="Times New Roman"/>
          <w:color w:val="000000"/>
          <w:sz w:val="24"/>
          <w:lang w:val="sq-AL"/>
        </w:rPr>
        <w:t xml:space="preserve">të përkohshme të pikë-kalimit të </w:t>
      </w:r>
      <w:proofErr w:type="spellStart"/>
      <w:r w:rsidRPr="00A6284F">
        <w:rPr>
          <w:rFonts w:eastAsia="Times New Roman"/>
          <w:color w:val="000000"/>
          <w:sz w:val="24"/>
          <w:lang w:val="sq-AL"/>
        </w:rPr>
        <w:t>Merdarë</w:t>
      </w:r>
      <w:r w:rsidR="0004516D" w:rsidRPr="00A6284F">
        <w:rPr>
          <w:rFonts w:eastAsia="Times New Roman"/>
          <w:color w:val="000000"/>
          <w:sz w:val="24"/>
          <w:lang w:val="sq-AL"/>
        </w:rPr>
        <w:t>s</w:t>
      </w:r>
      <w:proofErr w:type="spellEnd"/>
      <w:r w:rsidRPr="00A6284F">
        <w:rPr>
          <w:rFonts w:eastAsia="Times New Roman"/>
          <w:color w:val="000000"/>
          <w:sz w:val="24"/>
          <w:lang w:val="sq-AL"/>
        </w:rPr>
        <w:t xml:space="preserve"> dhe zhvendosja e tyre në ato të reja</w:t>
      </w:r>
      <w:r w:rsidR="0004516D" w:rsidRPr="00A6284F">
        <w:rPr>
          <w:rFonts w:eastAsia="Times New Roman"/>
          <w:color w:val="000000"/>
          <w:sz w:val="24"/>
          <w:lang w:val="sq-AL"/>
        </w:rPr>
        <w:t>t</w:t>
      </w:r>
      <w:r w:rsidRPr="00A6284F">
        <w:rPr>
          <w:rFonts w:eastAsia="Times New Roman"/>
          <w:color w:val="000000"/>
          <w:sz w:val="24"/>
          <w:lang w:val="sq-AL"/>
        </w:rPr>
        <w:t xml:space="preserve"> vonon ndjeshëm trafikun dhe vë në rrezik zbatimin e projekteve të financuara nga BE</w:t>
      </w:r>
      <w:r w:rsidR="0004516D" w:rsidRPr="00A6284F">
        <w:rPr>
          <w:rFonts w:eastAsia="Times New Roman"/>
          <w:color w:val="000000"/>
          <w:sz w:val="24"/>
          <w:lang w:val="sq-AL"/>
        </w:rPr>
        <w:t>-ja</w:t>
      </w:r>
      <w:r w:rsidRPr="00A6284F">
        <w:rPr>
          <w:rFonts w:eastAsia="Times New Roman"/>
          <w:color w:val="000000"/>
          <w:sz w:val="24"/>
          <w:lang w:val="sq-AL"/>
        </w:rPr>
        <w:t>. Gjithashtu nuk ka pasur progres në përcaktimin e pikë-kalime</w:t>
      </w:r>
      <w:r w:rsidR="0004516D" w:rsidRPr="00A6284F">
        <w:rPr>
          <w:rFonts w:eastAsia="Times New Roman"/>
          <w:color w:val="000000"/>
          <w:sz w:val="24"/>
          <w:lang w:val="sq-AL"/>
        </w:rPr>
        <w:t>v</w:t>
      </w:r>
      <w:r w:rsidRPr="00A6284F">
        <w:rPr>
          <w:rFonts w:eastAsia="Times New Roman"/>
          <w:color w:val="000000"/>
          <w:sz w:val="24"/>
          <w:lang w:val="sq-AL"/>
        </w:rPr>
        <w:t xml:space="preserve">e </w:t>
      </w:r>
      <w:r w:rsidR="0004516D" w:rsidRPr="00A6284F">
        <w:rPr>
          <w:rFonts w:eastAsia="Times New Roman"/>
          <w:color w:val="000000"/>
          <w:sz w:val="24"/>
          <w:lang w:val="sq-AL"/>
        </w:rPr>
        <w:t xml:space="preserve">të </w:t>
      </w:r>
      <w:r w:rsidRPr="00A6284F">
        <w:rPr>
          <w:rFonts w:eastAsia="Times New Roman"/>
          <w:color w:val="000000"/>
          <w:sz w:val="24"/>
          <w:lang w:val="sq-AL"/>
        </w:rPr>
        <w:t>përkohshme në Kapi/</w:t>
      </w:r>
      <w:proofErr w:type="spellStart"/>
      <w:r w:rsidRPr="00A6284F">
        <w:rPr>
          <w:rFonts w:eastAsia="Times New Roman"/>
          <w:color w:val="000000"/>
          <w:sz w:val="24"/>
          <w:lang w:val="sq-AL"/>
        </w:rPr>
        <w:t>Kapija</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Vrapce</w:t>
      </w:r>
      <w:proofErr w:type="spellEnd"/>
      <w:r w:rsidRPr="00A6284F">
        <w:rPr>
          <w:rFonts w:eastAsia="Times New Roman"/>
          <w:color w:val="000000"/>
          <w:sz w:val="24"/>
          <w:lang w:val="sq-AL"/>
        </w:rPr>
        <w:t xml:space="preserve"> dhe </w:t>
      </w:r>
      <w:proofErr w:type="spellStart"/>
      <w:r w:rsidRPr="00A6284F">
        <w:rPr>
          <w:rFonts w:eastAsia="Times New Roman"/>
          <w:color w:val="000000"/>
          <w:sz w:val="24"/>
          <w:lang w:val="sq-AL"/>
        </w:rPr>
        <w:t>Rajetici</w:t>
      </w:r>
      <w:proofErr w:type="spellEnd"/>
      <w:r w:rsidRPr="00A6284F">
        <w:rPr>
          <w:rFonts w:eastAsia="Times New Roman"/>
          <w:color w:val="000000"/>
          <w:sz w:val="24"/>
          <w:lang w:val="sq-AL"/>
        </w:rPr>
        <w:t>/</w:t>
      </w:r>
      <w:proofErr w:type="spellStart"/>
      <w:r w:rsidRPr="00A6284F">
        <w:rPr>
          <w:rFonts w:eastAsia="Times New Roman"/>
          <w:color w:val="000000"/>
          <w:sz w:val="24"/>
          <w:lang w:val="sq-AL"/>
        </w:rPr>
        <w:t>Izvor</w:t>
      </w:r>
      <w:proofErr w:type="spellEnd"/>
      <w:r w:rsidRPr="00A6284F">
        <w:rPr>
          <w:rFonts w:eastAsia="Times New Roman"/>
          <w:color w:val="000000"/>
          <w:sz w:val="24"/>
          <w:lang w:val="sq-AL"/>
        </w:rPr>
        <w:t>. Serbia duhet të ndërmarrë masa shtesë për të mbyllur kalimet e paligjshme</w:t>
      </w:r>
      <w:r w:rsidR="0004516D" w:rsidRPr="00A6284F">
        <w:rPr>
          <w:rFonts w:eastAsia="Times New Roman"/>
          <w:color w:val="000000"/>
          <w:sz w:val="24"/>
          <w:lang w:val="sq-AL"/>
        </w:rPr>
        <w:t xml:space="preserve"> të kufirit</w:t>
      </w:r>
      <w:r w:rsidRPr="00A6284F">
        <w:rPr>
          <w:rFonts w:eastAsia="Times New Roman"/>
          <w:color w:val="000000"/>
          <w:sz w:val="24"/>
          <w:lang w:val="sq-AL"/>
        </w:rPr>
        <w:t>.</w:t>
      </w:r>
    </w:p>
    <w:p w:rsidR="00CE1051" w:rsidRPr="00A6284F" w:rsidRDefault="00CE1051" w:rsidP="00CE1051">
      <w:pPr>
        <w:spacing w:before="125"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Kërkesat për </w:t>
      </w:r>
      <w:r w:rsidRPr="00A6284F">
        <w:rPr>
          <w:rFonts w:eastAsia="Times New Roman"/>
          <w:b/>
          <w:color w:val="000000"/>
          <w:sz w:val="24"/>
          <w:lang w:val="sq-AL"/>
        </w:rPr>
        <w:t>ndihmë të ndërsjellë juridike</w:t>
      </w:r>
      <w:r w:rsidRPr="00A6284F">
        <w:rPr>
          <w:rFonts w:eastAsia="Times New Roman"/>
          <w:color w:val="000000"/>
          <w:sz w:val="24"/>
          <w:lang w:val="sq-AL"/>
        </w:rPr>
        <w:t xml:space="preserve"> në parim po përpunohen. Në disa raste, bashkëpunimi i Serbisë në hetimet e nivelit të lartë nuk ka qenë i </w:t>
      </w:r>
      <w:proofErr w:type="spellStart"/>
      <w:r w:rsidRPr="00A6284F">
        <w:rPr>
          <w:rFonts w:eastAsia="Times New Roman"/>
          <w:color w:val="000000"/>
          <w:sz w:val="24"/>
          <w:lang w:val="sq-AL"/>
        </w:rPr>
        <w:t>disponueshëm</w:t>
      </w:r>
      <w:proofErr w:type="spellEnd"/>
      <w:r w:rsidRPr="00A6284F">
        <w:rPr>
          <w:rFonts w:eastAsia="Times New Roman"/>
          <w:color w:val="000000"/>
          <w:sz w:val="24"/>
          <w:lang w:val="sq-AL"/>
        </w:rPr>
        <w:t>. Bashkëpunimi i ndërsjellë juridik është tepër i kufizuar në rastet e krimeve të luftës.</w:t>
      </w:r>
    </w:p>
    <w:p w:rsidR="00CE1051" w:rsidRPr="00A6284F" w:rsidRDefault="00CE1051" w:rsidP="00CE1051">
      <w:pPr>
        <w:spacing w:before="126"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përgjithësi, Kosova ka mbetur e angazhuar në dialog. Megjithatë, qeveria e Kosovës duhet të revokojë taksat për importet nga Serbia dhe Bosnja dhe Hercegovina. Kosova duhet të bëjë përpjekje të mëtejshme të konsiderueshme dhe të kontribuojë në krijimin e një mjedisi të favorshëm për </w:t>
      </w:r>
      <w:r w:rsidR="0004516D" w:rsidRPr="00A6284F">
        <w:rPr>
          <w:rFonts w:eastAsia="Times New Roman"/>
          <w:color w:val="000000"/>
          <w:sz w:val="24"/>
          <w:lang w:val="sq-AL"/>
        </w:rPr>
        <w:t>arritjen</w:t>
      </w:r>
      <w:r w:rsidRPr="00A6284F">
        <w:rPr>
          <w:rFonts w:eastAsia="Times New Roman"/>
          <w:color w:val="000000"/>
          <w:sz w:val="24"/>
          <w:lang w:val="sq-AL"/>
        </w:rPr>
        <w:t xml:space="preserve"> e një marrëveshjeje ligjërisht detyruese me Serbinë. Një marrëveshje e tillë është urgjente dhe vendimtare në mënyrë që Kosova dhe Serbia të përparojnë në rrugët e tyre evropiane.</w:t>
      </w:r>
    </w:p>
    <w:p w:rsidR="00CE1051" w:rsidRPr="00A6284F" w:rsidRDefault="00CE1051" w:rsidP="00CE1051">
      <w:pPr>
        <w:tabs>
          <w:tab w:val="decimal" w:pos="288"/>
          <w:tab w:val="left" w:pos="792"/>
        </w:tabs>
        <w:spacing w:before="126" w:line="273" w:lineRule="exact"/>
        <w:ind w:left="144"/>
        <w:textAlignment w:val="baseline"/>
        <w:rPr>
          <w:rFonts w:eastAsia="Times New Roman"/>
          <w:b/>
          <w:color w:val="000000"/>
          <w:sz w:val="24"/>
          <w:lang w:val="sq-AL"/>
        </w:rPr>
      </w:pPr>
      <w:r w:rsidRPr="00A6284F">
        <w:rPr>
          <w:rFonts w:eastAsia="Times New Roman"/>
          <w:b/>
          <w:color w:val="000000"/>
          <w:sz w:val="24"/>
          <w:lang w:val="sq-AL"/>
        </w:rPr>
        <w:tab/>
        <w:t>6.</w:t>
      </w:r>
      <w:r w:rsidRPr="00A6284F">
        <w:rPr>
          <w:rFonts w:eastAsia="Times New Roman"/>
          <w:b/>
          <w:color w:val="000000"/>
          <w:sz w:val="24"/>
          <w:lang w:val="sq-AL"/>
        </w:rPr>
        <w:tab/>
        <w:t>Standardet evropiane</w:t>
      </w:r>
    </w:p>
    <w:p w:rsidR="00CE1051" w:rsidRPr="00A6284F" w:rsidRDefault="00CE1051" w:rsidP="00CE1051">
      <w:pPr>
        <w:tabs>
          <w:tab w:val="decimal" w:pos="288"/>
          <w:tab w:val="left" w:pos="792"/>
        </w:tabs>
        <w:spacing w:before="125" w:after="106" w:line="273" w:lineRule="exact"/>
        <w:ind w:left="144"/>
        <w:textAlignment w:val="baseline"/>
        <w:rPr>
          <w:rFonts w:eastAsia="Times New Roman"/>
          <w:b/>
          <w:color w:val="000000"/>
          <w:sz w:val="24"/>
          <w:lang w:val="sq-AL"/>
        </w:rPr>
      </w:pPr>
      <w:r w:rsidRPr="00A6284F">
        <w:rPr>
          <w:rFonts w:eastAsia="Times New Roman"/>
          <w:b/>
          <w:color w:val="000000"/>
          <w:sz w:val="24"/>
          <w:lang w:val="sq-AL"/>
        </w:rPr>
        <w:tab/>
        <w:t>6.1</w:t>
      </w:r>
      <w:r w:rsidRPr="00A6284F">
        <w:rPr>
          <w:rFonts w:eastAsia="Times New Roman"/>
          <w:b/>
          <w:color w:val="000000"/>
          <w:sz w:val="24"/>
          <w:lang w:val="sq-AL"/>
        </w:rPr>
        <w:tab/>
        <w:t>Lëvizja e lirë e mallrave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3374"/>
        </w:trPr>
        <w:tc>
          <w:tcPr>
            <w:tcW w:w="9360" w:type="dxa"/>
            <w:tcBorders>
              <w:top w:val="single" w:sz="5" w:space="0" w:color="000000"/>
              <w:left w:val="single" w:sz="5" w:space="0" w:color="000000"/>
              <w:bottom w:val="single" w:sz="5" w:space="0" w:color="000000"/>
              <w:right w:val="single" w:sz="5" w:space="0" w:color="000000"/>
            </w:tcBorders>
            <w:shd w:val="clear" w:color="BEBEBE" w:fill="BEBEBE"/>
          </w:tcPr>
          <w:p w:rsidR="00CE1051" w:rsidRPr="00A6284F" w:rsidRDefault="00CE1051" w:rsidP="000A4761">
            <w:pPr>
              <w:spacing w:before="25"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një nivel të përgatitjes</w:t>
            </w:r>
            <w:r w:rsidRPr="00A6284F">
              <w:rPr>
                <w:rFonts w:eastAsia="Times New Roman"/>
                <w:color w:val="000000"/>
                <w:sz w:val="24"/>
                <w:lang w:val="sq-AL"/>
              </w:rPr>
              <w:t xml:space="preserve"> për lëvizjen e lirë të mallrave. Ka bërë </w:t>
            </w:r>
            <w:r w:rsidRPr="00A6284F">
              <w:rPr>
                <w:rFonts w:eastAsia="Times New Roman"/>
                <w:b/>
                <w:color w:val="000000"/>
                <w:sz w:val="24"/>
                <w:lang w:val="sq-AL"/>
              </w:rPr>
              <w:t>disa përparime</w:t>
            </w:r>
            <w:r w:rsidRPr="00A6284F">
              <w:rPr>
                <w:rFonts w:eastAsia="Times New Roman"/>
                <w:color w:val="000000"/>
                <w:sz w:val="24"/>
                <w:lang w:val="sq-AL"/>
              </w:rPr>
              <w:t xml:space="preserve"> gjatë periudhës raportuese mbi kornizën e përgjithshme ligjore dhe disa pjesë të legjislacionit sektorial në fushën e “harmonizuar”. Koordinimi ndërinstitucional për të mundësuar zbatimin e duhur të legjislacionit ende duhet të përmirësohet. Kapaciteti i institucioneve kosovare të infrastrukturës së cilësisë duhet të forcohet. Rekomandimet në raportin e vitit të kaluar janë adresuar pjesërisht dhe në vitin e ardhshëm, Kosova duhet në veçanti:</w:t>
            </w:r>
          </w:p>
          <w:p w:rsidR="00CE1051" w:rsidRPr="00A6284F" w:rsidRDefault="00CE1051" w:rsidP="000A4761">
            <w:pPr>
              <w:spacing w:before="140" w:line="275" w:lineRule="exact"/>
              <w:ind w:left="432" w:right="144" w:hanging="288"/>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legjislacionin sekondar të rëndësishëm në lidhje me ligjet për standardizimin, metrologjinë, akreditimin dhe kërkesat teknike për produktet dhe vlerësimin e konformitetit;</w:t>
            </w:r>
          </w:p>
          <w:p w:rsidR="00CE1051" w:rsidRPr="00A6284F" w:rsidRDefault="00CE1051" w:rsidP="000A4761">
            <w:pPr>
              <w:spacing w:before="141" w:after="5" w:line="275" w:lineRule="exact"/>
              <w:ind w:left="432" w:right="144" w:hanging="288"/>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vazhdojë të sigurojë zbatimin e Rregullores për regjistrimin , vlerësimin, autorizimin dhe kufizimin e kimikateve (REACH).</w:t>
            </w:r>
          </w:p>
        </w:tc>
      </w:tr>
    </w:tbl>
    <w:p w:rsidR="00CE1051" w:rsidRPr="00A6284F" w:rsidRDefault="00CE1051" w:rsidP="00CE1051">
      <w:pPr>
        <w:spacing w:after="98" w:line="20" w:lineRule="exact"/>
        <w:rPr>
          <w:lang w:val="sq-AL"/>
        </w:rPr>
      </w:pPr>
    </w:p>
    <w:p w:rsidR="00CE1051" w:rsidRPr="00A6284F" w:rsidRDefault="00CE1051" w:rsidP="00CE1051">
      <w:pPr>
        <w:spacing w:before="3"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Parimet e përgjithshme</w:t>
      </w:r>
    </w:p>
    <w:p w:rsidR="00CE1051" w:rsidRPr="00A6284F" w:rsidRDefault="00CE1051" w:rsidP="00CE1051">
      <w:pPr>
        <w:spacing w:before="127"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lidhje me kornizën për </w:t>
      </w:r>
      <w:r w:rsidRPr="00A6284F">
        <w:rPr>
          <w:rFonts w:eastAsia="Times New Roman"/>
          <w:b/>
          <w:color w:val="000000"/>
          <w:sz w:val="24"/>
          <w:lang w:val="sq-AL"/>
        </w:rPr>
        <w:t>prodhimin, shpërndarjen dhe marketingun e produkteve industriale</w:t>
      </w:r>
      <w:r w:rsidRPr="00A6284F">
        <w:rPr>
          <w:rFonts w:eastAsia="Times New Roman"/>
          <w:color w:val="000000"/>
          <w:sz w:val="24"/>
          <w:lang w:val="sq-AL"/>
        </w:rPr>
        <w:t>, janë ndërmarrë hapa të mëtejshëm për harmoniz</w:t>
      </w:r>
      <w:r w:rsidR="00127845" w:rsidRPr="00A6284F">
        <w:rPr>
          <w:rFonts w:eastAsia="Times New Roman"/>
          <w:color w:val="000000"/>
          <w:sz w:val="24"/>
          <w:lang w:val="sq-AL"/>
        </w:rPr>
        <w:t xml:space="preserve">im </w:t>
      </w:r>
      <w:r w:rsidRPr="00A6284F">
        <w:rPr>
          <w:rFonts w:eastAsia="Times New Roman"/>
          <w:color w:val="000000"/>
          <w:sz w:val="24"/>
          <w:lang w:val="sq-AL"/>
        </w:rPr>
        <w:t xml:space="preserve">me </w:t>
      </w:r>
      <w:r w:rsidRPr="00A6284F">
        <w:rPr>
          <w:rFonts w:eastAsia="Times New Roman"/>
          <w:i/>
          <w:color w:val="000000"/>
          <w:sz w:val="24"/>
          <w:lang w:val="sq-AL"/>
        </w:rPr>
        <w:t>acquis</w:t>
      </w:r>
      <w:r w:rsidRPr="00A6284F">
        <w:rPr>
          <w:rFonts w:eastAsia="Times New Roman"/>
          <w:color w:val="000000"/>
          <w:sz w:val="24"/>
          <w:lang w:val="sq-AL"/>
        </w:rPr>
        <w:t>, përfshirë miratimin në mars të vitit 2018 të Ligjit mbi Kërkesat Teknike për Produkte</w:t>
      </w:r>
      <w:r w:rsidR="00127845" w:rsidRPr="00A6284F">
        <w:rPr>
          <w:rFonts w:eastAsia="Times New Roman"/>
          <w:color w:val="000000"/>
          <w:sz w:val="24"/>
          <w:lang w:val="sq-AL"/>
        </w:rPr>
        <w:t xml:space="preserve"> </w:t>
      </w:r>
      <w:r w:rsidRPr="00A6284F">
        <w:rPr>
          <w:rFonts w:eastAsia="Times New Roman"/>
          <w:color w:val="000000"/>
          <w:sz w:val="24"/>
          <w:lang w:val="sq-AL"/>
        </w:rPr>
        <w:t>dhe Vlerësim</w:t>
      </w:r>
      <w:r w:rsidR="00127845" w:rsidRPr="00A6284F">
        <w:rPr>
          <w:rFonts w:eastAsia="Times New Roman"/>
          <w:color w:val="000000"/>
          <w:sz w:val="24"/>
          <w:lang w:val="sq-AL"/>
        </w:rPr>
        <w:t xml:space="preserve"> </w:t>
      </w:r>
      <w:r w:rsidRPr="00A6284F">
        <w:rPr>
          <w:rFonts w:eastAsia="Times New Roman"/>
          <w:color w:val="000000"/>
          <w:sz w:val="24"/>
          <w:lang w:val="sq-AL"/>
        </w:rPr>
        <w:t xml:space="preserve">të Konformitetit. Programi Kombëtar për Zbatimin e MSA përcakton planifikimin për përafrim gradual me </w:t>
      </w:r>
      <w:r w:rsidRPr="00A6284F">
        <w:rPr>
          <w:rFonts w:eastAsia="Times New Roman"/>
          <w:i/>
          <w:color w:val="000000"/>
          <w:sz w:val="24"/>
          <w:lang w:val="sq-AL"/>
        </w:rPr>
        <w:t>acquis</w:t>
      </w:r>
      <w:r w:rsidRPr="00A6284F">
        <w:rPr>
          <w:rFonts w:eastAsia="Times New Roman"/>
          <w:color w:val="000000"/>
          <w:sz w:val="24"/>
          <w:lang w:val="sq-AL"/>
        </w:rPr>
        <w:t xml:space="preserve"> dhe zbatimin e tij.</w:t>
      </w:r>
    </w:p>
    <w:p w:rsidR="00CE1051" w:rsidRPr="00A6284F" w:rsidRDefault="00CE1051" w:rsidP="00CE1051">
      <w:pPr>
        <w:spacing w:before="121" w:after="240"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Fusha</w:t>
      </w:r>
      <w:r w:rsidR="003111A3" w:rsidRPr="00A6284F">
        <w:rPr>
          <w:rFonts w:eastAsia="Times New Roman"/>
          <w:color w:val="000000"/>
          <w:sz w:val="24"/>
          <w:u w:val="single"/>
          <w:lang w:val="sq-AL"/>
        </w:rPr>
        <w:t xml:space="preserve"> </w:t>
      </w:r>
      <w:r w:rsidRPr="00A6284F">
        <w:rPr>
          <w:rFonts w:eastAsia="Times New Roman"/>
          <w:color w:val="000000"/>
          <w:sz w:val="24"/>
          <w:u w:val="single"/>
          <w:lang w:val="sq-AL"/>
        </w:rPr>
        <w:t xml:space="preserve">e </w:t>
      </w:r>
      <w:r w:rsidR="003111A3" w:rsidRPr="00A6284F">
        <w:rPr>
          <w:rFonts w:eastAsia="Times New Roman"/>
          <w:color w:val="000000"/>
          <w:sz w:val="24"/>
          <w:u w:val="single"/>
          <w:lang w:val="sq-AL"/>
        </w:rPr>
        <w:t>pa harmonizuar</w:t>
      </w:r>
    </w:p>
    <w:p w:rsidR="00CE1051" w:rsidRPr="00A6284F" w:rsidRDefault="00CE1051" w:rsidP="00CE1051">
      <w:pPr>
        <w:spacing w:before="20" w:after="24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Deri më tani, nuk ka ndonjë plan veprimi për të siguruar </w:t>
      </w:r>
      <w:r w:rsidRPr="00A6284F">
        <w:rPr>
          <w:rFonts w:eastAsia="Times New Roman"/>
          <w:b/>
          <w:color w:val="000000"/>
          <w:sz w:val="24"/>
          <w:lang w:val="sq-AL"/>
        </w:rPr>
        <w:t>pajtueshmërinë me nenet 34-36</w:t>
      </w:r>
      <w:r w:rsidRPr="00A6284F">
        <w:rPr>
          <w:rFonts w:eastAsia="Times New Roman"/>
          <w:color w:val="000000"/>
          <w:sz w:val="24"/>
          <w:lang w:val="sq-AL"/>
        </w:rPr>
        <w:t xml:space="preserve"> të Traktatit për Funksionimin e Bashkimit Evropian (TFBE). Një rregullore e re qeveritare për njoftimin dhe shkëmbimin e informacionit mbi rregulloret teknike, procedurat e vlerësimit të konformitetit dhe standardet u miratua në janar të vitit 2019, me qëllim të harmonizimit me kërkesat e </w:t>
      </w:r>
      <w:r w:rsidRPr="00A6284F">
        <w:rPr>
          <w:rFonts w:eastAsia="Times New Roman"/>
          <w:i/>
          <w:color w:val="000000"/>
          <w:sz w:val="24"/>
          <w:lang w:val="sq-AL"/>
        </w:rPr>
        <w:t>acquis</w:t>
      </w:r>
      <w:r w:rsidRPr="00A6284F">
        <w:rPr>
          <w:rFonts w:eastAsia="Times New Roman"/>
          <w:color w:val="000000"/>
          <w:sz w:val="24"/>
          <w:lang w:val="sq-AL"/>
        </w:rPr>
        <w:t xml:space="preserve">. Megjithatë, Ligji i </w:t>
      </w:r>
      <w:r w:rsidR="00721864" w:rsidRPr="00A6284F">
        <w:rPr>
          <w:rFonts w:eastAsia="Times New Roman"/>
          <w:color w:val="000000"/>
          <w:sz w:val="24"/>
          <w:lang w:val="sq-AL"/>
        </w:rPr>
        <w:t>ri</w:t>
      </w:r>
      <w:r w:rsidRPr="00A6284F">
        <w:rPr>
          <w:rFonts w:eastAsia="Times New Roman"/>
          <w:color w:val="000000"/>
          <w:sz w:val="24"/>
          <w:lang w:val="sq-AL"/>
        </w:rPr>
        <w:t xml:space="preserve"> për mbrojtjen e konsumatorit </w:t>
      </w:r>
      <w:r w:rsidR="00721864" w:rsidRPr="00A6284F">
        <w:rPr>
          <w:rFonts w:eastAsia="Times New Roman"/>
          <w:color w:val="000000"/>
          <w:sz w:val="24"/>
          <w:lang w:val="sq-AL"/>
        </w:rPr>
        <w:t xml:space="preserve">dallon </w:t>
      </w:r>
      <w:r w:rsidRPr="00A6284F">
        <w:rPr>
          <w:rFonts w:eastAsia="Times New Roman"/>
          <w:color w:val="000000"/>
          <w:sz w:val="24"/>
          <w:lang w:val="sq-AL"/>
        </w:rPr>
        <w:t xml:space="preserve">nga </w:t>
      </w:r>
      <w:r w:rsidRPr="00A6284F">
        <w:rPr>
          <w:rFonts w:eastAsia="Times New Roman"/>
          <w:i/>
          <w:color w:val="000000"/>
          <w:sz w:val="24"/>
          <w:lang w:val="sq-AL"/>
        </w:rPr>
        <w:t>acquis</w:t>
      </w:r>
      <w:r w:rsidRPr="00A6284F">
        <w:rPr>
          <w:rFonts w:eastAsia="Times New Roman"/>
          <w:color w:val="000000"/>
          <w:sz w:val="24"/>
          <w:lang w:val="sq-AL"/>
        </w:rPr>
        <w:t xml:space="preserve">, veçanërisht në lidhje me etiketimin, paketimin dhe kërkesën për deklarim, ku shitësi </w:t>
      </w:r>
      <w:r w:rsidR="00721864" w:rsidRPr="00A6284F">
        <w:rPr>
          <w:rFonts w:eastAsia="Times New Roman"/>
          <w:color w:val="000000"/>
          <w:sz w:val="24"/>
          <w:lang w:val="sq-AL"/>
        </w:rPr>
        <w:t>është i detyruar</w:t>
      </w:r>
      <w:r w:rsidRPr="00A6284F">
        <w:rPr>
          <w:rFonts w:eastAsia="Times New Roman"/>
          <w:color w:val="000000"/>
          <w:sz w:val="24"/>
          <w:lang w:val="sq-AL"/>
        </w:rPr>
        <w:t xml:space="preserve"> të tregojë origjinën e produktit me anë të një etikete me flamurin e vendit të origjinës.</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Ministria e Tregtisë dhe Industrisë është autoriteti kompetent për </w:t>
      </w:r>
      <w:r w:rsidR="00721864" w:rsidRPr="00A6284F">
        <w:rPr>
          <w:rFonts w:eastAsia="Times New Roman"/>
          <w:color w:val="000000"/>
          <w:sz w:val="24"/>
          <w:lang w:val="sq-AL"/>
        </w:rPr>
        <w:t>përcjelljen</w:t>
      </w:r>
      <w:r w:rsidRPr="00A6284F">
        <w:rPr>
          <w:rFonts w:eastAsia="Times New Roman"/>
          <w:color w:val="000000"/>
          <w:sz w:val="24"/>
          <w:lang w:val="sq-AL"/>
        </w:rPr>
        <w:t xml:space="preserve"> dhe zbatimin e Neneve 34-36 të TFBE dhe është identifikuar si organi përgjegjës për </w:t>
      </w:r>
      <w:r w:rsidRPr="00A6284F">
        <w:rPr>
          <w:rFonts w:eastAsia="Times New Roman"/>
          <w:b/>
          <w:color w:val="000000"/>
          <w:sz w:val="24"/>
          <w:lang w:val="sq-AL"/>
        </w:rPr>
        <w:t>detyrimin për të shpallur rregulloret teknike</w:t>
      </w:r>
      <w:r w:rsidRPr="00A6284F">
        <w:rPr>
          <w:rFonts w:eastAsia="Times New Roman"/>
          <w:color w:val="000000"/>
          <w:sz w:val="24"/>
          <w:lang w:val="sq-AL"/>
        </w:rPr>
        <w:t>, në përputhje me kërkesat e aplikueshme të BE dhe marrëveshjet ndërkombëtare.</w:t>
      </w:r>
    </w:p>
    <w:p w:rsidR="00CE1051" w:rsidRPr="00A6284F" w:rsidRDefault="00CE1051" w:rsidP="00CE1051">
      <w:pPr>
        <w:spacing w:before="1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Fusha e harmonizuar: infrastruktura e cilësisë</w:t>
      </w:r>
    </w:p>
    <w:p w:rsidR="00CE1051" w:rsidRPr="00A6284F" w:rsidRDefault="00CE1051" w:rsidP="00CE1051">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vitin 2018, u miratua një legjislacion i rëndësishëm kyç, duke siguruar një bazë ligjore për rregulloret teknike, standardet, vlerësimin e konformitetit, akreditimin, metrologjinë dhe mbikëqyrjen e tregut. Megjithatë, strukturat institucionale duhet të forcohen më tej për të zbatuar plotësisht ligjet.</w:t>
      </w:r>
    </w:p>
    <w:p w:rsidR="00CE1051" w:rsidRPr="00A6284F" w:rsidRDefault="00CE1051" w:rsidP="00CE105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Agjencisë Kosovare </w:t>
      </w:r>
      <w:r w:rsidR="00993A95" w:rsidRPr="00A6284F">
        <w:rPr>
          <w:rFonts w:eastAsia="Times New Roman"/>
          <w:color w:val="000000"/>
          <w:sz w:val="24"/>
          <w:lang w:val="sq-AL"/>
        </w:rPr>
        <w:t xml:space="preserve">të </w:t>
      </w:r>
      <w:r w:rsidRPr="00A6284F">
        <w:rPr>
          <w:rFonts w:eastAsia="Times New Roman"/>
          <w:b/>
          <w:color w:val="000000"/>
          <w:sz w:val="24"/>
          <w:lang w:val="sq-AL"/>
        </w:rPr>
        <w:t>Standardizimit</w:t>
      </w:r>
      <w:r w:rsidRPr="00A6284F">
        <w:rPr>
          <w:rFonts w:eastAsia="Times New Roman"/>
          <w:color w:val="000000"/>
          <w:sz w:val="24"/>
          <w:lang w:val="sq-AL"/>
        </w:rPr>
        <w:t xml:space="preserve"> i</w:t>
      </w:r>
      <w:r w:rsidR="00993A95" w:rsidRPr="00A6284F">
        <w:rPr>
          <w:rFonts w:eastAsia="Times New Roman"/>
          <w:color w:val="000000"/>
          <w:sz w:val="24"/>
          <w:lang w:val="sq-AL"/>
        </w:rPr>
        <w:t xml:space="preserve"> </w:t>
      </w:r>
      <w:r w:rsidRPr="00A6284F">
        <w:rPr>
          <w:rFonts w:eastAsia="Times New Roman"/>
          <w:color w:val="000000"/>
          <w:sz w:val="24"/>
          <w:lang w:val="sq-AL"/>
        </w:rPr>
        <w:t>është dhënë qasje në standardet e përzgjedhura evropiane përmes marrëveshjeve të licencimit me Komitetin Evropian për Standardizim/Komitetin Evropian për Standardizimin Elektroteknik (CEN/CENELEC). Ajo miratoi 554 standarde evropiane në periudhën raportuese. Sidoqoftë, ende duhet të adresohen pengesat që kufizojnë shitjet në internet të standardeve.</w:t>
      </w:r>
    </w:p>
    <w:p w:rsidR="00CE1051" w:rsidRPr="00A6284F" w:rsidRDefault="00CE1051" w:rsidP="00CE105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Katër rregullore janë miratuar që nga hyrja në fuqi e Ligjit për akreditim në vitin 2017. Organi</w:t>
      </w:r>
      <w:r w:rsidR="00993A95" w:rsidRPr="00A6284F">
        <w:rPr>
          <w:rFonts w:eastAsia="Times New Roman"/>
          <w:color w:val="000000"/>
          <w:sz w:val="24"/>
          <w:lang w:val="sq-AL"/>
        </w:rPr>
        <w:t xml:space="preserve"> </w:t>
      </w:r>
      <w:r w:rsidRPr="00A6284F">
        <w:rPr>
          <w:rFonts w:eastAsia="Times New Roman"/>
          <w:color w:val="000000"/>
          <w:sz w:val="24"/>
          <w:lang w:val="sq-AL"/>
        </w:rPr>
        <w:t xml:space="preserve">për </w:t>
      </w:r>
      <w:r w:rsidRPr="00A6284F">
        <w:rPr>
          <w:rFonts w:eastAsia="Times New Roman"/>
          <w:b/>
          <w:color w:val="000000"/>
          <w:sz w:val="24"/>
          <w:lang w:val="sq-AL"/>
        </w:rPr>
        <w:t>akreditim</w:t>
      </w:r>
      <w:r w:rsidRPr="00A6284F">
        <w:rPr>
          <w:rFonts w:eastAsia="Times New Roman"/>
          <w:color w:val="000000"/>
          <w:sz w:val="24"/>
          <w:lang w:val="sq-AL"/>
        </w:rPr>
        <w:t xml:space="preserve"> i Kosovës ende </w:t>
      </w:r>
      <w:r w:rsidR="00E1127C" w:rsidRPr="00A6284F">
        <w:rPr>
          <w:rFonts w:eastAsia="Times New Roman"/>
          <w:color w:val="000000"/>
          <w:sz w:val="24"/>
          <w:lang w:val="sq-AL"/>
        </w:rPr>
        <w:t xml:space="preserve">duhet </w:t>
      </w:r>
      <w:r w:rsidRPr="00A6284F">
        <w:rPr>
          <w:rFonts w:eastAsia="Times New Roman"/>
          <w:color w:val="000000"/>
          <w:sz w:val="24"/>
          <w:lang w:val="sq-AL"/>
        </w:rPr>
        <w:t xml:space="preserve">të adresojë disa </w:t>
      </w:r>
      <w:r w:rsidR="00E1127C" w:rsidRPr="00A6284F">
        <w:rPr>
          <w:rFonts w:eastAsia="Times New Roman"/>
          <w:color w:val="000000"/>
          <w:sz w:val="24"/>
          <w:lang w:val="sq-AL"/>
        </w:rPr>
        <w:t xml:space="preserve">mungesa të konformitetit </w:t>
      </w:r>
      <w:r w:rsidRPr="00A6284F">
        <w:rPr>
          <w:rFonts w:eastAsia="Times New Roman"/>
          <w:color w:val="000000"/>
          <w:sz w:val="24"/>
          <w:lang w:val="sq-AL"/>
        </w:rPr>
        <w:t>për të përmbushur kërkesat e nevojshme për aderim në Marrëveshjen Shumëpalëshe të Bashkëpunimit Evropian për Akreditim. Më në fund</w:t>
      </w:r>
      <w:r w:rsidR="00E1127C" w:rsidRPr="00A6284F">
        <w:rPr>
          <w:rFonts w:eastAsia="Times New Roman"/>
          <w:color w:val="000000"/>
          <w:sz w:val="24"/>
          <w:lang w:val="sq-AL"/>
        </w:rPr>
        <w:t xml:space="preserve">, </w:t>
      </w:r>
      <w:r w:rsidRPr="00A6284F">
        <w:rPr>
          <w:rFonts w:eastAsia="Times New Roman"/>
          <w:color w:val="000000"/>
          <w:sz w:val="24"/>
          <w:lang w:val="sq-AL"/>
        </w:rPr>
        <w:t xml:space="preserve">drejtori i përgjithshëm </w:t>
      </w:r>
      <w:r w:rsidR="00E1127C" w:rsidRPr="00A6284F">
        <w:rPr>
          <w:rFonts w:eastAsia="Times New Roman"/>
          <w:color w:val="000000"/>
          <w:sz w:val="24"/>
          <w:lang w:val="sq-AL"/>
        </w:rPr>
        <w:t xml:space="preserve">u emërua </w:t>
      </w:r>
      <w:r w:rsidRPr="00A6284F">
        <w:rPr>
          <w:rFonts w:eastAsia="Times New Roman"/>
          <w:color w:val="000000"/>
          <w:sz w:val="24"/>
          <w:lang w:val="sq-AL"/>
        </w:rPr>
        <w:t xml:space="preserve">në nëntor të vitit 2018, por vonesa ndërpreu procesin e akreditimit dhe dëmtoi besimin në shërbimet e akreditimit. </w:t>
      </w:r>
      <w:r w:rsidR="00E1127C" w:rsidRPr="00A6284F">
        <w:rPr>
          <w:rFonts w:eastAsia="Times New Roman"/>
          <w:color w:val="000000"/>
          <w:sz w:val="24"/>
          <w:lang w:val="sq-AL"/>
        </w:rPr>
        <w:t>A</w:t>
      </w:r>
      <w:r w:rsidRPr="00A6284F">
        <w:rPr>
          <w:rFonts w:eastAsia="Times New Roman"/>
          <w:color w:val="000000"/>
          <w:sz w:val="24"/>
          <w:lang w:val="sq-AL"/>
        </w:rPr>
        <w:t>ktualisht</w:t>
      </w:r>
      <w:r w:rsidR="00E1127C" w:rsidRPr="00A6284F">
        <w:rPr>
          <w:rFonts w:eastAsia="Times New Roman"/>
          <w:color w:val="000000"/>
          <w:sz w:val="24"/>
          <w:lang w:val="sq-AL"/>
        </w:rPr>
        <w:t xml:space="preserve"> ekzistojnë</w:t>
      </w:r>
      <w:r w:rsidRPr="00A6284F">
        <w:rPr>
          <w:rFonts w:eastAsia="Times New Roman"/>
          <w:color w:val="000000"/>
          <w:sz w:val="24"/>
          <w:lang w:val="sq-AL"/>
        </w:rPr>
        <w:t xml:space="preserve"> 39 organe të akredituara të </w:t>
      </w:r>
      <w:r w:rsidRPr="00A6284F">
        <w:rPr>
          <w:rFonts w:eastAsia="Times New Roman"/>
          <w:b/>
          <w:color w:val="000000"/>
          <w:sz w:val="24"/>
          <w:lang w:val="sq-AL"/>
        </w:rPr>
        <w:t xml:space="preserve">vlerësimit të konformitetit </w:t>
      </w:r>
      <w:r w:rsidRPr="00A6284F">
        <w:rPr>
          <w:rFonts w:eastAsia="Times New Roman"/>
          <w:color w:val="000000"/>
          <w:sz w:val="24"/>
          <w:lang w:val="sq-AL"/>
        </w:rPr>
        <w:t>në Kosovë (33 laboratorë testues dhe 6 organe inspektimi), por kapaciteti dhe performanca e tyre duhet të forcohen.</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miratoi Ligjin për </w:t>
      </w:r>
      <w:r w:rsidRPr="00A6284F">
        <w:rPr>
          <w:rFonts w:eastAsia="Times New Roman"/>
          <w:b/>
          <w:color w:val="000000"/>
          <w:sz w:val="24"/>
          <w:lang w:val="sq-AL"/>
        </w:rPr>
        <w:t>metrologjinë</w:t>
      </w:r>
      <w:r w:rsidRPr="00A6284F">
        <w:rPr>
          <w:rFonts w:eastAsia="Times New Roman"/>
          <w:color w:val="000000"/>
          <w:sz w:val="24"/>
          <w:lang w:val="sq-AL"/>
        </w:rPr>
        <w:t xml:space="preserve"> në mars të vitit 2018, si dhe legjislacionin sekondar të </w:t>
      </w:r>
      <w:r w:rsidR="00E1127C" w:rsidRPr="00A6284F">
        <w:rPr>
          <w:rFonts w:eastAsia="Times New Roman"/>
          <w:color w:val="000000"/>
          <w:sz w:val="24"/>
          <w:lang w:val="sq-AL"/>
        </w:rPr>
        <w:t xml:space="preserve">dizajnuar </w:t>
      </w:r>
      <w:r w:rsidRPr="00A6284F">
        <w:rPr>
          <w:rFonts w:eastAsia="Times New Roman"/>
          <w:color w:val="000000"/>
          <w:sz w:val="24"/>
          <w:lang w:val="sq-AL"/>
        </w:rPr>
        <w:t>për përafr</w:t>
      </w:r>
      <w:r w:rsidR="00E1127C" w:rsidRPr="00A6284F">
        <w:rPr>
          <w:rFonts w:eastAsia="Times New Roman"/>
          <w:color w:val="000000"/>
          <w:sz w:val="24"/>
          <w:lang w:val="sq-AL"/>
        </w:rPr>
        <w:t xml:space="preserve">im </w:t>
      </w:r>
      <w:r w:rsidRPr="00A6284F">
        <w:rPr>
          <w:rFonts w:eastAsia="Times New Roman"/>
          <w:color w:val="000000"/>
          <w:sz w:val="24"/>
          <w:lang w:val="sq-AL"/>
        </w:rPr>
        <w:t xml:space="preserve">me </w:t>
      </w:r>
      <w:r w:rsidR="00E1127C" w:rsidRPr="00A6284F">
        <w:rPr>
          <w:rFonts w:eastAsia="Times New Roman"/>
          <w:color w:val="000000"/>
          <w:sz w:val="24"/>
          <w:lang w:val="sq-AL"/>
        </w:rPr>
        <w:t>D</w:t>
      </w:r>
      <w:r w:rsidRPr="00A6284F">
        <w:rPr>
          <w:rFonts w:eastAsia="Times New Roman"/>
          <w:color w:val="000000"/>
          <w:sz w:val="24"/>
          <w:lang w:val="sq-AL"/>
        </w:rPr>
        <w:t xml:space="preserve">irektivat e BE për instrumentet e </w:t>
      </w:r>
      <w:proofErr w:type="spellStart"/>
      <w:r w:rsidRPr="00A6284F">
        <w:rPr>
          <w:rFonts w:eastAsia="Times New Roman"/>
          <w:color w:val="000000"/>
          <w:sz w:val="24"/>
          <w:lang w:val="sq-AL"/>
        </w:rPr>
        <w:t>ponderimit</w:t>
      </w:r>
      <w:proofErr w:type="spellEnd"/>
      <w:r w:rsidRPr="00A6284F">
        <w:rPr>
          <w:rFonts w:eastAsia="Times New Roman"/>
          <w:color w:val="000000"/>
          <w:sz w:val="24"/>
          <w:lang w:val="sq-AL"/>
        </w:rPr>
        <w:t xml:space="preserve"> jo-automatik (NAWI), para-paketimin dhe shishet e përdorura si enë matëse. Duhet të miratohet legjislacioni</w:t>
      </w:r>
      <w:r w:rsidR="00993A95" w:rsidRPr="00A6284F">
        <w:rPr>
          <w:rFonts w:eastAsia="Times New Roman"/>
          <w:color w:val="000000"/>
          <w:sz w:val="24"/>
          <w:lang w:val="sq-AL"/>
        </w:rPr>
        <w:t xml:space="preserve"> </w:t>
      </w:r>
      <w:r w:rsidRPr="00A6284F">
        <w:rPr>
          <w:rFonts w:eastAsia="Times New Roman"/>
          <w:color w:val="000000"/>
          <w:sz w:val="24"/>
          <w:lang w:val="sq-AL"/>
        </w:rPr>
        <w:t xml:space="preserve">plotësues sekondar për procedurat </w:t>
      </w:r>
      <w:proofErr w:type="spellStart"/>
      <w:r w:rsidRPr="00A6284F">
        <w:rPr>
          <w:rFonts w:eastAsia="Times New Roman"/>
          <w:color w:val="000000"/>
          <w:sz w:val="24"/>
          <w:lang w:val="sq-AL"/>
        </w:rPr>
        <w:t>metrologjike</w:t>
      </w:r>
      <w:proofErr w:type="spellEnd"/>
      <w:r w:rsidRPr="00A6284F">
        <w:rPr>
          <w:rFonts w:eastAsia="Times New Roman"/>
          <w:color w:val="000000"/>
          <w:sz w:val="24"/>
          <w:lang w:val="sq-AL"/>
        </w:rPr>
        <w:t xml:space="preserve"> me qëllim të zbatimit të ligjit dhe akteve të tjera. Mungesa e stafit dhe pajisjeve të kualifikuara dëmton zbatimin e plotë të këtyre ligjeve dhe rregulloreve në disa sektorë. Agjencia e Metrologjisë së Kosovës është një organizatë ndërlidhëse, në pritje të statusit të anëtarit të </w:t>
      </w:r>
      <w:proofErr w:type="spellStart"/>
      <w:r w:rsidRPr="00A6284F">
        <w:rPr>
          <w:rFonts w:eastAsia="Times New Roman"/>
          <w:color w:val="000000"/>
          <w:sz w:val="24"/>
          <w:lang w:val="sq-AL"/>
        </w:rPr>
        <w:t>asociuar</w:t>
      </w:r>
      <w:proofErr w:type="spellEnd"/>
      <w:r w:rsidRPr="00A6284F">
        <w:rPr>
          <w:rFonts w:eastAsia="Times New Roman"/>
          <w:color w:val="000000"/>
          <w:sz w:val="24"/>
          <w:lang w:val="sq-AL"/>
        </w:rPr>
        <w:t xml:space="preserve"> të Shoqatës Evropiane të Instituteve Kombëtare të Metrologjisë (EURAMET) dhe ka ndërmarrë hapa për t'u bërë anëtare e </w:t>
      </w:r>
      <w:proofErr w:type="spellStart"/>
      <w:r w:rsidRPr="00A6284F">
        <w:rPr>
          <w:rFonts w:eastAsia="Times New Roman"/>
          <w:color w:val="000000"/>
          <w:sz w:val="24"/>
          <w:lang w:val="sq-AL"/>
        </w:rPr>
        <w:t>asociuar</w:t>
      </w:r>
      <w:proofErr w:type="spellEnd"/>
      <w:r w:rsidRPr="00A6284F">
        <w:rPr>
          <w:rFonts w:eastAsia="Times New Roman"/>
          <w:color w:val="000000"/>
          <w:sz w:val="24"/>
          <w:lang w:val="sq-AL"/>
        </w:rPr>
        <w:t xml:space="preserve"> e Byrosë Ndërkombëtare të Peshave dhe Masave (BIPM).</w:t>
      </w:r>
    </w:p>
    <w:p w:rsidR="00CE1051" w:rsidRPr="00A6284F" w:rsidRDefault="00CE1051" w:rsidP="00CE1051">
      <w:pPr>
        <w:spacing w:before="122"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Baza ligjore kryesore për </w:t>
      </w:r>
      <w:r w:rsidRPr="00A6284F">
        <w:rPr>
          <w:rFonts w:eastAsia="Times New Roman"/>
          <w:b/>
          <w:color w:val="000000"/>
          <w:spacing w:val="-1"/>
          <w:sz w:val="24"/>
          <w:lang w:val="sq-AL"/>
        </w:rPr>
        <w:t>mbikëqyrjen e tregut</w:t>
      </w:r>
      <w:r w:rsidRPr="00A6284F">
        <w:rPr>
          <w:rFonts w:eastAsia="Times New Roman"/>
          <w:color w:val="000000"/>
          <w:spacing w:val="-1"/>
          <w:sz w:val="24"/>
          <w:lang w:val="sq-AL"/>
        </w:rPr>
        <w:t xml:space="preserve"> përbëhet nga Ligji për Kërkesat Teknike për Produkte dhe Vlerësim të Konformitetit dhe Ligji për Sigurinë e Përgjithshme</w:t>
      </w:r>
      <w:r w:rsidR="00E1127C"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të Produkteve, të hartuara për t'u harmonizuar me </w:t>
      </w:r>
      <w:r w:rsidRPr="00A6284F">
        <w:rPr>
          <w:rFonts w:eastAsia="Times New Roman"/>
          <w:i/>
          <w:color w:val="000000"/>
          <w:spacing w:val="-1"/>
          <w:sz w:val="24"/>
          <w:lang w:val="sq-AL"/>
        </w:rPr>
        <w:t>acquis</w:t>
      </w:r>
      <w:r w:rsidRPr="00A6284F">
        <w:rPr>
          <w:rFonts w:eastAsia="Times New Roman"/>
          <w:color w:val="000000"/>
          <w:spacing w:val="-1"/>
          <w:sz w:val="24"/>
          <w:lang w:val="sq-AL"/>
        </w:rPr>
        <w:t>. Megjithatë, organet e mbikëqyrjes së tregut nuk arrijnë të zbatojnë ligjet për shkak të mungesës së burimeve dhe dobësive strukturore. Fakti që inspektoratet e tregut veprojnë si në nivel komuniteti ashtu edhe në atë qendror e bën koordinimin të vështirë. Monitorimi ndërinstitucional është përmirësuar lehtë me themelimin e Organit Koordinues për Mbikëqyrjen e Tregut dhe nisjen e reformës të inspektimit të vazhdueshëm.</w:t>
      </w:r>
    </w:p>
    <w:p w:rsidR="00CE1051" w:rsidRPr="00A6284F" w:rsidRDefault="00CE1051" w:rsidP="00CE1051">
      <w:pPr>
        <w:spacing w:before="118" w:line="276" w:lineRule="exact"/>
        <w:ind w:left="144" w:right="144"/>
        <w:jc w:val="both"/>
        <w:textAlignment w:val="baseline"/>
        <w:rPr>
          <w:sz w:val="24"/>
          <w:lang w:val="sq-AL"/>
        </w:rPr>
      </w:pPr>
      <w:r w:rsidRPr="00A6284F">
        <w:rPr>
          <w:sz w:val="24"/>
          <w:lang w:val="sq-AL"/>
        </w:rPr>
        <w:t>Në vitin 2018, një total prej 304 inspektimeve të sigurisë së produktit identifikuan 16 produkte të dëmshme, duke përfshirë 3 lloje me rreziqe serioze; të gjitha produktet e dëmshme më pas u tërhoqën përgjithmonë nga tregu.</w:t>
      </w:r>
    </w:p>
    <w:p w:rsidR="00CE1051" w:rsidRPr="00A6284F" w:rsidRDefault="00CE1051" w:rsidP="00CE1051">
      <w:pPr>
        <w:spacing w:line="276" w:lineRule="exact"/>
        <w:ind w:left="144" w:right="144"/>
        <w:jc w:val="both"/>
        <w:textAlignment w:val="baseline"/>
        <w:rPr>
          <w:sz w:val="24"/>
          <w:lang w:val="sq-AL"/>
        </w:rPr>
      </w:pPr>
    </w:p>
    <w:p w:rsidR="00CE1051" w:rsidRPr="00A6284F" w:rsidRDefault="00CE1051" w:rsidP="00CE1051">
      <w:pPr>
        <w:spacing w:before="21"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Fusha e harmonizuar: legjislacioni sektorial </w:t>
      </w:r>
    </w:p>
    <w:p w:rsidR="00CE1051" w:rsidRPr="00A6284F" w:rsidRDefault="00CF6548" w:rsidP="00CE1051">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Sa i përket l</w:t>
      </w:r>
      <w:r w:rsidR="00CE1051" w:rsidRPr="00A6284F">
        <w:rPr>
          <w:rFonts w:eastAsia="Times New Roman"/>
          <w:color w:val="000000"/>
          <w:sz w:val="24"/>
          <w:lang w:val="sq-AL"/>
        </w:rPr>
        <w:t>egjisla</w:t>
      </w:r>
      <w:r w:rsidRPr="00A6284F">
        <w:rPr>
          <w:rFonts w:eastAsia="Times New Roman"/>
          <w:color w:val="000000"/>
          <w:sz w:val="24"/>
          <w:lang w:val="sq-AL"/>
        </w:rPr>
        <w:t xml:space="preserve">cionit të </w:t>
      </w:r>
      <w:r w:rsidR="00CE1051" w:rsidRPr="00A6284F">
        <w:rPr>
          <w:rFonts w:eastAsia="Times New Roman"/>
          <w:b/>
          <w:color w:val="000000"/>
          <w:sz w:val="24"/>
          <w:lang w:val="sq-AL"/>
        </w:rPr>
        <w:t>“Qasj</w:t>
      </w:r>
      <w:r w:rsidRPr="00A6284F">
        <w:rPr>
          <w:rFonts w:eastAsia="Times New Roman"/>
          <w:b/>
          <w:color w:val="000000"/>
          <w:sz w:val="24"/>
          <w:lang w:val="sq-AL"/>
        </w:rPr>
        <w:t xml:space="preserve">es së </w:t>
      </w:r>
      <w:r w:rsidR="00CE1051" w:rsidRPr="00A6284F">
        <w:rPr>
          <w:rFonts w:eastAsia="Times New Roman"/>
          <w:b/>
          <w:color w:val="000000"/>
          <w:sz w:val="24"/>
          <w:lang w:val="sq-AL"/>
        </w:rPr>
        <w:t>Re dhe Globale”</w:t>
      </w:r>
      <w:r w:rsidRPr="00A6284F">
        <w:rPr>
          <w:rFonts w:eastAsia="Times New Roman"/>
          <w:b/>
          <w:color w:val="000000"/>
          <w:sz w:val="24"/>
          <w:lang w:val="sq-AL"/>
        </w:rPr>
        <w:t xml:space="preserve"> për produktet</w:t>
      </w:r>
      <w:r w:rsidR="00CE1051" w:rsidRPr="00A6284F">
        <w:rPr>
          <w:rFonts w:eastAsia="Times New Roman"/>
          <w:b/>
          <w:color w:val="000000"/>
          <w:sz w:val="24"/>
          <w:lang w:val="sq-AL"/>
        </w:rPr>
        <w:t>,</w:t>
      </w:r>
      <w:r w:rsidR="00CE1051" w:rsidRPr="00A6284F">
        <w:rPr>
          <w:rFonts w:eastAsia="Times New Roman"/>
          <w:color w:val="000000"/>
          <w:sz w:val="24"/>
          <w:lang w:val="sq-AL"/>
        </w:rPr>
        <w:t xml:space="preserve"> Kosova miratoi legjislacionin për rritjen e harmonizimit të saj me </w:t>
      </w:r>
      <w:r w:rsidR="00CE1051" w:rsidRPr="00A6284F">
        <w:rPr>
          <w:rFonts w:eastAsia="Times New Roman"/>
          <w:i/>
          <w:color w:val="000000"/>
          <w:sz w:val="24"/>
          <w:lang w:val="sq-AL"/>
        </w:rPr>
        <w:t>acquis</w:t>
      </w:r>
      <w:r w:rsidR="00CE1051" w:rsidRPr="00A6284F">
        <w:rPr>
          <w:rFonts w:eastAsia="Times New Roman"/>
          <w:color w:val="000000"/>
          <w:sz w:val="24"/>
          <w:lang w:val="sq-AL"/>
        </w:rPr>
        <w:t xml:space="preserve"> për produktet e ndërtimit. Megjithatë, mungesa e kapaciteteve në infrastrukturën e cilësisë parandalon zbatimin e tij të plotë.</w:t>
      </w:r>
    </w:p>
    <w:p w:rsidR="00CE1051" w:rsidRPr="00A6284F" w:rsidRDefault="00CE1051"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Ka pasur përparime në harmonizimin me </w:t>
      </w:r>
      <w:r w:rsidRPr="00A6284F">
        <w:rPr>
          <w:rFonts w:eastAsia="Times New Roman"/>
          <w:i/>
          <w:color w:val="000000"/>
          <w:sz w:val="24"/>
          <w:lang w:val="sq-AL"/>
        </w:rPr>
        <w:t>acquis</w:t>
      </w:r>
      <w:r w:rsidRPr="00A6284F">
        <w:rPr>
          <w:rFonts w:eastAsia="Times New Roman"/>
          <w:color w:val="000000"/>
          <w:sz w:val="24"/>
          <w:lang w:val="sq-AL"/>
        </w:rPr>
        <w:t xml:space="preserve"> për legjislacionin e produkteve </w:t>
      </w:r>
      <w:r w:rsidR="00FA4631" w:rsidRPr="00A6284F">
        <w:rPr>
          <w:rFonts w:eastAsia="Times New Roman"/>
          <w:color w:val="000000"/>
          <w:sz w:val="24"/>
          <w:lang w:val="sq-AL"/>
        </w:rPr>
        <w:t>nga</w:t>
      </w:r>
      <w:r w:rsidR="00CF6548" w:rsidRPr="00A6284F">
        <w:rPr>
          <w:rFonts w:eastAsia="Times New Roman"/>
          <w:color w:val="000000"/>
          <w:sz w:val="24"/>
          <w:lang w:val="sq-AL"/>
        </w:rPr>
        <w:t xml:space="preserve"> </w:t>
      </w:r>
      <w:r w:rsidRPr="00A6284F">
        <w:rPr>
          <w:rFonts w:eastAsia="Times New Roman"/>
          <w:color w:val="000000"/>
          <w:sz w:val="24"/>
          <w:lang w:val="sq-AL"/>
        </w:rPr>
        <w:t>“</w:t>
      </w:r>
      <w:r w:rsidRPr="00A6284F">
        <w:rPr>
          <w:rFonts w:eastAsia="Times New Roman"/>
          <w:b/>
          <w:color w:val="000000"/>
          <w:sz w:val="24"/>
          <w:lang w:val="sq-AL"/>
        </w:rPr>
        <w:t>Qasj</w:t>
      </w:r>
      <w:r w:rsidR="00FA4631" w:rsidRPr="00A6284F">
        <w:rPr>
          <w:rFonts w:eastAsia="Times New Roman"/>
          <w:b/>
          <w:color w:val="000000"/>
          <w:sz w:val="24"/>
          <w:lang w:val="sq-AL"/>
        </w:rPr>
        <w:t>a</w:t>
      </w:r>
      <w:r w:rsidRPr="00A6284F">
        <w:rPr>
          <w:rFonts w:eastAsia="Times New Roman"/>
          <w:b/>
          <w:color w:val="000000"/>
          <w:sz w:val="24"/>
          <w:lang w:val="sq-AL"/>
        </w:rPr>
        <w:t xml:space="preserve"> e Vjetër</w:t>
      </w:r>
      <w:r w:rsidRPr="00A6284F">
        <w:rPr>
          <w:rFonts w:eastAsia="Times New Roman"/>
          <w:color w:val="000000"/>
          <w:sz w:val="24"/>
          <w:lang w:val="sq-AL"/>
        </w:rPr>
        <w:t xml:space="preserve">” </w:t>
      </w:r>
      <w:r w:rsidR="00FA4631" w:rsidRPr="00A6284F">
        <w:rPr>
          <w:rFonts w:eastAsia="Times New Roman"/>
          <w:color w:val="000000"/>
          <w:sz w:val="24"/>
          <w:lang w:val="sq-AL"/>
        </w:rPr>
        <w:t xml:space="preserve">si </w:t>
      </w:r>
      <w:r w:rsidRPr="00A6284F">
        <w:rPr>
          <w:rFonts w:eastAsia="Times New Roman"/>
          <w:color w:val="000000"/>
          <w:sz w:val="24"/>
          <w:lang w:val="sq-AL"/>
        </w:rPr>
        <w:t xml:space="preserve">dhe </w:t>
      </w:r>
      <w:r w:rsidRPr="00A6284F">
        <w:rPr>
          <w:rFonts w:eastAsia="Times New Roman"/>
          <w:b/>
          <w:color w:val="000000"/>
          <w:sz w:val="24"/>
          <w:lang w:val="sq-AL"/>
        </w:rPr>
        <w:t>masa</w:t>
      </w:r>
      <w:r w:rsidR="00FA4631" w:rsidRPr="00A6284F">
        <w:rPr>
          <w:rFonts w:eastAsia="Times New Roman"/>
          <w:b/>
          <w:color w:val="000000"/>
          <w:sz w:val="24"/>
          <w:lang w:val="sq-AL"/>
        </w:rPr>
        <w:t>ve</w:t>
      </w:r>
      <w:r w:rsidRPr="00A6284F">
        <w:rPr>
          <w:rFonts w:eastAsia="Times New Roman"/>
          <w:b/>
          <w:color w:val="000000"/>
          <w:sz w:val="24"/>
          <w:lang w:val="sq-AL"/>
        </w:rPr>
        <w:t xml:space="preserve"> procedurale</w:t>
      </w:r>
      <w:r w:rsidRPr="00A6284F">
        <w:rPr>
          <w:rFonts w:eastAsia="Times New Roman"/>
          <w:color w:val="000000"/>
          <w:sz w:val="24"/>
          <w:lang w:val="sq-AL"/>
        </w:rPr>
        <w:t xml:space="preserve">. Kosova miratoi legjislacionin e hartuar për rritjen e harmonizimit të saj me </w:t>
      </w:r>
      <w:r w:rsidRPr="00A6284F">
        <w:rPr>
          <w:rFonts w:eastAsia="Times New Roman"/>
          <w:i/>
          <w:color w:val="000000"/>
          <w:sz w:val="24"/>
          <w:lang w:val="sq-AL"/>
        </w:rPr>
        <w:t>acquis</w:t>
      </w:r>
      <w:r w:rsidRPr="00A6284F">
        <w:rPr>
          <w:rFonts w:eastAsia="Times New Roman"/>
          <w:color w:val="000000"/>
          <w:sz w:val="24"/>
          <w:lang w:val="sq-AL"/>
        </w:rPr>
        <w:t xml:space="preserve"> për para paketimin dhe shishet që përdoren si enë matëse dhe mbi etiketimin dhe përzierjet e tekstilit. Ajo ka filluar të harmonizojë dhe të forcojë më tej kapacitetet e saj administrative për të siguruar zbatimin efektiv të Rregullores REACH.</w:t>
      </w:r>
    </w:p>
    <w:p w:rsidR="00CE1051" w:rsidRPr="00A6284F" w:rsidRDefault="00CE1051" w:rsidP="00CE1051">
      <w:pPr>
        <w:tabs>
          <w:tab w:val="left" w:pos="864"/>
        </w:tabs>
        <w:spacing w:before="130" w:after="108" w:line="271" w:lineRule="exact"/>
        <w:ind w:left="144"/>
        <w:textAlignment w:val="baseline"/>
        <w:rPr>
          <w:rFonts w:eastAsia="Times New Roman"/>
          <w:b/>
          <w:color w:val="000000"/>
          <w:sz w:val="24"/>
          <w:lang w:val="sq-AL"/>
        </w:rPr>
      </w:pPr>
      <w:r w:rsidRPr="00A6284F">
        <w:rPr>
          <w:rFonts w:eastAsia="Times New Roman"/>
          <w:b/>
          <w:color w:val="000000"/>
          <w:sz w:val="24"/>
          <w:lang w:val="sq-AL"/>
        </w:rPr>
        <w:t>6.2</w:t>
      </w:r>
      <w:r w:rsidRPr="00A6284F">
        <w:rPr>
          <w:rFonts w:eastAsia="Times New Roman"/>
          <w:b/>
          <w:color w:val="000000"/>
          <w:sz w:val="24"/>
          <w:lang w:val="sq-AL"/>
        </w:rPr>
        <w:tab/>
        <w:t>Lëvizja e personave, shërbimeve dhe e drejta e themelimit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3175"/>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0A476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e </w:t>
            </w:r>
            <w:r w:rsidRPr="00A6284F">
              <w:rPr>
                <w:rFonts w:eastAsia="Times New Roman"/>
                <w:b/>
                <w:color w:val="000000"/>
                <w:sz w:val="24"/>
                <w:lang w:val="sq-AL"/>
              </w:rPr>
              <w:t>përgatitur mesatarisht</w:t>
            </w:r>
            <w:r w:rsidRPr="00A6284F">
              <w:rPr>
                <w:rFonts w:eastAsia="Times New Roman"/>
                <w:color w:val="000000"/>
                <w:sz w:val="24"/>
                <w:lang w:val="sq-AL"/>
              </w:rPr>
              <w:t xml:space="preserve"> për lëvizjen e lirë të personave, shërbimeve dhe të drejtën e themelimit. </w:t>
            </w:r>
            <w:r w:rsidRPr="00A6284F">
              <w:rPr>
                <w:rFonts w:eastAsia="Times New Roman"/>
                <w:b/>
                <w:color w:val="000000"/>
                <w:sz w:val="24"/>
                <w:lang w:val="sq-AL"/>
              </w:rPr>
              <w:t>Njëfarë progresi</w:t>
            </w:r>
            <w:r w:rsidRPr="00A6284F">
              <w:rPr>
                <w:rFonts w:eastAsia="Times New Roman"/>
                <w:color w:val="000000"/>
                <w:sz w:val="24"/>
                <w:lang w:val="sq-AL"/>
              </w:rPr>
              <w:t xml:space="preserve"> është bërë duke zbatuar procedurën e njoftimit dhe vlerësimin e pajtueshmërisë së draft-akteve normative që bien nën objektivat e Ligjit mbi shërbimet. Rekomandimet në raportin e vitit të kaluar janë adresuar vetëm pjesërisht.</w:t>
            </w:r>
          </w:p>
          <w:p w:rsidR="00CE1051" w:rsidRPr="00A6284F" w:rsidRDefault="00CE1051" w:rsidP="000A4761">
            <w:pPr>
              <w:spacing w:before="122" w:line="276" w:lineRule="exact"/>
              <w:ind w:left="144"/>
              <w:textAlignment w:val="baseline"/>
              <w:rPr>
                <w:rFonts w:eastAsia="Times New Roman"/>
                <w:color w:val="000000"/>
                <w:sz w:val="24"/>
                <w:lang w:val="sq-AL"/>
              </w:rPr>
            </w:pPr>
            <w:r w:rsidRPr="00A6284F">
              <w:rPr>
                <w:rFonts w:eastAsia="Times New Roman"/>
                <w:color w:val="000000"/>
                <w:sz w:val="24"/>
                <w:lang w:val="sq-AL"/>
              </w:rPr>
              <w:t>Gjatë vitit të ardhshëm, Kosova duhet në veçanti:</w:t>
            </w:r>
          </w:p>
          <w:p w:rsidR="00CE1051" w:rsidRPr="00A6284F" w:rsidRDefault="00CE1051" w:rsidP="000A4761">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largojë pengesat e identifikuara për lëvizjen e lirë të shërbimeve, duke zbatuar planin e veprimit për zbatimin e plotë të Ligjit për Shërbime;</w:t>
            </w:r>
          </w:p>
          <w:p w:rsidR="00CE1051" w:rsidRPr="00A6284F" w:rsidRDefault="00CE1051" w:rsidP="000A4761">
            <w:pPr>
              <w:spacing w:before="143" w:line="276" w:lineRule="exact"/>
              <w:ind w:left="144"/>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harmonizojë me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njohjen reciproke të kualifikimeve profesionale;</w:t>
            </w:r>
          </w:p>
          <w:p w:rsidR="00CE1051" w:rsidRPr="00A6284F" w:rsidRDefault="00CE1051" w:rsidP="000A4761">
            <w:pPr>
              <w:spacing w:before="136" w:after="9" w:line="276" w:lineRule="exact"/>
              <w:ind w:left="144"/>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vazhdojë të harmonizojë me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shërbimet postare dhe të hapë më tej tregun postar.</w:t>
            </w:r>
          </w:p>
        </w:tc>
      </w:tr>
    </w:tbl>
    <w:p w:rsidR="00CE1051" w:rsidRPr="00A6284F" w:rsidRDefault="00CE1051" w:rsidP="00CE1051">
      <w:pPr>
        <w:spacing w:after="92" w:line="20" w:lineRule="exact"/>
        <w:rPr>
          <w:lang w:val="sq-AL"/>
        </w:rPr>
      </w:pPr>
    </w:p>
    <w:p w:rsidR="00CE1051" w:rsidRPr="00A6284F" w:rsidRDefault="005F227D" w:rsidP="00CE1051">
      <w:pPr>
        <w:spacing w:before="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Tek</w:t>
      </w:r>
      <w:r w:rsidR="00CE1051" w:rsidRPr="00A6284F">
        <w:rPr>
          <w:rFonts w:eastAsia="Times New Roman"/>
          <w:color w:val="000000"/>
          <w:sz w:val="24"/>
          <w:lang w:val="sq-AL"/>
        </w:rPr>
        <w:t xml:space="preserve"> </w:t>
      </w:r>
      <w:r w:rsidR="00CE1051" w:rsidRPr="00A6284F">
        <w:rPr>
          <w:rFonts w:eastAsia="Times New Roman"/>
          <w:b/>
          <w:color w:val="000000"/>
          <w:sz w:val="24"/>
          <w:lang w:val="sq-AL"/>
        </w:rPr>
        <w:t>lëvizj</w:t>
      </w:r>
      <w:r w:rsidRPr="00A6284F">
        <w:rPr>
          <w:rFonts w:eastAsia="Times New Roman"/>
          <w:b/>
          <w:color w:val="000000"/>
          <w:sz w:val="24"/>
          <w:lang w:val="sq-AL"/>
        </w:rPr>
        <w:t>a</w:t>
      </w:r>
      <w:r w:rsidR="00CE1051" w:rsidRPr="00A6284F">
        <w:rPr>
          <w:rFonts w:eastAsia="Times New Roman"/>
          <w:b/>
          <w:color w:val="000000"/>
          <w:sz w:val="24"/>
          <w:lang w:val="sq-AL"/>
        </w:rPr>
        <w:t xml:space="preserve"> </w:t>
      </w:r>
      <w:r w:rsidR="00FA4631" w:rsidRPr="00A6284F">
        <w:rPr>
          <w:rFonts w:eastAsia="Times New Roman"/>
          <w:b/>
          <w:color w:val="000000"/>
          <w:sz w:val="24"/>
          <w:lang w:val="sq-AL"/>
        </w:rPr>
        <w:t>e</w:t>
      </w:r>
      <w:r w:rsidR="00CE1051" w:rsidRPr="00A6284F">
        <w:rPr>
          <w:rFonts w:eastAsia="Times New Roman"/>
          <w:b/>
          <w:color w:val="000000"/>
          <w:sz w:val="24"/>
          <w:lang w:val="sq-AL"/>
        </w:rPr>
        <w:t xml:space="preserve"> personave</w:t>
      </w:r>
      <w:r w:rsidR="00CE1051" w:rsidRPr="00A6284F">
        <w:rPr>
          <w:rFonts w:eastAsia="Times New Roman"/>
          <w:color w:val="000000"/>
          <w:sz w:val="24"/>
          <w:lang w:val="sq-AL"/>
        </w:rPr>
        <w:t xml:space="preserve">, </w:t>
      </w:r>
      <w:r w:rsidRPr="00A6284F">
        <w:rPr>
          <w:rFonts w:eastAsia="Times New Roman"/>
          <w:color w:val="000000"/>
          <w:sz w:val="24"/>
          <w:lang w:val="sq-AL"/>
        </w:rPr>
        <w:t>në lidhje me qasjen në tregun e punës,</w:t>
      </w:r>
      <w:r w:rsidR="00CE1051" w:rsidRPr="00A6284F">
        <w:rPr>
          <w:rFonts w:eastAsia="Times New Roman"/>
          <w:color w:val="000000"/>
          <w:sz w:val="24"/>
          <w:lang w:val="sq-AL"/>
        </w:rPr>
        <w:t>, Ministria e Punës dhe Mirëqenies Sociale ka lëshuar 343 certifikata të punës për periudha prej</w:t>
      </w:r>
      <w:r w:rsidR="00FA4631" w:rsidRPr="00A6284F">
        <w:rPr>
          <w:rFonts w:eastAsia="Times New Roman"/>
          <w:color w:val="000000"/>
          <w:sz w:val="24"/>
          <w:lang w:val="sq-AL"/>
        </w:rPr>
        <w:t xml:space="preserve"> </w:t>
      </w:r>
      <w:r w:rsidR="00CE1051" w:rsidRPr="00A6284F">
        <w:rPr>
          <w:rFonts w:eastAsia="Times New Roman"/>
          <w:color w:val="000000"/>
          <w:sz w:val="24"/>
          <w:lang w:val="sq-AL"/>
        </w:rPr>
        <w:t xml:space="preserve">90 ditësh për shtetasit e huaj gjatë periudhës së raportimit. </w:t>
      </w:r>
      <w:r w:rsidR="00FA4631" w:rsidRPr="00A6284F">
        <w:rPr>
          <w:rFonts w:eastAsia="Times New Roman"/>
          <w:color w:val="000000"/>
          <w:sz w:val="24"/>
          <w:lang w:val="sq-AL"/>
        </w:rPr>
        <w:t>S</w:t>
      </w:r>
      <w:r w:rsidR="00CE1051" w:rsidRPr="00A6284F">
        <w:rPr>
          <w:rFonts w:eastAsia="Times New Roman"/>
          <w:color w:val="000000"/>
          <w:sz w:val="24"/>
          <w:lang w:val="sq-AL"/>
        </w:rPr>
        <w:t xml:space="preserve">a i përket koordinimit të sistemeve të sigurisë sociale, Kuvendi i Kosovës </w:t>
      </w:r>
      <w:r w:rsidR="00FA4631" w:rsidRPr="00A6284F">
        <w:rPr>
          <w:rFonts w:eastAsia="Times New Roman"/>
          <w:color w:val="000000"/>
          <w:sz w:val="24"/>
          <w:lang w:val="sq-AL"/>
        </w:rPr>
        <w:t xml:space="preserve">ka </w:t>
      </w:r>
      <w:r w:rsidR="00CE1051" w:rsidRPr="00A6284F">
        <w:rPr>
          <w:rFonts w:eastAsia="Times New Roman"/>
          <w:color w:val="000000"/>
          <w:sz w:val="24"/>
          <w:lang w:val="sq-AL"/>
        </w:rPr>
        <w:t>ratifik</w:t>
      </w:r>
      <w:r w:rsidR="00FA4631" w:rsidRPr="00A6284F">
        <w:rPr>
          <w:rFonts w:eastAsia="Times New Roman"/>
          <w:color w:val="000000"/>
          <w:sz w:val="24"/>
          <w:lang w:val="sq-AL"/>
        </w:rPr>
        <w:t xml:space="preserve">uar </w:t>
      </w:r>
      <w:r w:rsidR="00CE1051" w:rsidRPr="00A6284F">
        <w:rPr>
          <w:rFonts w:eastAsia="Times New Roman"/>
          <w:color w:val="000000"/>
          <w:sz w:val="24"/>
          <w:lang w:val="sq-AL"/>
        </w:rPr>
        <w:t>Marrëveshjet për Sigurim</w:t>
      </w:r>
      <w:r w:rsidR="00FA4631" w:rsidRPr="00A6284F">
        <w:rPr>
          <w:rFonts w:eastAsia="Times New Roman"/>
          <w:color w:val="000000"/>
          <w:sz w:val="24"/>
          <w:lang w:val="sq-AL"/>
        </w:rPr>
        <w:t>in</w:t>
      </w:r>
      <w:r w:rsidR="00CE1051" w:rsidRPr="00A6284F">
        <w:rPr>
          <w:rFonts w:eastAsia="Times New Roman"/>
          <w:color w:val="000000"/>
          <w:sz w:val="24"/>
          <w:lang w:val="sq-AL"/>
        </w:rPr>
        <w:t xml:space="preserve"> Social me Belgjikën dhe Zvicrën në tetor të vitit 2018. Kosova ka marrëveshje </w:t>
      </w:r>
      <w:r w:rsidR="00FA4631" w:rsidRPr="00A6284F">
        <w:rPr>
          <w:rFonts w:eastAsia="Times New Roman"/>
          <w:color w:val="000000"/>
          <w:sz w:val="24"/>
          <w:lang w:val="sq-AL"/>
        </w:rPr>
        <w:t>f</w:t>
      </w:r>
      <w:r w:rsidR="00CE1051" w:rsidRPr="00A6284F">
        <w:rPr>
          <w:rFonts w:eastAsia="Times New Roman"/>
          <w:color w:val="000000"/>
          <w:sz w:val="24"/>
          <w:lang w:val="sq-AL"/>
        </w:rPr>
        <w:t>unksion</w:t>
      </w:r>
      <w:r w:rsidR="00FA4631" w:rsidRPr="00A6284F">
        <w:rPr>
          <w:rFonts w:eastAsia="Times New Roman"/>
          <w:color w:val="000000"/>
          <w:sz w:val="24"/>
          <w:lang w:val="sq-AL"/>
        </w:rPr>
        <w:t xml:space="preserve">ale </w:t>
      </w:r>
      <w:r w:rsidR="00CE1051" w:rsidRPr="00A6284F">
        <w:rPr>
          <w:rFonts w:eastAsia="Times New Roman"/>
          <w:color w:val="000000"/>
          <w:sz w:val="24"/>
          <w:lang w:val="sq-AL"/>
        </w:rPr>
        <w:t>me Malin e Zi dhe Maqedoninë Veriore për konfirmimin e periudhave të sigurimit social.</w:t>
      </w:r>
    </w:p>
    <w:p w:rsidR="00CE1051" w:rsidRPr="00A6284F" w:rsidRDefault="005F227D" w:rsidP="00CE105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Tek</w:t>
      </w:r>
      <w:r w:rsidR="00CE1051" w:rsidRPr="00A6284F">
        <w:rPr>
          <w:rFonts w:eastAsia="Times New Roman"/>
          <w:color w:val="000000"/>
          <w:sz w:val="24"/>
          <w:lang w:val="sq-AL"/>
        </w:rPr>
        <w:t xml:space="preserve"> </w:t>
      </w:r>
      <w:r w:rsidR="00CE1051" w:rsidRPr="00A6284F">
        <w:rPr>
          <w:rFonts w:eastAsia="Times New Roman"/>
          <w:b/>
          <w:color w:val="000000"/>
          <w:sz w:val="24"/>
          <w:lang w:val="sq-AL"/>
        </w:rPr>
        <w:t>liri</w:t>
      </w:r>
      <w:r w:rsidRPr="00A6284F">
        <w:rPr>
          <w:rFonts w:eastAsia="Times New Roman"/>
          <w:b/>
          <w:color w:val="000000"/>
          <w:sz w:val="24"/>
          <w:lang w:val="sq-AL"/>
        </w:rPr>
        <w:t>a</w:t>
      </w:r>
      <w:r w:rsidR="00CE1051" w:rsidRPr="00A6284F">
        <w:rPr>
          <w:rFonts w:eastAsia="Times New Roman"/>
          <w:b/>
          <w:color w:val="000000"/>
          <w:sz w:val="24"/>
          <w:lang w:val="sq-AL"/>
        </w:rPr>
        <w:t xml:space="preserve"> për ofrimin e shërbimeve</w:t>
      </w:r>
      <w:r w:rsidR="00CE1051" w:rsidRPr="00A6284F">
        <w:rPr>
          <w:rFonts w:eastAsia="Times New Roman"/>
          <w:color w:val="000000"/>
          <w:sz w:val="24"/>
          <w:lang w:val="sq-AL"/>
        </w:rPr>
        <w:t>, Ligji mbi Shërbimet përputhet vetëm pjesërisht me Direktivë</w:t>
      </w:r>
      <w:r w:rsidRPr="00A6284F">
        <w:rPr>
          <w:rFonts w:eastAsia="Times New Roman"/>
          <w:color w:val="000000"/>
          <w:sz w:val="24"/>
          <w:lang w:val="sq-AL"/>
        </w:rPr>
        <w:t xml:space="preserve">n për Shërbime dhe nuk është përafruar </w:t>
      </w:r>
      <w:r w:rsidR="00CE1051" w:rsidRPr="00A6284F">
        <w:rPr>
          <w:rFonts w:eastAsia="Times New Roman"/>
          <w:color w:val="000000"/>
          <w:sz w:val="24"/>
          <w:lang w:val="sq-AL"/>
        </w:rPr>
        <w:t>me dispozitat mbi shërbimet ndërkufitare dhe bashkëpunim administrativ. Pas shqyrtimeve të vitit të fundit të legjislacionit sektorial, në korrik të vitit 2018 u miratua plani pesë-vjeçar i veprimit për zbatimin e plotë të Ligjit mbi Shërbime</w:t>
      </w:r>
      <w:r w:rsidR="00FA4631" w:rsidRPr="00A6284F">
        <w:rPr>
          <w:rFonts w:eastAsia="Times New Roman"/>
          <w:color w:val="000000"/>
          <w:sz w:val="24"/>
          <w:lang w:val="sq-AL"/>
        </w:rPr>
        <w:t>t</w:t>
      </w:r>
      <w:r w:rsidR="00CE1051" w:rsidRPr="00A6284F">
        <w:rPr>
          <w:rFonts w:eastAsia="Times New Roman"/>
          <w:color w:val="000000"/>
          <w:sz w:val="24"/>
          <w:lang w:val="sq-AL"/>
        </w:rPr>
        <w:t>. Këtu përfshihen ndryshimet e 54 pjesëve të legjislacionit sektorial (25 akte primare dhe 29 akte sekondare) për të hequr kufizimet e</w:t>
      </w:r>
      <w:r w:rsidR="00FA4631" w:rsidRPr="00A6284F">
        <w:rPr>
          <w:rFonts w:eastAsia="Times New Roman"/>
          <w:color w:val="000000"/>
          <w:sz w:val="24"/>
          <w:lang w:val="sq-AL"/>
        </w:rPr>
        <w:t xml:space="preserve"> mbetura </w:t>
      </w:r>
      <w:r w:rsidR="00CE1051" w:rsidRPr="00A6284F">
        <w:rPr>
          <w:rFonts w:eastAsia="Times New Roman"/>
          <w:color w:val="000000"/>
          <w:sz w:val="24"/>
          <w:lang w:val="sq-AL"/>
        </w:rPr>
        <w:t>për lëvizjen e lirë të shërbimeve deri në vitin 2022. Në mars të vitit 2018, qeveria ka vendosur një procedurë njoftimi për të siguruar se aktet normative janë në përputhje me Ligjin mbi Shërbimet. Kjo procedurë njoftimi i obligon autoritetet kompetente të kërkojnë opinion</w:t>
      </w:r>
      <w:r w:rsidR="00FA4631" w:rsidRPr="00A6284F">
        <w:rPr>
          <w:rFonts w:eastAsia="Times New Roman"/>
          <w:color w:val="000000"/>
          <w:sz w:val="24"/>
          <w:lang w:val="sq-AL"/>
        </w:rPr>
        <w:t>in</w:t>
      </w:r>
      <w:r w:rsidR="00CE1051" w:rsidRPr="00A6284F">
        <w:rPr>
          <w:rFonts w:eastAsia="Times New Roman"/>
          <w:color w:val="000000"/>
          <w:sz w:val="24"/>
          <w:lang w:val="sq-AL"/>
        </w:rPr>
        <w:t xml:space="preserve"> ligjor</w:t>
      </w:r>
      <w:r w:rsidRPr="00A6284F">
        <w:rPr>
          <w:rFonts w:eastAsia="Times New Roman"/>
          <w:color w:val="000000"/>
          <w:sz w:val="24"/>
          <w:lang w:val="sq-AL"/>
        </w:rPr>
        <w:t xml:space="preserve"> pozitiv</w:t>
      </w:r>
      <w:r w:rsidR="00CE1051" w:rsidRPr="00A6284F">
        <w:rPr>
          <w:rFonts w:eastAsia="Times New Roman"/>
          <w:color w:val="000000"/>
          <w:sz w:val="24"/>
          <w:lang w:val="sq-AL"/>
        </w:rPr>
        <w:t xml:space="preserve"> para se të kalojë ndonjë projektligj i ardhshëm që bie nën fushëveprimin e Ligjit mbi Shërbimet. Së fundmi, l</w:t>
      </w:r>
      <w:r w:rsidRPr="00A6284F">
        <w:rPr>
          <w:rFonts w:eastAsia="Times New Roman"/>
          <w:color w:val="000000"/>
          <w:sz w:val="24"/>
          <w:lang w:val="sq-AL"/>
        </w:rPr>
        <w:t xml:space="preserve">egjislacioni </w:t>
      </w:r>
      <w:r w:rsidR="00CE1051" w:rsidRPr="00A6284F">
        <w:rPr>
          <w:rFonts w:eastAsia="Times New Roman"/>
          <w:color w:val="000000"/>
          <w:sz w:val="24"/>
          <w:lang w:val="sq-AL"/>
        </w:rPr>
        <w:t>sekondar para</w:t>
      </w:r>
      <w:r w:rsidRPr="00A6284F">
        <w:rPr>
          <w:rFonts w:eastAsia="Times New Roman"/>
          <w:color w:val="000000"/>
          <w:sz w:val="24"/>
          <w:lang w:val="sq-AL"/>
        </w:rPr>
        <w:t xml:space="preserve">sheh </w:t>
      </w:r>
      <w:r w:rsidR="00CE1051" w:rsidRPr="00A6284F">
        <w:rPr>
          <w:rFonts w:eastAsia="Times New Roman"/>
          <w:color w:val="000000"/>
          <w:sz w:val="24"/>
          <w:lang w:val="sq-AL"/>
        </w:rPr>
        <w:t>krijimin e një Pike të Vetm</w:t>
      </w:r>
      <w:r w:rsidRPr="00A6284F">
        <w:rPr>
          <w:rFonts w:eastAsia="Times New Roman"/>
          <w:color w:val="000000"/>
          <w:sz w:val="24"/>
          <w:lang w:val="sq-AL"/>
        </w:rPr>
        <w:t>e</w:t>
      </w:r>
      <w:r w:rsidR="00CE1051" w:rsidRPr="00A6284F">
        <w:rPr>
          <w:rFonts w:eastAsia="Times New Roman"/>
          <w:color w:val="000000"/>
          <w:sz w:val="24"/>
          <w:lang w:val="sq-AL"/>
        </w:rPr>
        <w:t xml:space="preserve"> </w:t>
      </w:r>
      <w:r w:rsidRPr="00A6284F">
        <w:rPr>
          <w:rFonts w:eastAsia="Times New Roman"/>
          <w:color w:val="000000"/>
          <w:sz w:val="24"/>
          <w:lang w:val="sq-AL"/>
        </w:rPr>
        <w:t xml:space="preserve">të Kontaktit </w:t>
      </w:r>
      <w:r w:rsidR="00CE1051" w:rsidRPr="00A6284F">
        <w:rPr>
          <w:rFonts w:eastAsia="Times New Roman"/>
          <w:color w:val="000000"/>
          <w:sz w:val="24"/>
          <w:lang w:val="sq-AL"/>
        </w:rPr>
        <w:t xml:space="preserve">nga Ministria e Tregtisë dhe Industrisë në vitin 2019 për të lehtësuar qasjen në aktivitetet e shërbimit dhe për </w:t>
      </w:r>
      <w:r w:rsidRPr="00A6284F">
        <w:rPr>
          <w:rFonts w:eastAsia="Times New Roman"/>
          <w:color w:val="000000"/>
          <w:sz w:val="24"/>
          <w:lang w:val="sq-AL"/>
        </w:rPr>
        <w:t xml:space="preserve">të </w:t>
      </w:r>
      <w:r w:rsidR="00CE1051" w:rsidRPr="00A6284F">
        <w:rPr>
          <w:rFonts w:eastAsia="Times New Roman"/>
          <w:color w:val="000000"/>
          <w:sz w:val="24"/>
          <w:lang w:val="sq-AL"/>
        </w:rPr>
        <w:t>ofruar informa</w:t>
      </w:r>
      <w:r w:rsidRPr="00A6284F">
        <w:rPr>
          <w:rFonts w:eastAsia="Times New Roman"/>
          <w:color w:val="000000"/>
          <w:sz w:val="24"/>
          <w:lang w:val="sq-AL"/>
        </w:rPr>
        <w:t xml:space="preserve">tat </w:t>
      </w:r>
      <w:r w:rsidR="00CE1051" w:rsidRPr="00A6284F">
        <w:rPr>
          <w:rFonts w:eastAsia="Times New Roman"/>
          <w:color w:val="000000"/>
          <w:sz w:val="24"/>
          <w:lang w:val="sq-AL"/>
        </w:rPr>
        <w:t xml:space="preserve">e nevojshme ofruesve të shërbimeve. Në vitin e ardhshëm, Kosova duhet të fillojë zbatimin e një faze të testimit për funksionimin e plotë të Pikës së </w:t>
      </w:r>
      <w:r w:rsidRPr="00A6284F">
        <w:rPr>
          <w:rFonts w:eastAsia="Times New Roman"/>
          <w:color w:val="000000"/>
          <w:sz w:val="24"/>
          <w:lang w:val="sq-AL"/>
        </w:rPr>
        <w:t xml:space="preserve">Vetme të </w:t>
      </w:r>
      <w:r w:rsidR="00CE1051" w:rsidRPr="00A6284F">
        <w:rPr>
          <w:rFonts w:eastAsia="Times New Roman"/>
          <w:color w:val="000000"/>
          <w:sz w:val="24"/>
          <w:lang w:val="sq-AL"/>
        </w:rPr>
        <w:t>Kontaktit.</w:t>
      </w:r>
    </w:p>
    <w:p w:rsidR="00CE1051" w:rsidRPr="00A6284F" w:rsidRDefault="005F227D" w:rsidP="00CE1051">
      <w:pPr>
        <w:spacing w:before="120" w:after="1166"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e drejta e themelimit, regjistrimi i përgjithshëm në Regjistrin e Bizneseve të Kosovës është </w:t>
      </w:r>
      <w:proofErr w:type="spellStart"/>
      <w:r w:rsidRPr="00A6284F">
        <w:rPr>
          <w:rFonts w:eastAsia="Times New Roman"/>
          <w:color w:val="000000"/>
          <w:spacing w:val="-1"/>
          <w:sz w:val="24"/>
          <w:lang w:val="sq-AL"/>
        </w:rPr>
        <w:t>obligativ</w:t>
      </w:r>
      <w:r w:rsidR="00822159" w:rsidRPr="00A6284F">
        <w:rPr>
          <w:rFonts w:eastAsia="Times New Roman"/>
          <w:color w:val="000000"/>
          <w:spacing w:val="-1"/>
          <w:sz w:val="24"/>
          <w:lang w:val="sq-AL"/>
        </w:rPr>
        <w:t>e</w:t>
      </w:r>
      <w:proofErr w:type="spellEnd"/>
      <w:r w:rsidRPr="00A6284F">
        <w:rPr>
          <w:rFonts w:eastAsia="Times New Roman"/>
          <w:color w:val="000000"/>
          <w:spacing w:val="-1"/>
          <w:sz w:val="24"/>
          <w:lang w:val="sq-AL"/>
        </w:rPr>
        <w:t xml:space="preserve"> për çdo individ apo biznes që dëshiron të bëjë biznes</w:t>
      </w:r>
      <w:r w:rsidR="00CE1051" w:rsidRPr="00A6284F">
        <w:rPr>
          <w:rFonts w:eastAsia="Times New Roman"/>
          <w:color w:val="000000"/>
          <w:spacing w:val="-1"/>
          <w:sz w:val="24"/>
          <w:lang w:val="sq-AL"/>
        </w:rPr>
        <w:t xml:space="preserve">. </w:t>
      </w:r>
      <w:r w:rsidRPr="00A6284F">
        <w:rPr>
          <w:rFonts w:eastAsia="Times New Roman"/>
          <w:color w:val="000000"/>
          <w:spacing w:val="-1"/>
          <w:sz w:val="24"/>
          <w:lang w:val="sq-AL"/>
        </w:rPr>
        <w:t>Në një numër profesionesh të rregulluara, si drejtësia dhe auditimi, ka nevojë të bëhet regjistrimi në një regjistër apo shoqatë të posaçme</w:t>
      </w:r>
      <w:r w:rsidR="00CE1051" w:rsidRPr="00A6284F">
        <w:rPr>
          <w:rFonts w:eastAsia="Times New Roman"/>
          <w:color w:val="000000"/>
          <w:spacing w:val="-1"/>
          <w:sz w:val="24"/>
          <w:lang w:val="sq-AL"/>
        </w:rPr>
        <w:t>. Ofruesve të jashtëm të shërbimeve u lejohet të ofrojnë shërbime nëse vendosin një zyrë në Kosovë.</w:t>
      </w:r>
    </w:p>
    <w:p w:rsidR="00CE1051" w:rsidRPr="00A6284F" w:rsidRDefault="00CE1051" w:rsidP="00CE1051">
      <w:pPr>
        <w:spacing w:before="120" w:after="1166" w:line="276" w:lineRule="exact"/>
        <w:rPr>
          <w:lang w:val="sq-AL"/>
        </w:rPr>
        <w:sectPr w:rsidR="00CE1051" w:rsidRPr="00A6284F">
          <w:pgSz w:w="11909" w:h="16838"/>
          <w:pgMar w:top="1400" w:right="1274" w:bottom="562" w:left="1275" w:header="720" w:footer="720" w:gutter="0"/>
          <w:cols w:space="720"/>
        </w:sectPr>
      </w:pPr>
    </w:p>
    <w:p w:rsidR="00CE1051" w:rsidRPr="00A6284F" w:rsidRDefault="00CE1051" w:rsidP="00CE1051">
      <w:pPr>
        <w:rPr>
          <w:lang w:val="sq-AL"/>
        </w:rPr>
        <w:sectPr w:rsidR="00CE1051" w:rsidRPr="00A6284F">
          <w:type w:val="continuous"/>
          <w:pgSz w:w="11909" w:h="16838"/>
          <w:pgMar w:top="1400" w:right="1274" w:bottom="562" w:left="1275" w:header="720" w:footer="720" w:gutter="0"/>
          <w:cols w:space="720"/>
        </w:sectPr>
      </w:pPr>
    </w:p>
    <w:p w:rsidR="00CE1051" w:rsidRPr="00A6284F" w:rsidRDefault="00CE1051" w:rsidP="00CE1051">
      <w:pPr>
        <w:spacing w:before="20"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në mënyrë graduale ka </w:t>
      </w:r>
      <w:r w:rsidR="00822159" w:rsidRPr="00A6284F">
        <w:rPr>
          <w:rFonts w:eastAsia="Times New Roman"/>
          <w:color w:val="000000"/>
          <w:sz w:val="24"/>
          <w:lang w:val="sq-AL"/>
        </w:rPr>
        <w:t xml:space="preserve">përafruar </w:t>
      </w:r>
      <w:r w:rsidRPr="00A6284F">
        <w:rPr>
          <w:rFonts w:eastAsia="Times New Roman"/>
          <w:color w:val="000000"/>
          <w:sz w:val="24"/>
          <w:lang w:val="sq-AL"/>
        </w:rPr>
        <w:t xml:space="preserve">kornizën e saj ligjore mbi </w:t>
      </w:r>
      <w:r w:rsidRPr="00A6284F">
        <w:rPr>
          <w:rFonts w:eastAsia="Times New Roman"/>
          <w:b/>
          <w:color w:val="000000"/>
          <w:sz w:val="24"/>
          <w:lang w:val="sq-AL"/>
        </w:rPr>
        <w:t>shërbimet postare</w:t>
      </w:r>
      <w:r w:rsidRPr="00A6284F">
        <w:rPr>
          <w:rFonts w:eastAsia="Times New Roman"/>
          <w:color w:val="000000"/>
          <w:sz w:val="24"/>
          <w:lang w:val="sq-AL"/>
        </w:rPr>
        <w:t xml:space="preserve"> me </w:t>
      </w:r>
      <w:r w:rsidRPr="00A6284F">
        <w:rPr>
          <w:rFonts w:eastAsia="Times New Roman"/>
          <w:i/>
          <w:color w:val="000000"/>
          <w:sz w:val="24"/>
          <w:lang w:val="sq-AL"/>
        </w:rPr>
        <w:t>acquis</w:t>
      </w:r>
      <w:r w:rsidRPr="00A6284F">
        <w:rPr>
          <w:rFonts w:eastAsia="Times New Roman"/>
          <w:color w:val="000000"/>
          <w:sz w:val="24"/>
          <w:lang w:val="sq-AL"/>
        </w:rPr>
        <w:t xml:space="preserve"> e BE-së. Në dhjetor të vitit 2018, Kuvendi ka miratuar ligj</w:t>
      </w:r>
      <w:r w:rsidR="00822159" w:rsidRPr="00A6284F">
        <w:rPr>
          <w:rFonts w:eastAsia="Times New Roman"/>
          <w:color w:val="000000"/>
          <w:sz w:val="24"/>
          <w:lang w:val="sq-AL"/>
        </w:rPr>
        <w:t>in</w:t>
      </w:r>
      <w:r w:rsidRPr="00A6284F">
        <w:rPr>
          <w:rFonts w:eastAsia="Times New Roman"/>
          <w:color w:val="000000"/>
          <w:sz w:val="24"/>
          <w:lang w:val="sq-AL"/>
        </w:rPr>
        <w:t xml:space="preserve"> </w:t>
      </w:r>
      <w:r w:rsidR="00822159" w:rsidRPr="00A6284F">
        <w:rPr>
          <w:rFonts w:eastAsia="Times New Roman"/>
          <w:color w:val="000000"/>
          <w:sz w:val="24"/>
          <w:lang w:val="sq-AL"/>
        </w:rPr>
        <w:t>e</w:t>
      </w:r>
      <w:r w:rsidRPr="00A6284F">
        <w:rPr>
          <w:rFonts w:eastAsia="Times New Roman"/>
          <w:color w:val="000000"/>
          <w:sz w:val="24"/>
          <w:lang w:val="sq-AL"/>
        </w:rPr>
        <w:t xml:space="preserve"> ri mbi shërbimet postare, i cili është pjesërisht në përputhje me </w:t>
      </w:r>
      <w:r w:rsidRPr="00A6284F">
        <w:rPr>
          <w:rFonts w:eastAsia="Times New Roman"/>
          <w:i/>
          <w:color w:val="000000"/>
          <w:sz w:val="24"/>
          <w:lang w:val="sq-AL"/>
        </w:rPr>
        <w:t>acquis</w:t>
      </w:r>
      <w:r w:rsidRPr="00A6284F">
        <w:rPr>
          <w:rFonts w:eastAsia="Times New Roman"/>
          <w:color w:val="000000"/>
          <w:sz w:val="24"/>
          <w:lang w:val="sq-AL"/>
        </w:rPr>
        <w:t xml:space="preserve"> e BE-së për shërbimin postar. Duhet  të respektohen legjislacioni sekondar për zbatimin teknik të ligjit dhe afatet kohore për të bërë progres në procesin legjislativ. 30% e territorit ende nuk mbulohet nga shërbimet e përgjithshme postare. Kufiri i peshës për zonat e rezervuara është ende 100 gram. Janë bërë plane për liberalizimin e plotë të tregut postar deri në vitin 2021.</w:t>
      </w:r>
    </w:p>
    <w:p w:rsidR="00CE1051" w:rsidRPr="00A6284F" w:rsidRDefault="00822159" w:rsidP="00CE1051">
      <w:pPr>
        <w:spacing w:before="118"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Tek</w:t>
      </w:r>
      <w:r w:rsidR="00CE1051" w:rsidRPr="00A6284F">
        <w:rPr>
          <w:rFonts w:eastAsia="Times New Roman"/>
          <w:color w:val="000000"/>
          <w:sz w:val="24"/>
          <w:lang w:val="sq-AL"/>
        </w:rPr>
        <w:t xml:space="preserve"> </w:t>
      </w:r>
      <w:r w:rsidR="00CE1051" w:rsidRPr="00A6284F">
        <w:rPr>
          <w:rFonts w:eastAsia="Times New Roman"/>
          <w:b/>
          <w:color w:val="000000"/>
          <w:sz w:val="24"/>
          <w:lang w:val="sq-AL"/>
        </w:rPr>
        <w:t>njohj</w:t>
      </w:r>
      <w:r w:rsidRPr="00A6284F">
        <w:rPr>
          <w:rFonts w:eastAsia="Times New Roman"/>
          <w:b/>
          <w:color w:val="000000"/>
          <w:sz w:val="24"/>
          <w:lang w:val="sq-AL"/>
        </w:rPr>
        <w:t>a</w:t>
      </w:r>
      <w:r w:rsidR="00CE1051" w:rsidRPr="00A6284F">
        <w:rPr>
          <w:rFonts w:eastAsia="Times New Roman"/>
          <w:b/>
          <w:color w:val="000000"/>
          <w:sz w:val="24"/>
          <w:lang w:val="sq-AL"/>
        </w:rPr>
        <w:t xml:space="preserve"> e ndërsjellë </w:t>
      </w:r>
      <w:r w:rsidRPr="00A6284F">
        <w:rPr>
          <w:rFonts w:eastAsia="Times New Roman"/>
          <w:b/>
          <w:color w:val="000000"/>
          <w:sz w:val="24"/>
          <w:lang w:val="sq-AL"/>
        </w:rPr>
        <w:t>e</w:t>
      </w:r>
      <w:r w:rsidR="00CE1051" w:rsidRPr="00A6284F">
        <w:rPr>
          <w:rFonts w:eastAsia="Times New Roman"/>
          <w:b/>
          <w:color w:val="000000"/>
          <w:sz w:val="24"/>
          <w:lang w:val="sq-AL"/>
        </w:rPr>
        <w:t xml:space="preserve"> kualifikimeve profesionale</w:t>
      </w:r>
      <w:r w:rsidR="00CE1051" w:rsidRPr="00A6284F">
        <w:rPr>
          <w:rFonts w:eastAsia="Times New Roman"/>
          <w:color w:val="000000"/>
          <w:sz w:val="24"/>
          <w:lang w:val="sq-AL"/>
        </w:rPr>
        <w:t xml:space="preserve">, Ligji mbi Profesionet e Rregulluara në Kosovë, i miratuar në tetor të vitit 2016, është deri në një shkallë </w:t>
      </w:r>
      <w:r w:rsidRPr="00A6284F">
        <w:rPr>
          <w:rFonts w:eastAsia="Times New Roman"/>
          <w:color w:val="000000"/>
          <w:sz w:val="24"/>
          <w:lang w:val="sq-AL"/>
        </w:rPr>
        <w:t xml:space="preserve">i përafruar </w:t>
      </w:r>
      <w:r w:rsidR="00CE1051" w:rsidRPr="00A6284F">
        <w:rPr>
          <w:rFonts w:eastAsia="Times New Roman"/>
          <w:color w:val="000000"/>
          <w:sz w:val="24"/>
          <w:lang w:val="sq-AL"/>
        </w:rPr>
        <w:t xml:space="preserve">me </w:t>
      </w:r>
      <w:r w:rsidR="00CE1051" w:rsidRPr="00A6284F">
        <w:rPr>
          <w:rFonts w:eastAsia="Times New Roman"/>
          <w:i/>
          <w:color w:val="000000"/>
          <w:sz w:val="24"/>
          <w:lang w:val="sq-AL"/>
        </w:rPr>
        <w:t>acquis</w:t>
      </w:r>
      <w:r w:rsidR="00CE1051" w:rsidRPr="00A6284F">
        <w:rPr>
          <w:rFonts w:eastAsia="Times New Roman"/>
          <w:color w:val="000000"/>
          <w:sz w:val="24"/>
          <w:lang w:val="sq-AL"/>
        </w:rPr>
        <w:t xml:space="preserve"> mirëpo duhet të harmonizohet edhe më tej. Acquis harmonizon rregullat mbi profesionet e rregulluara për të siguruar njohje të ndërsjellë të kualifikimeve dhe diplomave ndërmjet shteteve anëtare. Gjithashtu, identifikon 16 profesione si “të rregulluara“, të ashtuquajturat profesione sektoriale, (p.sh., mjekët, stomatologët, farmacistët, kirurgët veterinar, mamitë, infermierët dhe arkitektët), për të cilat direktiva parashikon trajnimin minimal të harmonizuar dhe përcakton disa kritere të përgjithshme për qasje dhe ushtrimin e tyre. Legjislacioni sekondar duhet të miratohet. Në vitin 2018, si pjesë e ristrukturimit të tij, Ministria e Arsimit ka krijuar Divizionin për Ekzaminime dhe Profesione të Rregulluara i cili do të jetë përgjegjës për organizimin e provimeve shtetërore dhe për vendosjen e procedurave për qasje në profesione të rregulluara.</w:t>
      </w:r>
    </w:p>
    <w:p w:rsidR="00CE1051" w:rsidRPr="00A6284F" w:rsidRDefault="00CE1051" w:rsidP="00CE1051">
      <w:pPr>
        <w:spacing w:before="122"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Duke u bazuar në progresin e bërë, Kosova duhet të vazhdojë të zhvillojë strukturat dhe rregullat e nevojshme për njohjen e kualifikimeve profesionale të marra nga jashtë në mënyrë që të garantohet dhe lehtësohet lëvizshmëria e profesionistëve dhe shërbimeve.</w:t>
      </w:r>
    </w:p>
    <w:p w:rsidR="00CE1051" w:rsidRPr="00A6284F" w:rsidRDefault="00CE1051" w:rsidP="00CE1051">
      <w:pPr>
        <w:tabs>
          <w:tab w:val="left" w:pos="864"/>
        </w:tabs>
        <w:spacing w:before="126" w:after="110" w:line="273" w:lineRule="exact"/>
        <w:ind w:left="144" w:right="72"/>
        <w:textAlignment w:val="baseline"/>
        <w:rPr>
          <w:rFonts w:eastAsia="Times New Roman"/>
          <w:b/>
          <w:color w:val="000000"/>
          <w:spacing w:val="-1"/>
          <w:sz w:val="24"/>
          <w:lang w:val="sq-AL"/>
        </w:rPr>
      </w:pPr>
      <w:r w:rsidRPr="00A6284F">
        <w:rPr>
          <w:rFonts w:eastAsia="Times New Roman"/>
          <w:b/>
          <w:color w:val="000000"/>
          <w:spacing w:val="-1"/>
          <w:sz w:val="24"/>
          <w:lang w:val="sq-AL"/>
        </w:rPr>
        <w:t>6.3</w:t>
      </w:r>
      <w:r w:rsidRPr="00A6284F">
        <w:rPr>
          <w:rFonts w:eastAsia="Times New Roman"/>
          <w:b/>
          <w:color w:val="000000"/>
          <w:spacing w:val="-1"/>
          <w:sz w:val="24"/>
          <w:lang w:val="sq-AL"/>
        </w:rPr>
        <w:tab/>
        <w:t>Lëvizja e lirë e kapitalit</w:t>
      </w:r>
    </w:p>
    <w:tbl>
      <w:tblPr>
        <w:tblW w:w="0" w:type="auto"/>
        <w:tblInd w:w="6" w:type="dxa"/>
        <w:tblLayout w:type="fixed"/>
        <w:tblCellMar>
          <w:left w:w="0" w:type="dxa"/>
          <w:right w:w="0" w:type="dxa"/>
        </w:tblCellMar>
        <w:tblLook w:val="0000" w:firstRow="0" w:lastRow="0" w:firstColumn="0" w:lastColumn="0" w:noHBand="0" w:noVBand="0"/>
      </w:tblPr>
      <w:tblGrid>
        <w:gridCol w:w="9103"/>
      </w:tblGrid>
      <w:tr w:rsidR="00CE1051" w:rsidRPr="00A6284F" w:rsidTr="000A4761">
        <w:trPr>
          <w:trHeight w:hRule="exact" w:val="3517"/>
        </w:trPr>
        <w:tc>
          <w:tcPr>
            <w:tcW w:w="9103"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661043" w:rsidP="000A4761">
            <w:pPr>
              <w:spacing w:before="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një nivel përgatitjeje</w:t>
            </w:r>
            <w:r w:rsidRPr="00A6284F">
              <w:rPr>
                <w:rFonts w:eastAsia="Times New Roman"/>
                <w:color w:val="000000"/>
                <w:sz w:val="24"/>
                <w:lang w:val="sq-AL"/>
              </w:rPr>
              <w:t xml:space="preserve"> për këtë fushë. Pak progres është bërë tek shërbimet e pagesave </w:t>
            </w:r>
            <w:r w:rsidR="00CE1051" w:rsidRPr="00A6284F">
              <w:rPr>
                <w:rFonts w:eastAsia="Times New Roman"/>
                <w:color w:val="000000"/>
                <w:sz w:val="24"/>
                <w:lang w:val="sq-AL"/>
              </w:rPr>
              <w:t>me hyrjen në fuqi të një rregulloreje të ndryshuar mbi tarifat për këto shërbime. Ende nuk janë adresuar rekomandimet e raportit paraprak mbi trajtimin e barabartë të shtetasve të BE-së që përvetësojnë pasuri të paluajtshme në Kosovë dhe mbi përpjekjet në rritje e sipër për të luftuar krimin ekonomik dhe financiar.</w:t>
            </w:r>
          </w:p>
          <w:p w:rsidR="00CE1051" w:rsidRPr="00A6284F" w:rsidRDefault="00CE1051" w:rsidP="000A4761">
            <w:pPr>
              <w:spacing w:before="123" w:line="276" w:lineRule="exact"/>
              <w:ind w:left="144"/>
              <w:textAlignment w:val="baseline"/>
              <w:rPr>
                <w:rFonts w:eastAsia="Times New Roman"/>
                <w:color w:val="000000"/>
                <w:sz w:val="24"/>
                <w:lang w:val="sq-AL"/>
              </w:rPr>
            </w:pPr>
            <w:r w:rsidRPr="00A6284F">
              <w:rPr>
                <w:rFonts w:eastAsia="Times New Roman"/>
                <w:color w:val="000000"/>
                <w:sz w:val="24"/>
                <w:lang w:val="sq-AL"/>
              </w:rPr>
              <w:t>Në vitin e ardhshëm, Kosova duhet:</w:t>
            </w:r>
          </w:p>
          <w:p w:rsidR="00CE1051" w:rsidRPr="00A6284F" w:rsidRDefault="00CE1051" w:rsidP="000A4761">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ndërmerr hapa konkret në ofrimin e trajtimit shtetëror për shtetasit e BE-së që përvetësojnë pasuri të paluajtshme në Kosovë, në përputhje me MSA-në;</w:t>
            </w:r>
          </w:p>
          <w:p w:rsidR="00CE1051" w:rsidRPr="00A6284F" w:rsidRDefault="00CE1051" w:rsidP="00B12E4A">
            <w:pPr>
              <w:spacing w:before="140" w:after="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rrisë përpjekjet për të luftuar krimin ekonomik dhe financiar dhe të </w:t>
            </w:r>
            <w:r w:rsidR="00B12E4A" w:rsidRPr="00A6284F">
              <w:rPr>
                <w:rFonts w:eastAsia="Times New Roman"/>
                <w:color w:val="000000"/>
                <w:sz w:val="24"/>
                <w:lang w:val="sq-AL"/>
              </w:rPr>
              <w:t>përafrojnë</w:t>
            </w:r>
            <w:r w:rsidRPr="00A6284F">
              <w:rPr>
                <w:rFonts w:eastAsia="Times New Roman"/>
                <w:color w:val="000000"/>
                <w:sz w:val="24"/>
                <w:lang w:val="sq-AL"/>
              </w:rPr>
              <w:t xml:space="preserve"> ligjin</w:t>
            </w:r>
            <w:r w:rsidR="00661043" w:rsidRPr="00A6284F">
              <w:rPr>
                <w:rFonts w:eastAsia="Times New Roman"/>
                <w:color w:val="000000"/>
                <w:sz w:val="24"/>
                <w:lang w:val="sq-AL"/>
              </w:rPr>
              <w:t xml:space="preserve"> </w:t>
            </w:r>
            <w:r w:rsidRPr="00A6284F">
              <w:rPr>
                <w:rFonts w:eastAsia="Times New Roman"/>
                <w:color w:val="000000"/>
                <w:sz w:val="24"/>
                <w:lang w:val="sq-AL"/>
              </w:rPr>
              <w:t xml:space="preserve">për parandalimin e pastrimit të parasë dhe luftimin e financimit të terrorizmit me </w:t>
            </w:r>
            <w:r w:rsidRPr="00A6284F">
              <w:rPr>
                <w:rFonts w:eastAsia="Times New Roman"/>
                <w:i/>
                <w:color w:val="000000"/>
                <w:sz w:val="24"/>
                <w:lang w:val="sq-AL"/>
              </w:rPr>
              <w:t>acquis.</w:t>
            </w:r>
          </w:p>
        </w:tc>
      </w:tr>
    </w:tbl>
    <w:p w:rsidR="00CE1051" w:rsidRPr="00A6284F" w:rsidRDefault="00CE1051" w:rsidP="00CE1051">
      <w:pPr>
        <w:spacing w:after="98" w:line="20" w:lineRule="exact"/>
        <w:rPr>
          <w:lang w:val="sq-AL"/>
        </w:rPr>
      </w:pPr>
    </w:p>
    <w:p w:rsidR="00CE1051" w:rsidRPr="00A6284F" w:rsidRDefault="00CE1051" w:rsidP="00CE1051">
      <w:pPr>
        <w:spacing w:before="2" w:line="276" w:lineRule="exact"/>
        <w:ind w:left="144" w:right="216"/>
        <w:jc w:val="both"/>
        <w:textAlignment w:val="baseline"/>
        <w:rPr>
          <w:rFonts w:eastAsia="Times New Roman"/>
          <w:color w:val="000000"/>
          <w:sz w:val="24"/>
          <w:lang w:val="sq-AL"/>
        </w:rPr>
      </w:pPr>
      <w:r w:rsidRPr="00A6284F">
        <w:rPr>
          <w:rFonts w:eastAsia="Times New Roman"/>
          <w:color w:val="000000"/>
          <w:sz w:val="24"/>
          <w:lang w:val="sq-AL"/>
        </w:rPr>
        <w:t xml:space="preserve">Lidhur me </w:t>
      </w:r>
      <w:r w:rsidRPr="00A6284F">
        <w:rPr>
          <w:rFonts w:eastAsia="Times New Roman"/>
          <w:b/>
          <w:color w:val="000000"/>
          <w:sz w:val="24"/>
          <w:lang w:val="sq-AL"/>
        </w:rPr>
        <w:t>lëvizjen e kapitalit dhe pagesat</w:t>
      </w:r>
      <w:r w:rsidRPr="00A6284F">
        <w:rPr>
          <w:rFonts w:eastAsia="Times New Roman"/>
          <w:color w:val="000000"/>
          <w:sz w:val="24"/>
          <w:lang w:val="sq-AL"/>
        </w:rPr>
        <w:t xml:space="preserve">, lëvizja e kapitalit mbetet kryesisht e lirë në Kosovë pa kufizime ndaj pronësisë së huaj ose ndaj investimeve në sektorin financiar. Përdorimi i Numrit Ndërkombëtar të Llogarisë Bankare (IBAN) është i detyrueshëm për pagesat vendore dhe ato ndër-kufitare si dhe funksionon mirë. Ekzekutimi i pagesave dhe </w:t>
      </w:r>
      <w:proofErr w:type="spellStart"/>
      <w:r w:rsidRPr="00A6284F">
        <w:rPr>
          <w:rFonts w:eastAsia="Times New Roman"/>
          <w:color w:val="000000"/>
          <w:sz w:val="24"/>
          <w:lang w:val="sq-AL"/>
        </w:rPr>
        <w:t>transferet</w:t>
      </w:r>
      <w:proofErr w:type="spellEnd"/>
      <w:r w:rsidRPr="00A6284F">
        <w:rPr>
          <w:rFonts w:eastAsia="Times New Roman"/>
          <w:color w:val="000000"/>
          <w:sz w:val="24"/>
          <w:lang w:val="sq-AL"/>
        </w:rPr>
        <w:t xml:space="preserve"> në para janë të kufizuara në institucionet financiare bankare dhe jo-bankare të licencuara nga Banka Qendrore e Kosovës për kryerjen e këtyre aktiviteteve.</w:t>
      </w:r>
    </w:p>
    <w:p w:rsidR="00CE1051" w:rsidRPr="00A6284F" w:rsidRDefault="00CE1051" w:rsidP="00CE1051">
      <w:pPr>
        <w:spacing w:before="118" w:line="276" w:lineRule="exact"/>
        <w:ind w:left="144" w:right="216"/>
        <w:jc w:val="both"/>
        <w:textAlignment w:val="baseline"/>
        <w:rPr>
          <w:rFonts w:eastAsia="Times New Roman"/>
          <w:color w:val="000000"/>
          <w:sz w:val="24"/>
          <w:lang w:val="sq-AL"/>
        </w:rPr>
      </w:pPr>
      <w:r w:rsidRPr="00A6284F">
        <w:rPr>
          <w:rFonts w:eastAsia="Times New Roman"/>
          <w:color w:val="000000"/>
          <w:sz w:val="24"/>
          <w:lang w:val="sq-AL"/>
        </w:rPr>
        <w:t>Qeveria ka filluar të adresojë çështjen e përvetësimit të pasurisë së paluajtshme nga të huajt duke u përqendruar në të drejtat e shtetasve të BE-së. Një propozim për të ndryshuar legjislacionin përkatës është planifikuar për vitin 2019.</w:t>
      </w:r>
    </w:p>
    <w:p w:rsidR="00CE1051" w:rsidRPr="00A6284F" w:rsidRDefault="00CE1051" w:rsidP="00CE1051">
      <w:pPr>
        <w:spacing w:before="122" w:line="276" w:lineRule="exact"/>
        <w:ind w:left="144" w:right="216"/>
        <w:jc w:val="both"/>
        <w:textAlignment w:val="baseline"/>
        <w:rPr>
          <w:rFonts w:eastAsia="Times New Roman"/>
          <w:color w:val="000000"/>
          <w:sz w:val="24"/>
          <w:lang w:val="sq-AL"/>
        </w:rPr>
      </w:pPr>
      <w:r w:rsidRPr="00A6284F">
        <w:rPr>
          <w:rFonts w:eastAsia="Times New Roman"/>
          <w:color w:val="000000"/>
          <w:sz w:val="24"/>
          <w:lang w:val="sq-AL"/>
        </w:rPr>
        <w:t xml:space="preserve">Lidhur me </w:t>
      </w:r>
      <w:r w:rsidRPr="00A6284F">
        <w:rPr>
          <w:rFonts w:eastAsia="Times New Roman"/>
          <w:b/>
          <w:color w:val="000000"/>
          <w:sz w:val="24"/>
          <w:lang w:val="sq-AL"/>
        </w:rPr>
        <w:t>sistemet e pagesave</w:t>
      </w:r>
      <w:r w:rsidRPr="00A6284F">
        <w:rPr>
          <w:rFonts w:eastAsia="Times New Roman"/>
          <w:color w:val="000000"/>
          <w:sz w:val="24"/>
          <w:lang w:val="sq-AL"/>
        </w:rPr>
        <w:t>, ndryshimet e bëra në rregulloren për sistemin e pagesave ndër</w:t>
      </w:r>
      <w:r w:rsidR="00EA12B0" w:rsidRPr="00A6284F">
        <w:rPr>
          <w:rFonts w:eastAsia="Times New Roman"/>
          <w:color w:val="000000"/>
          <w:sz w:val="24"/>
          <w:lang w:val="sq-AL"/>
        </w:rPr>
        <w:t>-</w:t>
      </w:r>
      <w:r w:rsidRPr="00A6284F">
        <w:rPr>
          <w:rFonts w:eastAsia="Times New Roman"/>
          <w:color w:val="000000"/>
          <w:sz w:val="24"/>
          <w:lang w:val="sq-AL"/>
        </w:rPr>
        <w:t>bankare e cila ka hyrë në fuqi në gusht të v</w:t>
      </w:r>
      <w:r w:rsidR="00EA12B0" w:rsidRPr="00A6284F">
        <w:rPr>
          <w:rFonts w:eastAsia="Times New Roman"/>
          <w:color w:val="000000"/>
          <w:sz w:val="24"/>
          <w:lang w:val="sq-AL"/>
        </w:rPr>
        <w:t>itit 2018 e</w:t>
      </w:r>
      <w:r w:rsidRPr="00A6284F">
        <w:rPr>
          <w:rFonts w:eastAsia="Times New Roman"/>
          <w:color w:val="000000"/>
          <w:sz w:val="24"/>
          <w:lang w:val="sq-AL"/>
        </w:rPr>
        <w:t xml:space="preserve"> ndalojnë ngarkimin e tarifave për </w:t>
      </w:r>
      <w:proofErr w:type="spellStart"/>
      <w:r w:rsidRPr="00A6284F">
        <w:rPr>
          <w:rFonts w:eastAsia="Times New Roman"/>
          <w:color w:val="000000"/>
          <w:sz w:val="24"/>
          <w:lang w:val="sq-AL"/>
        </w:rPr>
        <w:t>transferet</w:t>
      </w:r>
      <w:proofErr w:type="spellEnd"/>
      <w:r w:rsidRPr="00A6284F">
        <w:rPr>
          <w:rFonts w:eastAsia="Times New Roman"/>
          <w:color w:val="000000"/>
          <w:sz w:val="24"/>
          <w:lang w:val="sq-AL"/>
        </w:rPr>
        <w:t xml:space="preserve"> </w:t>
      </w:r>
      <w:r w:rsidR="00EA12B0" w:rsidRPr="00A6284F">
        <w:rPr>
          <w:rFonts w:eastAsia="Times New Roman"/>
          <w:color w:val="000000"/>
          <w:sz w:val="24"/>
          <w:lang w:val="sq-AL"/>
        </w:rPr>
        <w:t>lokale</w:t>
      </w:r>
      <w:r w:rsidRPr="00A6284F">
        <w:rPr>
          <w:rFonts w:eastAsia="Times New Roman"/>
          <w:color w:val="000000"/>
          <w:sz w:val="24"/>
          <w:lang w:val="sq-AL"/>
        </w:rPr>
        <w:t xml:space="preserve"> hyrëse të përpunuara përmes sistemit të pagesave </w:t>
      </w:r>
      <w:proofErr w:type="spellStart"/>
      <w:r w:rsidRPr="00A6284F">
        <w:rPr>
          <w:rFonts w:eastAsia="Times New Roman"/>
          <w:color w:val="000000"/>
          <w:sz w:val="24"/>
          <w:lang w:val="sq-AL"/>
        </w:rPr>
        <w:t>ndërbankare</w:t>
      </w:r>
      <w:proofErr w:type="spellEnd"/>
      <w:r w:rsidRPr="00A6284F">
        <w:rPr>
          <w:rFonts w:eastAsia="Times New Roman"/>
          <w:color w:val="000000"/>
          <w:sz w:val="24"/>
          <w:lang w:val="sq-AL"/>
        </w:rPr>
        <w:t>.</w:t>
      </w:r>
    </w:p>
    <w:p w:rsidR="00CE1051" w:rsidRPr="00A6284F" w:rsidRDefault="00CE1051" w:rsidP="00CE1051">
      <w:pPr>
        <w:spacing w:before="120" w:after="355" w:line="276" w:lineRule="exact"/>
        <w:ind w:left="144" w:right="216"/>
        <w:jc w:val="both"/>
        <w:textAlignment w:val="baseline"/>
        <w:rPr>
          <w:rFonts w:eastAsia="Times New Roman"/>
          <w:color w:val="000000"/>
          <w:sz w:val="24"/>
          <w:lang w:val="sq-AL"/>
        </w:rPr>
      </w:pPr>
      <w:r w:rsidRPr="00A6284F">
        <w:rPr>
          <w:rFonts w:eastAsia="Times New Roman"/>
          <w:color w:val="000000"/>
          <w:spacing w:val="-1"/>
          <w:sz w:val="24"/>
          <w:lang w:val="sq-AL"/>
        </w:rPr>
        <w:t xml:space="preserve">Lidhur </w:t>
      </w:r>
      <w:r w:rsidRPr="00A6284F">
        <w:rPr>
          <w:rFonts w:eastAsia="Times New Roman"/>
          <w:b/>
          <w:color w:val="000000"/>
          <w:spacing w:val="-1"/>
          <w:sz w:val="24"/>
          <w:lang w:val="sq-AL"/>
        </w:rPr>
        <w:t>me parandalimin e pastrimit të parasë dhe financimit të terrorizmit</w:t>
      </w:r>
      <w:r w:rsidRPr="00A6284F">
        <w:rPr>
          <w:rFonts w:eastAsia="Times New Roman"/>
          <w:color w:val="000000"/>
          <w:spacing w:val="-1"/>
          <w:sz w:val="24"/>
          <w:lang w:val="sq-AL"/>
        </w:rPr>
        <w:t xml:space="preserve">, autoritetet kanë realizuar një vlerësim të përgjithshëm dhe tre vlerësime sektoriale të rrezikut për sektorin </w:t>
      </w:r>
      <w:r w:rsidRPr="00A6284F">
        <w:rPr>
          <w:rFonts w:eastAsia="Times New Roman"/>
          <w:color w:val="000000"/>
          <w:spacing w:val="-1"/>
          <w:sz w:val="24"/>
          <w:lang w:val="sq-AL"/>
        </w:rPr>
        <w:lastRenderedPageBreak/>
        <w:t xml:space="preserve">e ndërtimtarisë dhe </w:t>
      </w:r>
      <w:r w:rsidR="00EA12B0" w:rsidRPr="00A6284F">
        <w:rPr>
          <w:rFonts w:eastAsia="Times New Roman"/>
          <w:color w:val="000000"/>
          <w:spacing w:val="-1"/>
          <w:sz w:val="24"/>
          <w:lang w:val="sq-AL"/>
        </w:rPr>
        <w:t>lojërave të fatit</w:t>
      </w:r>
      <w:r w:rsidRPr="00A6284F">
        <w:rPr>
          <w:rFonts w:eastAsia="Times New Roman"/>
          <w:color w:val="000000"/>
          <w:spacing w:val="-1"/>
          <w:sz w:val="24"/>
          <w:lang w:val="sq-AL"/>
        </w:rPr>
        <w:t xml:space="preserve"> si dhe për organizatat jofitimprurëse. Ligji për parandalimin e pastrimit të parasë dhe luftimin e financimit të terrorizmit pjesërisht është në përputhje me </w:t>
      </w:r>
      <w:r w:rsidRPr="00A6284F">
        <w:rPr>
          <w:rFonts w:eastAsia="Times New Roman"/>
          <w:i/>
          <w:color w:val="000000"/>
          <w:spacing w:val="-1"/>
          <w:sz w:val="24"/>
          <w:lang w:val="sq-AL"/>
        </w:rPr>
        <w:t>acquis</w:t>
      </w:r>
      <w:r w:rsidRPr="00A6284F">
        <w:rPr>
          <w:rFonts w:eastAsia="Times New Roman"/>
          <w:color w:val="000000"/>
          <w:spacing w:val="-1"/>
          <w:sz w:val="24"/>
          <w:lang w:val="sq-AL"/>
        </w:rPr>
        <w:t xml:space="preserve"> dhe me rekomandimet e </w:t>
      </w:r>
      <w:proofErr w:type="spellStart"/>
      <w:r w:rsidRPr="00A6284F">
        <w:rPr>
          <w:rFonts w:eastAsia="Times New Roman"/>
          <w:color w:val="000000"/>
          <w:spacing w:val="-1"/>
          <w:sz w:val="24"/>
          <w:lang w:val="sq-AL"/>
        </w:rPr>
        <w:t>Task</w:t>
      </w:r>
      <w:proofErr w:type="spellEnd"/>
      <w:r w:rsidRPr="00A6284F">
        <w:rPr>
          <w:rFonts w:eastAsia="Times New Roman"/>
          <w:color w:val="000000"/>
          <w:spacing w:val="-1"/>
          <w:sz w:val="24"/>
          <w:lang w:val="sq-AL"/>
        </w:rPr>
        <w:t xml:space="preserve"> Forcës së Veprimit Financiar. Bashkëpunimi ndër-institucional në luftën kundër krimit ekonomik dhe financiar duhet të forcohet për të siguruar hetimin dhe ndjekjen e duhur të veprave penale</w:t>
      </w:r>
      <w:r w:rsidRPr="00A6284F">
        <w:rPr>
          <w:rFonts w:eastAsia="Times New Roman"/>
          <w:color w:val="000000"/>
          <w:sz w:val="24"/>
          <w:lang w:val="sq-AL"/>
        </w:rPr>
        <w:t xml:space="preserve"> (</w:t>
      </w:r>
      <w:r w:rsidRPr="00A6284F">
        <w:rPr>
          <w:rFonts w:eastAsia="Times New Roman"/>
          <w:i/>
          <w:color w:val="000000"/>
          <w:sz w:val="24"/>
          <w:lang w:val="sq-AL"/>
        </w:rPr>
        <w:t>Shih gjithashtu seksionin 2.2.2 – Drejtësia, Liria, Siguria</w:t>
      </w:r>
      <w:r w:rsidRPr="00A6284F">
        <w:rPr>
          <w:rFonts w:eastAsia="Times New Roman"/>
          <w:color w:val="000000"/>
          <w:sz w:val="24"/>
          <w:lang w:val="sq-AL"/>
        </w:rPr>
        <w:t>).</w:t>
      </w:r>
    </w:p>
    <w:p w:rsidR="00CE1051" w:rsidRPr="00A6284F" w:rsidRDefault="00CE1051" w:rsidP="00CE1051">
      <w:pPr>
        <w:tabs>
          <w:tab w:val="left" w:pos="864"/>
        </w:tabs>
        <w:spacing w:before="129" w:after="111" w:line="273" w:lineRule="exact"/>
        <w:ind w:left="144" w:right="72"/>
        <w:textAlignment w:val="baseline"/>
        <w:rPr>
          <w:rFonts w:eastAsia="Times New Roman"/>
          <w:b/>
          <w:color w:val="000000"/>
          <w:spacing w:val="-1"/>
          <w:sz w:val="24"/>
          <w:lang w:val="sq-AL"/>
        </w:rPr>
      </w:pPr>
      <w:r w:rsidRPr="00A6284F">
        <w:rPr>
          <w:rFonts w:eastAsia="Times New Roman"/>
          <w:b/>
          <w:color w:val="000000"/>
          <w:spacing w:val="-1"/>
          <w:sz w:val="24"/>
          <w:lang w:val="sq-AL"/>
        </w:rPr>
        <w:t>6.4.</w:t>
      </w:r>
      <w:r w:rsidRPr="00A6284F">
        <w:rPr>
          <w:rFonts w:eastAsia="Times New Roman"/>
          <w:b/>
          <w:color w:val="000000"/>
          <w:spacing w:val="-1"/>
          <w:sz w:val="24"/>
          <w:lang w:val="sq-AL"/>
        </w:rPr>
        <w:tab/>
        <w:t>Shërbimet financiare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CE1051" w:rsidRPr="00A6284F" w:rsidTr="000A4761">
        <w:trPr>
          <w:trHeight w:hRule="exact" w:val="3751"/>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EA12B0" w:rsidP="000A4761">
            <w:pPr>
              <w:spacing w:before="22"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përgatitje mesatare</w:t>
            </w:r>
            <w:r w:rsidRPr="00A6284F">
              <w:rPr>
                <w:rFonts w:eastAsia="Times New Roman"/>
                <w:color w:val="000000"/>
                <w:sz w:val="24"/>
                <w:lang w:val="sq-AL"/>
              </w:rPr>
              <w:t xml:space="preserve"> në fushën e shërbimeve financiare</w:t>
            </w:r>
            <w:r w:rsidR="00CE1051" w:rsidRPr="00A6284F">
              <w:rPr>
                <w:rFonts w:eastAsia="Times New Roman"/>
                <w:color w:val="000000"/>
                <w:sz w:val="24"/>
                <w:lang w:val="sq-AL"/>
              </w:rPr>
              <w:t xml:space="preserve">. Është bërë </w:t>
            </w:r>
            <w:r w:rsidR="00CE1051" w:rsidRPr="00A6284F">
              <w:rPr>
                <w:rFonts w:eastAsia="Times New Roman"/>
                <w:b/>
                <w:color w:val="000000"/>
                <w:sz w:val="24"/>
                <w:lang w:val="sq-AL"/>
              </w:rPr>
              <w:t>pak progres</w:t>
            </w:r>
            <w:r w:rsidR="00CE1051" w:rsidRPr="00A6284F">
              <w:rPr>
                <w:rFonts w:eastAsia="Times New Roman"/>
                <w:color w:val="000000"/>
                <w:sz w:val="24"/>
                <w:lang w:val="sq-AL"/>
              </w:rPr>
              <w:t xml:space="preserve"> në zbatimin e rekomandimeve të vitit të kaluar me miratimin e Ligjit për kontabilitet, raportim financiar dhe auditim.</w:t>
            </w:r>
          </w:p>
          <w:p w:rsidR="00CE1051" w:rsidRPr="00A6284F" w:rsidRDefault="00CE1051" w:rsidP="000A4761">
            <w:pPr>
              <w:spacing w:before="117" w:line="276" w:lineRule="exact"/>
              <w:ind w:left="144" w:right="72"/>
              <w:textAlignment w:val="baseline"/>
              <w:rPr>
                <w:rFonts w:eastAsia="Times New Roman"/>
                <w:color w:val="000000"/>
                <w:sz w:val="24"/>
                <w:lang w:val="sq-AL"/>
              </w:rPr>
            </w:pPr>
            <w:r w:rsidRPr="00A6284F">
              <w:rPr>
                <w:rFonts w:eastAsia="Times New Roman"/>
                <w:color w:val="000000"/>
                <w:sz w:val="24"/>
                <w:lang w:val="sq-AL"/>
              </w:rPr>
              <w:t xml:space="preserve">Në vitin e ardhshëm, Kosova duhet </w:t>
            </w:r>
            <w:r w:rsidR="00D327DA" w:rsidRPr="00A6284F">
              <w:rPr>
                <w:rFonts w:eastAsia="Times New Roman"/>
                <w:color w:val="000000"/>
                <w:sz w:val="24"/>
                <w:lang w:val="sq-AL"/>
              </w:rPr>
              <w:t>posaçërisht:</w:t>
            </w:r>
          </w:p>
          <w:p w:rsidR="00CE1051" w:rsidRPr="00A6284F" w:rsidRDefault="00CE1051" w:rsidP="000A4761">
            <w:pPr>
              <w:spacing w:before="139" w:line="276" w:lineRule="exact"/>
              <w:ind w:left="504" w:right="72" w:hanging="360"/>
              <w:jc w:val="both"/>
              <w:textAlignment w:val="baseline"/>
              <w:rPr>
                <w:rFonts w:ascii="Arial Narrow" w:eastAsia="Arial Narrow" w:hAnsi="Arial Narrow"/>
                <w:color w:val="000000"/>
                <w:spacing w:val="3"/>
                <w:lang w:val="sq-AL"/>
              </w:rPr>
            </w:pPr>
            <w:r w:rsidRPr="00A6284F">
              <w:rPr>
                <w:rFonts w:ascii="Arial Narrow" w:eastAsia="Arial Narrow" w:hAnsi="Arial Narrow"/>
                <w:color w:val="000000"/>
                <w:spacing w:val="3"/>
                <w:lang w:val="sq-AL"/>
              </w:rPr>
              <w:t xml:space="preserve">-* </w:t>
            </w:r>
            <w:r w:rsidR="001D57ED" w:rsidRPr="00A6284F">
              <w:rPr>
                <w:rFonts w:eastAsia="Times New Roman"/>
                <w:color w:val="000000"/>
                <w:spacing w:val="3"/>
                <w:sz w:val="24"/>
                <w:lang w:val="sq-AL"/>
              </w:rPr>
              <w:t xml:space="preserve">të </w:t>
            </w:r>
            <w:proofErr w:type="spellStart"/>
            <w:r w:rsidR="001D57ED" w:rsidRPr="00A6284F">
              <w:rPr>
                <w:rFonts w:eastAsia="Times New Roman"/>
                <w:color w:val="000000"/>
                <w:spacing w:val="3"/>
                <w:sz w:val="24"/>
                <w:lang w:val="sq-AL"/>
              </w:rPr>
              <w:t>implementoj</w:t>
            </w:r>
            <w:proofErr w:type="spellEnd"/>
            <w:r w:rsidRPr="00A6284F">
              <w:rPr>
                <w:rFonts w:eastAsia="Times New Roman"/>
                <w:color w:val="000000"/>
                <w:spacing w:val="3"/>
                <w:sz w:val="24"/>
                <w:lang w:val="sq-AL"/>
              </w:rPr>
              <w:t xml:space="preserve"> dhe zbatojë plotësisht masat e </w:t>
            </w:r>
            <w:proofErr w:type="spellStart"/>
            <w:r w:rsidR="00EA12B0" w:rsidRPr="00A6284F">
              <w:rPr>
                <w:rFonts w:eastAsia="Times New Roman"/>
                <w:color w:val="000000"/>
                <w:spacing w:val="3"/>
                <w:sz w:val="24"/>
                <w:lang w:val="sq-AL"/>
              </w:rPr>
              <w:t>Solvencës</w:t>
            </w:r>
            <w:proofErr w:type="spellEnd"/>
            <w:r w:rsidRPr="00A6284F">
              <w:rPr>
                <w:rFonts w:eastAsia="Times New Roman"/>
                <w:color w:val="000000"/>
                <w:spacing w:val="3"/>
                <w:sz w:val="24"/>
                <w:lang w:val="sq-AL"/>
              </w:rPr>
              <w:t xml:space="preserve"> I; të fillojë të </w:t>
            </w:r>
            <w:proofErr w:type="spellStart"/>
            <w:r w:rsidRPr="00A6284F">
              <w:rPr>
                <w:rFonts w:eastAsia="Times New Roman"/>
                <w:color w:val="000000"/>
                <w:spacing w:val="3"/>
                <w:sz w:val="24"/>
                <w:lang w:val="sq-AL"/>
              </w:rPr>
              <w:t>implementojë</w:t>
            </w:r>
            <w:proofErr w:type="spellEnd"/>
            <w:r w:rsidRPr="00A6284F">
              <w:rPr>
                <w:rFonts w:eastAsia="Times New Roman"/>
                <w:color w:val="000000"/>
                <w:spacing w:val="3"/>
                <w:sz w:val="24"/>
                <w:lang w:val="sq-AL"/>
              </w:rPr>
              <w:t xml:space="preserve"> masat e </w:t>
            </w:r>
            <w:proofErr w:type="spellStart"/>
            <w:r w:rsidR="00EA12B0" w:rsidRPr="00A6284F">
              <w:rPr>
                <w:rFonts w:eastAsia="Times New Roman"/>
                <w:color w:val="000000"/>
                <w:spacing w:val="3"/>
                <w:sz w:val="24"/>
                <w:lang w:val="sq-AL"/>
              </w:rPr>
              <w:t>Solvencës</w:t>
            </w:r>
            <w:proofErr w:type="spellEnd"/>
            <w:r w:rsidR="00EA12B0" w:rsidRPr="00A6284F">
              <w:rPr>
                <w:rFonts w:eastAsia="Times New Roman"/>
                <w:color w:val="000000"/>
                <w:spacing w:val="3"/>
                <w:sz w:val="24"/>
                <w:lang w:val="sq-AL"/>
              </w:rPr>
              <w:t xml:space="preserve"> </w:t>
            </w:r>
            <w:r w:rsidRPr="00A6284F">
              <w:rPr>
                <w:rFonts w:eastAsia="Times New Roman"/>
                <w:color w:val="000000"/>
                <w:spacing w:val="3"/>
                <w:sz w:val="24"/>
                <w:lang w:val="sq-AL"/>
              </w:rPr>
              <w:t>II;</w:t>
            </w:r>
          </w:p>
          <w:p w:rsidR="00CE1051" w:rsidRPr="00A6284F" w:rsidRDefault="00CE1051" w:rsidP="000A4761">
            <w:pPr>
              <w:spacing w:before="138"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avanco</w:t>
            </w:r>
            <w:r w:rsidR="00967CBF" w:rsidRPr="00A6284F">
              <w:rPr>
                <w:rFonts w:eastAsia="Times New Roman"/>
                <w:color w:val="000000"/>
                <w:sz w:val="24"/>
                <w:lang w:val="sq-AL"/>
              </w:rPr>
              <w:t xml:space="preserve">j </w:t>
            </w:r>
            <w:r w:rsidRPr="00A6284F">
              <w:rPr>
                <w:rFonts w:eastAsia="Times New Roman"/>
                <w:color w:val="000000"/>
                <w:sz w:val="24"/>
                <w:lang w:val="sq-AL"/>
              </w:rPr>
              <w:t xml:space="preserve">në </w:t>
            </w:r>
            <w:proofErr w:type="spellStart"/>
            <w:r w:rsidRPr="00A6284F">
              <w:rPr>
                <w:rFonts w:eastAsia="Times New Roman"/>
                <w:color w:val="000000"/>
                <w:sz w:val="24"/>
                <w:lang w:val="sq-AL"/>
              </w:rPr>
              <w:t>inkorporimin</w:t>
            </w:r>
            <w:proofErr w:type="spellEnd"/>
            <w:r w:rsidRPr="00A6284F">
              <w:rPr>
                <w:rFonts w:eastAsia="Times New Roman"/>
                <w:color w:val="000000"/>
                <w:sz w:val="24"/>
                <w:lang w:val="sq-AL"/>
              </w:rPr>
              <w:t xml:space="preserve"> e kornizës </w:t>
            </w:r>
            <w:r w:rsidR="00967CBF" w:rsidRPr="00A6284F">
              <w:rPr>
                <w:rFonts w:eastAsia="Times New Roman"/>
                <w:color w:val="000000"/>
                <w:sz w:val="24"/>
                <w:lang w:val="sq-AL"/>
              </w:rPr>
              <w:t xml:space="preserve">së </w:t>
            </w:r>
            <w:proofErr w:type="spellStart"/>
            <w:r w:rsidRPr="00A6284F">
              <w:rPr>
                <w:rFonts w:eastAsia="Times New Roman"/>
                <w:color w:val="000000"/>
                <w:sz w:val="24"/>
                <w:lang w:val="sq-AL"/>
              </w:rPr>
              <w:t>Basel</w:t>
            </w:r>
            <w:proofErr w:type="spellEnd"/>
            <w:r w:rsidRPr="00A6284F">
              <w:rPr>
                <w:rFonts w:eastAsia="Times New Roman"/>
                <w:color w:val="000000"/>
                <w:sz w:val="24"/>
                <w:lang w:val="sq-AL"/>
              </w:rPr>
              <w:t xml:space="preserve"> III (Rregullorja dhe Direktiva për Kërkesat e kapitalit) dhe të fillojë të bëjë </w:t>
            </w:r>
            <w:r w:rsidR="00967CBF" w:rsidRPr="00A6284F">
              <w:rPr>
                <w:rFonts w:eastAsia="Times New Roman"/>
                <w:color w:val="000000"/>
                <w:sz w:val="24"/>
                <w:lang w:val="sq-AL"/>
              </w:rPr>
              <w:t xml:space="preserve">përafrimin e </w:t>
            </w:r>
            <w:r w:rsidRPr="00A6284F">
              <w:rPr>
                <w:rFonts w:eastAsia="Times New Roman"/>
                <w:color w:val="000000"/>
                <w:sz w:val="24"/>
                <w:lang w:val="sq-AL"/>
              </w:rPr>
              <w:t>k</w:t>
            </w:r>
            <w:r w:rsidR="00967CBF" w:rsidRPr="00A6284F">
              <w:rPr>
                <w:rFonts w:eastAsia="Times New Roman"/>
                <w:color w:val="000000"/>
                <w:sz w:val="24"/>
                <w:lang w:val="sq-AL"/>
              </w:rPr>
              <w:t xml:space="preserve">ornizës </w:t>
            </w:r>
            <w:r w:rsidRPr="00A6284F">
              <w:rPr>
                <w:rFonts w:eastAsia="Times New Roman"/>
                <w:color w:val="000000"/>
                <w:sz w:val="24"/>
                <w:lang w:val="sq-AL"/>
              </w:rPr>
              <w:t>ligjor</w:t>
            </w:r>
            <w:r w:rsidR="00967CBF" w:rsidRPr="00A6284F">
              <w:rPr>
                <w:rFonts w:eastAsia="Times New Roman"/>
                <w:color w:val="000000"/>
                <w:sz w:val="24"/>
                <w:lang w:val="sq-AL"/>
              </w:rPr>
              <w:t>e</w:t>
            </w:r>
            <w:r w:rsidRPr="00A6284F">
              <w:rPr>
                <w:rFonts w:eastAsia="Times New Roman"/>
                <w:color w:val="000000"/>
                <w:sz w:val="24"/>
                <w:lang w:val="sq-AL"/>
              </w:rPr>
              <w:t xml:space="preserve"> për institucionet </w:t>
            </w:r>
            <w:proofErr w:type="spellStart"/>
            <w:r w:rsidRPr="00A6284F">
              <w:rPr>
                <w:rFonts w:eastAsia="Times New Roman"/>
                <w:color w:val="000000"/>
                <w:sz w:val="24"/>
                <w:lang w:val="sq-AL"/>
              </w:rPr>
              <w:t>mikro</w:t>
            </w:r>
            <w:proofErr w:type="spellEnd"/>
            <w:r w:rsidR="00EA12B0" w:rsidRPr="00A6284F">
              <w:rPr>
                <w:rFonts w:eastAsia="Times New Roman"/>
                <w:color w:val="000000"/>
                <w:sz w:val="24"/>
                <w:lang w:val="sq-AL"/>
              </w:rPr>
              <w:t>-</w:t>
            </w:r>
            <w:r w:rsidRPr="00A6284F">
              <w:rPr>
                <w:rFonts w:eastAsia="Times New Roman"/>
                <w:color w:val="000000"/>
                <w:sz w:val="24"/>
                <w:lang w:val="sq-AL"/>
              </w:rPr>
              <w:t xml:space="preserve">financiare dhe institucionet financiare jo bankare me </w:t>
            </w:r>
            <w:r w:rsidRPr="00A6284F">
              <w:rPr>
                <w:rFonts w:eastAsia="Times New Roman"/>
                <w:i/>
                <w:color w:val="000000"/>
                <w:sz w:val="24"/>
                <w:lang w:val="sq-AL"/>
              </w:rPr>
              <w:t>acquis</w:t>
            </w:r>
            <w:r w:rsidRPr="00A6284F">
              <w:rPr>
                <w:rFonts w:eastAsia="Times New Roman"/>
                <w:color w:val="000000"/>
                <w:sz w:val="24"/>
                <w:lang w:val="sq-AL"/>
              </w:rPr>
              <w:t>;</w:t>
            </w:r>
          </w:p>
          <w:p w:rsidR="00CE1051" w:rsidRPr="00A6284F" w:rsidRDefault="00CE1051" w:rsidP="000A4761">
            <w:pPr>
              <w:spacing w:before="138" w:after="125"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përmirësojë koordinimin ndër-institucional për të adresuar çështjen e automjeteve të pasiguruara dhe të paregjistruara.</w:t>
            </w:r>
          </w:p>
        </w:tc>
      </w:tr>
    </w:tbl>
    <w:p w:rsidR="00CE1051" w:rsidRPr="00A6284F" w:rsidRDefault="00EA12B0" w:rsidP="00CE1051">
      <w:pPr>
        <w:spacing w:before="1" w:line="276" w:lineRule="exact"/>
        <w:ind w:left="144" w:right="72"/>
        <w:jc w:val="both"/>
        <w:textAlignment w:val="baseline"/>
        <w:rPr>
          <w:rFonts w:eastAsia="Times New Roman"/>
          <w:color w:val="000000"/>
          <w:spacing w:val="1"/>
          <w:sz w:val="24"/>
          <w:lang w:val="sq-AL"/>
        </w:rPr>
      </w:pPr>
      <w:r w:rsidRPr="00A6284F">
        <w:rPr>
          <w:rFonts w:eastAsia="Times New Roman"/>
          <w:color w:val="000000"/>
          <w:spacing w:val="1"/>
          <w:sz w:val="24"/>
          <w:lang w:val="sq-AL"/>
        </w:rPr>
        <w:t>Tek</w:t>
      </w:r>
      <w:r w:rsidR="00CE1051" w:rsidRPr="00A6284F">
        <w:rPr>
          <w:rFonts w:eastAsia="Times New Roman"/>
          <w:color w:val="000000"/>
          <w:spacing w:val="1"/>
          <w:sz w:val="24"/>
          <w:lang w:val="sq-AL"/>
        </w:rPr>
        <w:t xml:space="preserve"> </w:t>
      </w:r>
      <w:r w:rsidR="00CE1051" w:rsidRPr="00A6284F">
        <w:rPr>
          <w:rFonts w:eastAsia="Times New Roman"/>
          <w:b/>
          <w:color w:val="000000"/>
          <w:spacing w:val="1"/>
          <w:sz w:val="24"/>
          <w:lang w:val="sq-AL"/>
        </w:rPr>
        <w:t xml:space="preserve">bankat dhe </w:t>
      </w:r>
      <w:proofErr w:type="spellStart"/>
      <w:r w:rsidR="00CE1051" w:rsidRPr="00A6284F">
        <w:rPr>
          <w:rFonts w:eastAsia="Times New Roman"/>
          <w:b/>
          <w:color w:val="000000"/>
          <w:spacing w:val="1"/>
          <w:sz w:val="24"/>
          <w:lang w:val="sq-AL"/>
        </w:rPr>
        <w:t>konglomerat</w:t>
      </w:r>
      <w:r w:rsidR="00E4050A" w:rsidRPr="00A6284F">
        <w:rPr>
          <w:rFonts w:eastAsia="Times New Roman"/>
          <w:b/>
          <w:color w:val="000000"/>
          <w:spacing w:val="1"/>
          <w:sz w:val="24"/>
          <w:lang w:val="sq-AL"/>
        </w:rPr>
        <w:t>e</w:t>
      </w:r>
      <w:r w:rsidR="00CE1051" w:rsidRPr="00A6284F">
        <w:rPr>
          <w:rFonts w:eastAsia="Times New Roman"/>
          <w:b/>
          <w:color w:val="000000"/>
          <w:spacing w:val="1"/>
          <w:sz w:val="24"/>
          <w:lang w:val="sq-AL"/>
        </w:rPr>
        <w:t>t</w:t>
      </w:r>
      <w:proofErr w:type="spellEnd"/>
      <w:r w:rsidR="00CE1051" w:rsidRPr="00A6284F">
        <w:rPr>
          <w:rFonts w:eastAsia="Times New Roman"/>
          <w:b/>
          <w:color w:val="000000"/>
          <w:spacing w:val="1"/>
          <w:sz w:val="24"/>
          <w:lang w:val="sq-AL"/>
        </w:rPr>
        <w:t xml:space="preserve"> financiare</w:t>
      </w:r>
      <w:r w:rsidR="00CE1051" w:rsidRPr="00A6284F">
        <w:rPr>
          <w:rFonts w:eastAsia="Times New Roman"/>
          <w:color w:val="000000"/>
          <w:spacing w:val="1"/>
          <w:sz w:val="24"/>
          <w:lang w:val="sq-AL"/>
        </w:rPr>
        <w:t xml:space="preserve">, është bërë pak progres në zbatimin e legjislacionit mbi mbikëqyrjen bankare, </w:t>
      </w:r>
      <w:r w:rsidR="00E4050A" w:rsidRPr="00A6284F">
        <w:rPr>
          <w:rFonts w:eastAsia="Times New Roman"/>
          <w:color w:val="000000"/>
          <w:spacing w:val="1"/>
          <w:sz w:val="24"/>
          <w:lang w:val="sq-AL"/>
        </w:rPr>
        <w:t xml:space="preserve">që </w:t>
      </w:r>
      <w:r w:rsidR="00CE1051" w:rsidRPr="00A6284F">
        <w:rPr>
          <w:rFonts w:eastAsia="Times New Roman"/>
          <w:color w:val="000000"/>
          <w:spacing w:val="1"/>
          <w:sz w:val="24"/>
          <w:lang w:val="sq-AL"/>
        </w:rPr>
        <w:t xml:space="preserve">synon të forcojë qeverisjen </w:t>
      </w:r>
      <w:r w:rsidR="00E4050A" w:rsidRPr="00A6284F">
        <w:rPr>
          <w:rFonts w:eastAsia="Times New Roman"/>
          <w:color w:val="000000"/>
          <w:spacing w:val="1"/>
          <w:sz w:val="24"/>
          <w:lang w:val="sq-AL"/>
        </w:rPr>
        <w:t xml:space="preserve">korporatave </w:t>
      </w:r>
      <w:r w:rsidR="00CE1051" w:rsidRPr="00A6284F">
        <w:rPr>
          <w:rFonts w:eastAsia="Times New Roman"/>
          <w:color w:val="000000"/>
          <w:spacing w:val="1"/>
          <w:sz w:val="24"/>
          <w:lang w:val="sq-AL"/>
        </w:rPr>
        <w:t>dhe menaxhimin e r</w:t>
      </w:r>
      <w:r w:rsidR="00E4050A" w:rsidRPr="00A6284F">
        <w:rPr>
          <w:rFonts w:eastAsia="Times New Roman"/>
          <w:color w:val="000000"/>
          <w:spacing w:val="1"/>
          <w:sz w:val="24"/>
          <w:lang w:val="sq-AL"/>
        </w:rPr>
        <w:t xml:space="preserve">iskut </w:t>
      </w:r>
      <w:r w:rsidR="00CE1051" w:rsidRPr="00A6284F">
        <w:rPr>
          <w:rFonts w:eastAsia="Times New Roman"/>
          <w:color w:val="000000"/>
          <w:spacing w:val="1"/>
          <w:sz w:val="24"/>
          <w:lang w:val="sq-AL"/>
        </w:rPr>
        <w:t xml:space="preserve">kreditor. Mekanizmi i </w:t>
      </w:r>
      <w:r w:rsidR="00E4050A" w:rsidRPr="00A6284F">
        <w:rPr>
          <w:rFonts w:eastAsia="Times New Roman"/>
          <w:color w:val="000000"/>
          <w:spacing w:val="1"/>
          <w:sz w:val="24"/>
          <w:lang w:val="sq-AL"/>
        </w:rPr>
        <w:t>v</w:t>
      </w:r>
      <w:r w:rsidR="00CE1051" w:rsidRPr="00A6284F">
        <w:rPr>
          <w:rFonts w:eastAsia="Times New Roman"/>
          <w:color w:val="000000"/>
          <w:spacing w:val="1"/>
          <w:sz w:val="24"/>
          <w:lang w:val="sq-AL"/>
        </w:rPr>
        <w:t xml:space="preserve">etëm </w:t>
      </w:r>
      <w:r w:rsidR="00E4050A" w:rsidRPr="00A6284F">
        <w:rPr>
          <w:rFonts w:eastAsia="Times New Roman"/>
          <w:color w:val="000000"/>
          <w:spacing w:val="1"/>
          <w:sz w:val="24"/>
          <w:lang w:val="sq-AL"/>
        </w:rPr>
        <w:t>m</w:t>
      </w:r>
      <w:r w:rsidR="00CE1051" w:rsidRPr="00A6284F">
        <w:rPr>
          <w:rFonts w:eastAsia="Times New Roman"/>
          <w:color w:val="000000"/>
          <w:spacing w:val="1"/>
          <w:sz w:val="24"/>
          <w:lang w:val="sq-AL"/>
        </w:rPr>
        <w:t xml:space="preserve">bikëqyrës i </w:t>
      </w:r>
      <w:r w:rsidR="00E4050A" w:rsidRPr="00A6284F">
        <w:rPr>
          <w:rFonts w:eastAsia="Times New Roman"/>
          <w:color w:val="000000"/>
          <w:spacing w:val="1"/>
          <w:sz w:val="24"/>
          <w:lang w:val="sq-AL"/>
        </w:rPr>
        <w:t xml:space="preserve">Bankës Qendrore Evropiane </w:t>
      </w:r>
      <w:r w:rsidR="00CE1051" w:rsidRPr="00A6284F">
        <w:rPr>
          <w:rFonts w:eastAsia="Times New Roman"/>
          <w:color w:val="000000"/>
          <w:spacing w:val="1"/>
          <w:sz w:val="24"/>
          <w:lang w:val="sq-AL"/>
        </w:rPr>
        <w:t>dhe Bank</w:t>
      </w:r>
      <w:r w:rsidR="00E4050A" w:rsidRPr="00A6284F">
        <w:rPr>
          <w:rFonts w:eastAsia="Times New Roman"/>
          <w:color w:val="000000"/>
          <w:spacing w:val="1"/>
          <w:sz w:val="24"/>
          <w:lang w:val="sq-AL"/>
        </w:rPr>
        <w:t xml:space="preserve">a </w:t>
      </w:r>
      <w:r w:rsidR="00CE1051" w:rsidRPr="00A6284F">
        <w:rPr>
          <w:rFonts w:eastAsia="Times New Roman"/>
          <w:color w:val="000000"/>
          <w:spacing w:val="1"/>
          <w:sz w:val="24"/>
          <w:lang w:val="sq-AL"/>
        </w:rPr>
        <w:t xml:space="preserve">Qendrore e Kosovës kanë nënshkruar një memorandum mirëkuptimi në dhjetor të vitit 2018 i cili synon kryesisht lehtësimin e bashkëpunimit dhe shkëmbimin e informacioneve në fushën e mbikëqyrjes bankare. Banka Qendrore e Kosovës duhet të sigurojë që klientët të mbrohen siç duhet dhe të parandalojë praktikat e padrejta bankare. Kosova duhet të krijojë një autoritet të pavarur të rikuperimit dhe zgjidhjeve. Ndryshimet e mundshme ndaj Ligjit mbi Bankat për t'i dhënë këtë funksion Bankës Qendrore duhet të garantojnë se autoriteti vepron me pavarësi të plotë funksionale brenda Bankës Qendrore. Për sa i përket harmonizimit të kornizës </w:t>
      </w:r>
      <w:proofErr w:type="spellStart"/>
      <w:r w:rsidR="00CE1051" w:rsidRPr="00A6284F">
        <w:rPr>
          <w:rFonts w:eastAsia="Times New Roman"/>
          <w:color w:val="000000"/>
          <w:spacing w:val="1"/>
          <w:sz w:val="24"/>
          <w:lang w:val="sq-AL"/>
        </w:rPr>
        <w:t>rregullatore</w:t>
      </w:r>
      <w:proofErr w:type="spellEnd"/>
      <w:r w:rsidR="00CE1051" w:rsidRPr="00A6284F">
        <w:rPr>
          <w:rFonts w:eastAsia="Times New Roman"/>
          <w:color w:val="000000"/>
          <w:spacing w:val="1"/>
          <w:sz w:val="24"/>
          <w:lang w:val="sq-AL"/>
        </w:rPr>
        <w:t xml:space="preserve"> me </w:t>
      </w:r>
      <w:proofErr w:type="spellStart"/>
      <w:r w:rsidR="00CE1051" w:rsidRPr="00A6284F">
        <w:rPr>
          <w:rFonts w:eastAsia="Times New Roman"/>
          <w:color w:val="000000"/>
          <w:spacing w:val="1"/>
          <w:sz w:val="24"/>
          <w:lang w:val="sq-AL"/>
        </w:rPr>
        <w:t>Basel</w:t>
      </w:r>
      <w:proofErr w:type="spellEnd"/>
      <w:r w:rsidR="00CE1051" w:rsidRPr="00A6284F">
        <w:rPr>
          <w:rFonts w:eastAsia="Times New Roman"/>
          <w:color w:val="000000"/>
          <w:spacing w:val="1"/>
          <w:sz w:val="24"/>
          <w:lang w:val="sq-AL"/>
        </w:rPr>
        <w:t xml:space="preserve"> II dhe standardet e BE-së, kapitulli mbi vlerat e ekspozuara të peshimit të rrezikut për rrezikun kreditor ende nuk është miratuar. Banka Qendrore kërkon nga bankat që të mbajnë një raport minimal të </w:t>
      </w:r>
      <w:proofErr w:type="spellStart"/>
      <w:r w:rsidR="00CE1051" w:rsidRPr="00A6284F">
        <w:rPr>
          <w:rFonts w:eastAsia="Times New Roman"/>
          <w:color w:val="000000"/>
          <w:spacing w:val="1"/>
          <w:sz w:val="24"/>
          <w:lang w:val="sq-AL"/>
        </w:rPr>
        <w:t>mjaftueshmërisë</w:t>
      </w:r>
      <w:proofErr w:type="spellEnd"/>
      <w:r w:rsidR="00CE1051" w:rsidRPr="00A6284F">
        <w:rPr>
          <w:rFonts w:eastAsia="Times New Roman"/>
          <w:color w:val="000000"/>
          <w:spacing w:val="1"/>
          <w:sz w:val="24"/>
          <w:lang w:val="sq-AL"/>
        </w:rPr>
        <w:t xml:space="preserve"> së kapitalit prej 12%. Niveli i kapitalizmit të bankave konsiderohet i qëndrueshëm dhe shumë më i lartë se niveli i kërkuar i raportit minimal i </w:t>
      </w:r>
      <w:proofErr w:type="spellStart"/>
      <w:r w:rsidR="00CE1051" w:rsidRPr="00A6284F">
        <w:rPr>
          <w:rFonts w:eastAsia="Times New Roman"/>
          <w:color w:val="000000"/>
          <w:spacing w:val="1"/>
          <w:sz w:val="24"/>
          <w:lang w:val="sq-AL"/>
        </w:rPr>
        <w:t>mjaftueshmërisë</w:t>
      </w:r>
      <w:proofErr w:type="spellEnd"/>
      <w:r w:rsidR="00CE1051" w:rsidRPr="00A6284F">
        <w:rPr>
          <w:rFonts w:eastAsia="Times New Roman"/>
          <w:color w:val="000000"/>
          <w:spacing w:val="1"/>
          <w:sz w:val="24"/>
          <w:lang w:val="sq-AL"/>
        </w:rPr>
        <w:t xml:space="preserve"> kapitale. Kuvendi miratoi Ligjin për Kontabilitet, Raportim Financiar dhe Auditim në mars të vitit 2018. Legjislacioni mbi institucionet </w:t>
      </w:r>
      <w:proofErr w:type="spellStart"/>
      <w:r w:rsidR="00CE1051" w:rsidRPr="00A6284F">
        <w:rPr>
          <w:rFonts w:eastAsia="Times New Roman"/>
          <w:color w:val="000000"/>
          <w:spacing w:val="1"/>
          <w:sz w:val="24"/>
          <w:lang w:val="sq-AL"/>
        </w:rPr>
        <w:t>mikrofinanciare</w:t>
      </w:r>
      <w:proofErr w:type="spellEnd"/>
      <w:r w:rsidR="00CE1051" w:rsidRPr="00A6284F">
        <w:rPr>
          <w:rFonts w:eastAsia="Times New Roman"/>
          <w:color w:val="000000"/>
          <w:spacing w:val="1"/>
          <w:sz w:val="24"/>
          <w:lang w:val="sq-AL"/>
        </w:rPr>
        <w:t xml:space="preserve"> dhe institucionet financiare </w:t>
      </w:r>
      <w:proofErr w:type="spellStart"/>
      <w:r w:rsidR="00CE1051" w:rsidRPr="00A6284F">
        <w:rPr>
          <w:rFonts w:eastAsia="Times New Roman"/>
          <w:color w:val="000000"/>
          <w:spacing w:val="1"/>
          <w:sz w:val="24"/>
          <w:lang w:val="sq-AL"/>
        </w:rPr>
        <w:t>jobankare</w:t>
      </w:r>
      <w:proofErr w:type="spellEnd"/>
      <w:r w:rsidR="00CE1051" w:rsidRPr="00A6284F">
        <w:rPr>
          <w:rFonts w:eastAsia="Times New Roman"/>
          <w:color w:val="000000"/>
          <w:spacing w:val="1"/>
          <w:sz w:val="24"/>
          <w:lang w:val="sq-AL"/>
        </w:rPr>
        <w:t xml:space="preserve"> nuk është ende në përputhje me </w:t>
      </w:r>
      <w:r w:rsidR="00CE1051" w:rsidRPr="00A6284F">
        <w:rPr>
          <w:rFonts w:eastAsia="Times New Roman"/>
          <w:i/>
          <w:color w:val="000000"/>
          <w:spacing w:val="1"/>
          <w:sz w:val="24"/>
          <w:lang w:val="sq-AL"/>
        </w:rPr>
        <w:t>acquis.</w:t>
      </w:r>
    </w:p>
    <w:p w:rsidR="00CE1051" w:rsidRPr="00A6284F" w:rsidRDefault="00CE1051" w:rsidP="00CE1051">
      <w:pPr>
        <w:spacing w:before="121" w:after="696"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Banka Qendrore është autoriteti i vetëm i Kosovës për </w:t>
      </w:r>
      <w:r w:rsidRPr="00A6284F">
        <w:rPr>
          <w:rFonts w:eastAsia="Times New Roman"/>
          <w:b/>
          <w:color w:val="000000"/>
          <w:sz w:val="24"/>
          <w:lang w:val="sq-AL"/>
        </w:rPr>
        <w:t>sigurimet dhe pensionet e punës</w:t>
      </w:r>
      <w:r w:rsidRPr="00A6284F">
        <w:rPr>
          <w:rFonts w:eastAsia="Times New Roman"/>
          <w:color w:val="000000"/>
          <w:sz w:val="24"/>
          <w:lang w:val="sq-AL"/>
        </w:rPr>
        <w:t xml:space="preserve">, me kompetencë të plotë për licencimin, rregullimin dhe mbikëqyrjen e kompanive të sigurimit dhe të fondeve pensioneve të punës. Masat </w:t>
      </w:r>
      <w:r w:rsidR="001D57ED" w:rsidRPr="00A6284F">
        <w:rPr>
          <w:rFonts w:eastAsia="Times New Roman"/>
          <w:color w:val="000000"/>
          <w:sz w:val="24"/>
          <w:lang w:val="sq-AL"/>
        </w:rPr>
        <w:t xml:space="preserve">e </w:t>
      </w:r>
      <w:proofErr w:type="spellStart"/>
      <w:r w:rsidR="001D57ED" w:rsidRPr="00A6284F">
        <w:rPr>
          <w:rFonts w:eastAsia="Times New Roman"/>
          <w:color w:val="000000"/>
          <w:sz w:val="24"/>
          <w:lang w:val="sq-AL"/>
        </w:rPr>
        <w:t>Solvencës</w:t>
      </w:r>
      <w:proofErr w:type="spellEnd"/>
      <w:r w:rsidR="001D57ED" w:rsidRPr="00A6284F">
        <w:rPr>
          <w:rFonts w:eastAsia="Times New Roman"/>
          <w:color w:val="000000"/>
          <w:sz w:val="24"/>
          <w:lang w:val="sq-AL"/>
        </w:rPr>
        <w:t xml:space="preserve"> </w:t>
      </w:r>
      <w:r w:rsidRPr="00A6284F">
        <w:rPr>
          <w:rFonts w:eastAsia="Times New Roman"/>
          <w:color w:val="000000"/>
          <w:sz w:val="24"/>
          <w:lang w:val="sq-AL"/>
        </w:rPr>
        <w:t xml:space="preserve">I duhet të </w:t>
      </w:r>
      <w:proofErr w:type="spellStart"/>
      <w:r w:rsidRPr="00A6284F">
        <w:rPr>
          <w:rFonts w:eastAsia="Times New Roman"/>
          <w:color w:val="000000"/>
          <w:sz w:val="24"/>
          <w:lang w:val="sq-AL"/>
        </w:rPr>
        <w:t>implementohen</w:t>
      </w:r>
      <w:proofErr w:type="spellEnd"/>
      <w:r w:rsidRPr="00A6284F">
        <w:rPr>
          <w:rFonts w:eastAsia="Times New Roman"/>
          <w:color w:val="000000"/>
          <w:sz w:val="24"/>
          <w:lang w:val="sq-AL"/>
        </w:rPr>
        <w:t xml:space="preserve"> dhe zbatohen plotësisht si dhe masat </w:t>
      </w:r>
      <w:r w:rsidR="001D57ED" w:rsidRPr="00A6284F">
        <w:rPr>
          <w:rFonts w:eastAsia="Times New Roman"/>
          <w:color w:val="000000"/>
          <w:sz w:val="24"/>
          <w:lang w:val="sq-AL"/>
        </w:rPr>
        <w:t xml:space="preserve">e </w:t>
      </w:r>
      <w:proofErr w:type="spellStart"/>
      <w:r w:rsidRPr="00A6284F">
        <w:rPr>
          <w:rFonts w:eastAsia="Times New Roman"/>
          <w:color w:val="000000"/>
          <w:sz w:val="24"/>
          <w:lang w:val="sq-AL"/>
        </w:rPr>
        <w:t>Solvenc</w:t>
      </w:r>
      <w:r w:rsidR="001D57ED" w:rsidRPr="00A6284F">
        <w:rPr>
          <w:rFonts w:eastAsia="Times New Roman"/>
          <w:color w:val="000000"/>
          <w:sz w:val="24"/>
          <w:lang w:val="sq-AL"/>
        </w:rPr>
        <w:t>ës</w:t>
      </w:r>
      <w:proofErr w:type="spellEnd"/>
      <w:r w:rsidRPr="00A6284F">
        <w:rPr>
          <w:rFonts w:eastAsia="Times New Roman"/>
          <w:color w:val="000000"/>
          <w:sz w:val="24"/>
          <w:lang w:val="sq-AL"/>
        </w:rPr>
        <w:t xml:space="preserve"> II duhet të fillojnë të zbatohen. Ndërsa Ligji mbi Sigurimet është i përafruar me acquis për ushtrimin dhe zbatimin e biznesit të sigurimeve, ri-sigurimeve dhe ndërmjetësimit në sigurime, mbikëqyrja dhe kontrollimi i fondeve të pensioneve të punës duhen përmirësuar. Nevojitet edhe koordinim më i mirë ndërinstitucional për të adresuar çështjen e veturave të pasiguruara e të paregjistruara. Për arsye se Kosova ende nuk është pjesë e sistemit të “kartonit të gjelbër”, sigurimi i automjeteve vazhdon të kërkohet për veturat me regjistrime të huaja që hyjnë në Kosovë dhe për automjetet me tabela kosovare që dalin nga Kosova. Kjo nuk vlen për vendet me të cilat Kosova ka rregullime bilaterale të sigurimeve të automjeteve. Shitja </w:t>
      </w:r>
      <w:proofErr w:type="spellStart"/>
      <w:r w:rsidRPr="00A6284F">
        <w:rPr>
          <w:rFonts w:eastAsia="Times New Roman"/>
          <w:color w:val="000000"/>
          <w:sz w:val="24"/>
          <w:lang w:val="sq-AL"/>
        </w:rPr>
        <w:t>online</w:t>
      </w:r>
      <w:proofErr w:type="spellEnd"/>
      <w:r w:rsidRPr="00A6284F">
        <w:rPr>
          <w:rFonts w:eastAsia="Times New Roman"/>
          <w:color w:val="000000"/>
          <w:sz w:val="24"/>
          <w:lang w:val="sq-AL"/>
        </w:rPr>
        <w:t xml:space="preserve"> e policave të sigurimit kufitar ka filluar në maj të vitit 2018 si një </w:t>
      </w:r>
      <w:r w:rsidRPr="00A6284F">
        <w:rPr>
          <w:rFonts w:eastAsia="Times New Roman"/>
          <w:color w:val="000000"/>
          <w:sz w:val="24"/>
          <w:lang w:val="sq-AL"/>
        </w:rPr>
        <w:lastRenderedPageBreak/>
        <w:t>mënyrë për të thjeshtuar procedurat mirëpo ende mbetet barrë financiare për personat që udhëtojnë shpesh.</w:t>
      </w:r>
    </w:p>
    <w:p w:rsidR="00CE1051" w:rsidRPr="00A6284F" w:rsidRDefault="00CE1051" w:rsidP="00CE1051">
      <w:pPr>
        <w:spacing w:before="118"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Lidhur me </w:t>
      </w:r>
      <w:r w:rsidRPr="00A6284F">
        <w:rPr>
          <w:rFonts w:eastAsia="Times New Roman"/>
          <w:b/>
          <w:color w:val="000000"/>
          <w:sz w:val="24"/>
          <w:lang w:val="sq-AL"/>
        </w:rPr>
        <w:t>tregjet e letrave me vlerë dhe shërbimet e investimeve</w:t>
      </w:r>
      <w:r w:rsidRPr="00A6284F">
        <w:rPr>
          <w:rFonts w:eastAsia="Times New Roman"/>
          <w:color w:val="000000"/>
          <w:sz w:val="24"/>
          <w:lang w:val="sq-AL"/>
        </w:rPr>
        <w:t>, zhvillimi i tregut është në një fazë të hershme dhe nuk ka aktivitet që lidhet me ndërmarrjet për investime kolektive. Ky aktivitet përqendrohet në tregun e letrave me vlerë të qeverisë. Banka Qendrore e Kosovës vë në ankand letrat me vlerë të qeverisë dhe mban dosjet, të cilat ruhen dhe përpunohen në mënyrë elektronike në sistemin e depozitarit qendror të letrave me vlerë.</w:t>
      </w:r>
    </w:p>
    <w:p w:rsidR="00CE1051" w:rsidRPr="00A6284F" w:rsidRDefault="00CE1051" w:rsidP="00CE1051">
      <w:pPr>
        <w:spacing w:before="131" w:after="102" w:line="272" w:lineRule="exact"/>
        <w:ind w:left="144" w:right="72"/>
        <w:textAlignment w:val="baseline"/>
        <w:rPr>
          <w:rFonts w:eastAsia="Times New Roman"/>
          <w:b/>
          <w:color w:val="000000"/>
          <w:spacing w:val="21"/>
          <w:sz w:val="24"/>
          <w:lang w:val="sq-AL"/>
        </w:rPr>
      </w:pPr>
      <w:r w:rsidRPr="00A6284F">
        <w:rPr>
          <w:rFonts w:eastAsia="Times New Roman"/>
          <w:b/>
          <w:color w:val="000000"/>
          <w:spacing w:val="21"/>
          <w:sz w:val="24"/>
          <w:lang w:val="sq-AL"/>
        </w:rPr>
        <w:t>6.5. Dogana</w:t>
      </w:r>
    </w:p>
    <w:tbl>
      <w:tblPr>
        <w:tblW w:w="0" w:type="auto"/>
        <w:tblInd w:w="6" w:type="dxa"/>
        <w:tblLayout w:type="fixed"/>
        <w:tblCellMar>
          <w:left w:w="0" w:type="dxa"/>
          <w:right w:w="0" w:type="dxa"/>
        </w:tblCellMar>
        <w:tblLook w:val="0000" w:firstRow="0" w:lastRow="0" w:firstColumn="0" w:lastColumn="0" w:noHBand="0" w:noVBand="0"/>
      </w:tblPr>
      <w:tblGrid>
        <w:gridCol w:w="9106"/>
      </w:tblGrid>
      <w:tr w:rsidR="00CE1051" w:rsidRPr="00A6284F" w:rsidTr="000A4761">
        <w:trPr>
          <w:trHeight w:hRule="exact" w:val="2896"/>
        </w:trPr>
        <w:tc>
          <w:tcPr>
            <w:tcW w:w="9106" w:type="dxa"/>
            <w:tcBorders>
              <w:top w:val="single" w:sz="5" w:space="0" w:color="000000"/>
              <w:left w:val="single" w:sz="5" w:space="0" w:color="000000"/>
              <w:bottom w:val="single" w:sz="5" w:space="0" w:color="000000"/>
              <w:right w:val="single" w:sz="5" w:space="0" w:color="000000"/>
            </w:tcBorders>
            <w:shd w:val="clear" w:color="D9D9D9" w:fill="D9D9D9"/>
          </w:tcPr>
          <w:p w:rsidR="00CE1051" w:rsidRPr="00A6284F" w:rsidRDefault="00CE1051" w:rsidP="000A4761">
            <w:pPr>
              <w:spacing w:before="18"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përgatitje mesatare</w:t>
            </w:r>
            <w:r w:rsidRPr="00A6284F">
              <w:rPr>
                <w:rFonts w:eastAsia="Times New Roman"/>
                <w:color w:val="000000"/>
                <w:sz w:val="24"/>
                <w:lang w:val="sq-AL"/>
              </w:rPr>
              <w:t xml:space="preserve"> në fushën e doganave. Ka pasur </w:t>
            </w:r>
            <w:r w:rsidRPr="00A6284F">
              <w:rPr>
                <w:rFonts w:eastAsia="Times New Roman"/>
                <w:b/>
                <w:color w:val="000000"/>
                <w:sz w:val="24"/>
                <w:lang w:val="sq-AL"/>
              </w:rPr>
              <w:t>pak progres</w:t>
            </w:r>
            <w:r w:rsidRPr="00A6284F">
              <w:rPr>
                <w:rFonts w:eastAsia="Times New Roman"/>
                <w:color w:val="000000"/>
                <w:sz w:val="24"/>
                <w:lang w:val="sq-AL"/>
              </w:rPr>
              <w:t xml:space="preserve">, kryesisht në zbatimin e masave doganore për mbrojtjen e të drejtave të pronësisë intelektuale (DPI). Rekomandimet e raportit të vitit të kaluar nuk janë adresuar plotësisht dhe në vitin e ardhshëm Kosova duhet, </w:t>
            </w:r>
            <w:r w:rsidR="00D327DA" w:rsidRPr="00A6284F">
              <w:rPr>
                <w:rFonts w:eastAsia="Times New Roman"/>
                <w:color w:val="000000"/>
                <w:sz w:val="24"/>
                <w:lang w:val="sq-AL"/>
              </w:rPr>
              <w:t>posaçërisht:</w:t>
            </w:r>
          </w:p>
          <w:p w:rsidR="00CE1051" w:rsidRPr="00A6284F" w:rsidRDefault="00CE1051" w:rsidP="000A4761">
            <w:pPr>
              <w:spacing w:before="141"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përafrojë më tutje legjislacionin doganor, duke përfshirë kodin doganor dhe të akcizës, me Kodin doganor të BE-së dhe </w:t>
            </w:r>
            <w:r w:rsidRPr="00A6284F">
              <w:rPr>
                <w:rFonts w:eastAsia="Times New Roman"/>
                <w:i/>
                <w:color w:val="000000"/>
                <w:sz w:val="24"/>
                <w:lang w:val="sq-AL"/>
              </w:rPr>
              <w:t>acquis</w:t>
            </w:r>
            <w:r w:rsidRPr="00A6284F">
              <w:rPr>
                <w:rFonts w:eastAsia="Times New Roman"/>
                <w:color w:val="000000"/>
                <w:sz w:val="24"/>
                <w:lang w:val="sq-AL"/>
              </w:rPr>
              <w:t xml:space="preserve"> për akcizën;</w:t>
            </w:r>
          </w:p>
          <w:p w:rsidR="00CE1051" w:rsidRPr="00A6284F" w:rsidRDefault="00CE1051" w:rsidP="000A4761">
            <w:pPr>
              <w:spacing w:before="138" w:after="5"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rrisë koordinimin ndërmjet Doganës së Kosovës, agjencive për zbatimin e ligjeve dhe institucioneve tjera përkatëse për luftimin e ekonomisë </w:t>
            </w:r>
            <w:proofErr w:type="spellStart"/>
            <w:r w:rsidRPr="00A6284F">
              <w:rPr>
                <w:rFonts w:eastAsia="Times New Roman"/>
                <w:color w:val="000000"/>
                <w:sz w:val="24"/>
                <w:lang w:val="sq-AL"/>
              </w:rPr>
              <w:t>informale</w:t>
            </w:r>
            <w:proofErr w:type="spellEnd"/>
            <w:r w:rsidRPr="00A6284F">
              <w:rPr>
                <w:rFonts w:eastAsia="Times New Roman"/>
                <w:color w:val="000000"/>
                <w:sz w:val="24"/>
                <w:lang w:val="sq-AL"/>
              </w:rPr>
              <w:t xml:space="preserve"> dhe mashtrimeve doganore.</w:t>
            </w:r>
          </w:p>
        </w:tc>
      </w:tr>
    </w:tbl>
    <w:p w:rsidR="00CE1051" w:rsidRPr="00A6284F" w:rsidRDefault="00CE1051" w:rsidP="00CE1051">
      <w:pPr>
        <w:spacing w:after="92" w:line="20" w:lineRule="exact"/>
        <w:rPr>
          <w:lang w:val="sq-AL"/>
        </w:rPr>
      </w:pPr>
    </w:p>
    <w:p w:rsidR="00CE1051" w:rsidRPr="00A6284F" w:rsidRDefault="00CE1051" w:rsidP="00CE1051">
      <w:pPr>
        <w:spacing w:before="8"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Në fushën e </w:t>
      </w:r>
      <w:r w:rsidRPr="00A6284F">
        <w:rPr>
          <w:rFonts w:eastAsia="Times New Roman"/>
          <w:b/>
          <w:color w:val="000000"/>
          <w:sz w:val="24"/>
          <w:lang w:val="sq-AL"/>
        </w:rPr>
        <w:t>legjislacionit doganor</w:t>
      </w:r>
      <w:r w:rsidRPr="00A6284F">
        <w:rPr>
          <w:rFonts w:eastAsia="Times New Roman"/>
          <w:color w:val="000000"/>
          <w:sz w:val="24"/>
          <w:lang w:val="sq-AL"/>
        </w:rPr>
        <w:t xml:space="preserve">, kodi doganor dhe i akcizës është kryesisht në përputhje me kodin doganor të Unionit, por nevojitet harmonizim i mëtejshëm. Kosova zyrtarisht ka aplikuar që të bëhet vëzhgues në Konventën e Përbashkët të </w:t>
      </w:r>
      <w:proofErr w:type="spellStart"/>
      <w:r w:rsidRPr="00A6284F">
        <w:rPr>
          <w:rFonts w:eastAsia="Times New Roman"/>
          <w:color w:val="000000"/>
          <w:sz w:val="24"/>
          <w:lang w:val="sq-AL"/>
        </w:rPr>
        <w:t>Tranzitit</w:t>
      </w:r>
      <w:proofErr w:type="spellEnd"/>
      <w:r w:rsidRPr="00A6284F">
        <w:rPr>
          <w:rFonts w:eastAsia="Times New Roman"/>
          <w:color w:val="000000"/>
          <w:sz w:val="24"/>
          <w:lang w:val="sq-AL"/>
        </w:rPr>
        <w:t xml:space="preserve">. Ajo gjithashtu nuk ka ratifikuar Konventën Rajonale për Rregullat Pan-Euro-Mesdhetare (PEM) Preferenciale të Origjinës, por zbaton dispozitat e saj. Dogana e Kosovës vazhdon të merr pjesë në Sistemin për Këmbimin e të Dhënave të Akcizës, që mundëson këmbimin sistematik elektronik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mes vendeve të Ballkanit Perëndimor. Legjislacioni për </w:t>
      </w:r>
      <w:proofErr w:type="spellStart"/>
      <w:r w:rsidRPr="00A6284F">
        <w:rPr>
          <w:rFonts w:eastAsia="Times New Roman"/>
          <w:color w:val="000000"/>
          <w:sz w:val="24"/>
          <w:lang w:val="sq-AL"/>
        </w:rPr>
        <w:t>prekursorë</w:t>
      </w:r>
      <w:proofErr w:type="spellEnd"/>
      <w:r w:rsidRPr="00A6284F">
        <w:rPr>
          <w:rFonts w:eastAsia="Times New Roman"/>
          <w:color w:val="000000"/>
          <w:sz w:val="24"/>
          <w:lang w:val="sq-AL"/>
        </w:rPr>
        <w:t xml:space="preserve"> të drogave, për masat doganore që rregullojnë të drejtat e pronës intelektuale, si dhe për kontrollin e eksportit për mallra kulturorë, ende nuk është në përputhje të plotë me acquis të BE-së. Është bërë pak progres mbi procedurat për operatorët ekonomik të autorizuar, por nevojitet harmonizim i mëtejshëm në aspektin e sigurisë doganore. Terminalet doganore tokësore janë të vendosura në stabilimente në pronësi private, si dhe kërkojnë pagesë për secilin kamion që hyn në terminal për përmbushjen e detyrimeve doganore. Këto tarifa nuk janë në përputhje me acquis</w:t>
      </w:r>
    </w:p>
    <w:p w:rsidR="00CE1051" w:rsidRPr="00A6284F" w:rsidRDefault="00CE1051" w:rsidP="00CE1051">
      <w:pPr>
        <w:spacing w:before="116"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Administrata doganore ka vazhduar të ketë </w:t>
      </w:r>
      <w:r w:rsidRPr="00A6284F">
        <w:rPr>
          <w:rFonts w:eastAsia="Times New Roman"/>
          <w:b/>
          <w:color w:val="000000"/>
          <w:sz w:val="24"/>
          <w:lang w:val="sq-AL"/>
        </w:rPr>
        <w:t>kapacitet të arsyeshëm administrativ dhe operativ</w:t>
      </w:r>
      <w:r w:rsidRPr="00A6284F">
        <w:rPr>
          <w:rFonts w:eastAsia="Times New Roman"/>
          <w:color w:val="000000"/>
          <w:sz w:val="24"/>
          <w:lang w:val="sq-AL"/>
        </w:rPr>
        <w:t>; të hyrat doganore në vitin 2018 kanë qenë 1.2% më lart se sa në vitin 2017. Për sa i përket zhvillimit administrativ dhe teknik, Kosova duhet të konsiderojë të aplikojë për të marrë pjesë në programin për Doganë 2020, i cili përqendrohet drejtpërdrejtë në zbatimin e ligjit dhe politikës së Unionit në fushën e doganave. Qasja pa letër dhe sistemi i pagesave elektronike i doganave kanë ndihmuar në eliminimin e barrierave administrative burokratike, duke shpjerë drejt përshpejtimit të procedurave të zhdoganimit.</w:t>
      </w:r>
    </w:p>
    <w:p w:rsidR="00CE1051" w:rsidRPr="00A6284F" w:rsidRDefault="00CE1051" w:rsidP="00CE1051">
      <w:pPr>
        <w:spacing w:before="120"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Performanca doganore në luftimin e veprimtarive të paligjshme ndërkufitare, duke përfshirë kontrabandimin e mallrave, si narkotikët dhe materialet e rrezikshme, vazhdon të shfaqë përparim. Nevojiten përpjekje të mëtutjeshme për të adresuar më mirë korrupsionin, duke përfshirë edhe ndërmarrjen e më shumë hetimeve dhe përforcimin e kontrolleve të deklarimeve të pasurive të dorëzuara nga oficerët doganorë. Kapaciteti profesional i departamentit doganor që merret me të drejtat e pronës intelektuale është në përmirësim e sipër.. Në periudhën raportuese, Dogana e Kosovës ka shtuat përpjekjet për të luftuar shkeljes e të drejtave të pronësisë intelektuale. Niveli i </w:t>
      </w:r>
      <w:proofErr w:type="spellStart"/>
      <w:r w:rsidRPr="00A6284F">
        <w:rPr>
          <w:rFonts w:eastAsia="Times New Roman"/>
          <w:color w:val="000000"/>
          <w:sz w:val="24"/>
          <w:lang w:val="sq-AL"/>
        </w:rPr>
        <w:t>informalitetit</w:t>
      </w:r>
      <w:proofErr w:type="spellEnd"/>
      <w:r w:rsidRPr="00A6284F">
        <w:rPr>
          <w:rFonts w:eastAsia="Times New Roman"/>
          <w:color w:val="000000"/>
          <w:sz w:val="24"/>
          <w:lang w:val="sq-AL"/>
        </w:rPr>
        <w:t xml:space="preserve"> në ekonomi ende mbetet i lartë dhe nevojiten përpjekje të mëtejshme të koordinimit ndërmjet institucioneve përkatëse dhe organeve për zbatim të ligjit në mënyrë që të luftohet ekonomia </w:t>
      </w:r>
      <w:proofErr w:type="spellStart"/>
      <w:r w:rsidRPr="00A6284F">
        <w:rPr>
          <w:rFonts w:eastAsia="Times New Roman"/>
          <w:color w:val="000000"/>
          <w:sz w:val="24"/>
          <w:lang w:val="sq-AL"/>
        </w:rPr>
        <w:t>informale</w:t>
      </w:r>
      <w:proofErr w:type="spellEnd"/>
      <w:r w:rsidRPr="00A6284F">
        <w:rPr>
          <w:rFonts w:eastAsia="Times New Roman"/>
          <w:color w:val="000000"/>
          <w:sz w:val="24"/>
          <w:lang w:val="sq-AL"/>
        </w:rPr>
        <w:t xml:space="preserve"> dhe mashtrimet doganore. </w:t>
      </w:r>
      <w:r w:rsidRPr="00A6284F">
        <w:rPr>
          <w:rFonts w:eastAsia="Times New Roman"/>
          <w:color w:val="000000"/>
          <w:sz w:val="24"/>
          <w:lang w:val="sq-AL"/>
        </w:rPr>
        <w:lastRenderedPageBreak/>
        <w:t>Gjithashtu, kërkohen përpjekje të mëtejshme për të adresuar grumbullimin e ankesave të pazgjidhura kundrejt administratës doganore në ndarjen fiskale të Gjykatës Themelore në Prishtinë.</w:t>
      </w:r>
    </w:p>
    <w:p w:rsidR="00E0616C" w:rsidRPr="00A6284F" w:rsidRDefault="00CE1051" w:rsidP="00CE1051">
      <w:pPr>
        <w:spacing w:before="19"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Kosova dhe Shqipëria kanë nënshkruar një marrëveshje që përfshin procedurat e thjeshtësuara për kalimin e kufijve dhe për eliminimin e kontrolleve të dyfishta. Në bazë të marrëveshjes së nënshkruar më parë, Kosova ka hapur një zyrë doganore në portin e Durrësit në Shqipëri për të thjeshtësuar procedurat e importeve që hyjnë në Kosovë përmes Shqipërisë</w:t>
      </w:r>
      <w:r w:rsidR="009E4C9A" w:rsidRPr="00A6284F">
        <w:rPr>
          <w:rFonts w:eastAsia="Times New Roman"/>
          <w:color w:val="000000"/>
          <w:sz w:val="24"/>
          <w:lang w:val="sq-AL"/>
        </w:rPr>
        <w:t>.</w:t>
      </w:r>
    </w:p>
    <w:p w:rsidR="00135165" w:rsidRPr="00A6284F" w:rsidRDefault="00135165" w:rsidP="00135165">
      <w:pPr>
        <w:tabs>
          <w:tab w:val="left" w:pos="864"/>
        </w:tabs>
        <w:spacing w:before="127" w:after="100" w:line="274" w:lineRule="exact"/>
        <w:ind w:left="144"/>
        <w:textAlignment w:val="baseline"/>
        <w:rPr>
          <w:rFonts w:eastAsia="Times New Roman"/>
          <w:b/>
          <w:color w:val="000000"/>
          <w:spacing w:val="-3"/>
          <w:sz w:val="24"/>
          <w:lang w:val="sq-AL"/>
        </w:rPr>
      </w:pPr>
      <w:r w:rsidRPr="00A6284F">
        <w:rPr>
          <w:rFonts w:eastAsia="Times New Roman"/>
          <w:b/>
          <w:color w:val="000000"/>
          <w:spacing w:val="-3"/>
          <w:sz w:val="24"/>
          <w:lang w:val="sq-AL"/>
        </w:rPr>
        <w:t xml:space="preserve"> 6.6</w:t>
      </w:r>
      <w:r w:rsidRPr="00A6284F">
        <w:rPr>
          <w:rFonts w:eastAsia="Times New Roman"/>
          <w:b/>
          <w:color w:val="000000"/>
          <w:spacing w:val="-3"/>
          <w:sz w:val="24"/>
          <w:lang w:val="sq-AL"/>
        </w:rPr>
        <w:tab/>
      </w:r>
      <w:proofErr w:type="spellStart"/>
      <w:r w:rsidRPr="00A6284F">
        <w:rPr>
          <w:rFonts w:eastAsia="Times New Roman"/>
          <w:b/>
          <w:color w:val="000000"/>
          <w:spacing w:val="-3"/>
          <w:sz w:val="24"/>
          <w:lang w:val="sq-AL"/>
        </w:rPr>
        <w:t>Tatimimi</w:t>
      </w:r>
      <w:proofErr w:type="spellEnd"/>
    </w:p>
    <w:tbl>
      <w:tblPr>
        <w:tblW w:w="0" w:type="auto"/>
        <w:tblInd w:w="6" w:type="dxa"/>
        <w:tblLayout w:type="fixed"/>
        <w:tblCellMar>
          <w:left w:w="0" w:type="dxa"/>
          <w:right w:w="0" w:type="dxa"/>
        </w:tblCellMar>
        <w:tblLook w:val="0000" w:firstRow="0" w:lastRow="0" w:firstColumn="0" w:lastColumn="0" w:noHBand="0" w:noVBand="0"/>
      </w:tblPr>
      <w:tblGrid>
        <w:gridCol w:w="9101"/>
      </w:tblGrid>
      <w:tr w:rsidR="00135165" w:rsidRPr="00A6284F" w:rsidTr="007E58F5">
        <w:trPr>
          <w:trHeight w:hRule="exact" w:val="4750"/>
        </w:trPr>
        <w:tc>
          <w:tcPr>
            <w:tcW w:w="9101"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7E58F5">
            <w:pPr>
              <w:spacing w:before="23"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një nivel të përgatitjes</w:t>
            </w:r>
            <w:r w:rsidRPr="00A6284F">
              <w:rPr>
                <w:rFonts w:eastAsia="Times New Roman"/>
                <w:color w:val="000000"/>
                <w:sz w:val="24"/>
                <w:lang w:val="sq-AL"/>
              </w:rPr>
              <w:t xml:space="preserve"> në fushën e tatimit. Ka pasur </w:t>
            </w:r>
            <w:r w:rsidRPr="00A6284F">
              <w:rPr>
                <w:rFonts w:eastAsia="Times New Roman"/>
                <w:b/>
                <w:color w:val="000000"/>
                <w:sz w:val="24"/>
                <w:lang w:val="sq-AL"/>
              </w:rPr>
              <w:t>pak progres</w:t>
            </w:r>
            <w:r w:rsidRPr="00A6284F">
              <w:rPr>
                <w:rFonts w:eastAsia="Times New Roman"/>
                <w:color w:val="000000"/>
                <w:sz w:val="24"/>
                <w:lang w:val="sq-AL"/>
              </w:rPr>
              <w:t xml:space="preserve"> në vjeljen e të hyrave nga tatimet, </w:t>
            </w:r>
            <w:r w:rsidR="00967CBF" w:rsidRPr="00A6284F">
              <w:rPr>
                <w:rFonts w:eastAsia="Times New Roman"/>
                <w:color w:val="000000"/>
                <w:sz w:val="24"/>
                <w:lang w:val="sq-AL"/>
              </w:rPr>
              <w:t>tkurrjen</w:t>
            </w:r>
            <w:r w:rsidRPr="00A6284F">
              <w:rPr>
                <w:rFonts w:eastAsia="Times New Roman"/>
                <w:color w:val="000000"/>
                <w:sz w:val="24"/>
                <w:lang w:val="sq-AL"/>
              </w:rPr>
              <w:t xml:space="preserve"> e ekonomisë </w:t>
            </w:r>
            <w:r w:rsidR="00967CBF" w:rsidRPr="00A6284F">
              <w:rPr>
                <w:rFonts w:eastAsia="Times New Roman"/>
                <w:color w:val="000000"/>
                <w:sz w:val="24"/>
                <w:lang w:val="sq-AL"/>
              </w:rPr>
              <w:t>së hirtë</w:t>
            </w:r>
            <w:r w:rsidRPr="00A6284F">
              <w:rPr>
                <w:rFonts w:eastAsia="Times New Roman"/>
                <w:color w:val="000000"/>
                <w:sz w:val="24"/>
                <w:lang w:val="sq-AL"/>
              </w:rPr>
              <w:t>, përafrimin e mëtejshëm të legjislacionit</w:t>
            </w:r>
            <w:r w:rsidR="007315FB" w:rsidRPr="00A6284F">
              <w:rPr>
                <w:rFonts w:eastAsia="Times New Roman"/>
                <w:color w:val="000000"/>
                <w:sz w:val="24"/>
                <w:lang w:val="sq-AL"/>
              </w:rPr>
              <w:t xml:space="preserve"> sekondar</w:t>
            </w:r>
            <w:r w:rsidRPr="00A6284F">
              <w:rPr>
                <w:rFonts w:eastAsia="Times New Roman"/>
                <w:color w:val="000000"/>
                <w:sz w:val="24"/>
                <w:lang w:val="sq-AL"/>
              </w:rPr>
              <w:t xml:space="preserve"> tatimor dhe lidhjen e marrëveshjeve të reja të tatimit të dyfishtë (MTD).</w:t>
            </w:r>
            <w:r w:rsidR="007315FB" w:rsidRPr="00A6284F">
              <w:rPr>
                <w:rFonts w:eastAsia="Times New Roman"/>
                <w:color w:val="000000"/>
                <w:sz w:val="24"/>
                <w:lang w:val="sq-AL"/>
              </w:rPr>
              <w:t xml:space="preserve"> </w:t>
            </w:r>
            <w:r w:rsidRPr="00A6284F">
              <w:rPr>
                <w:rFonts w:eastAsia="Times New Roman"/>
                <w:color w:val="000000"/>
                <w:sz w:val="24"/>
                <w:lang w:val="sq-AL"/>
              </w:rPr>
              <w:t>Megjithatë, vendimi për të futur një normë diskriminues të akcizës për cigare paraqet një shkelje të qartë të MSA-së. Vitin e kaluar, rekomandimet u zbatuan pjesërisht dhe në vitin e ardhshëm, Kosova duhet në veçanti:</w:t>
            </w:r>
          </w:p>
          <w:p w:rsidR="00135165" w:rsidRPr="00A6284F" w:rsidRDefault="00135165" w:rsidP="007E58F5">
            <w:pPr>
              <w:spacing w:before="134"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tërheqë vendimin mbi akcizat diskriminuese për cigare për të sjellë legjislacionin në linjë me MSA-në;</w:t>
            </w:r>
          </w:p>
          <w:p w:rsidR="00135165" w:rsidRPr="00A6284F" w:rsidRDefault="00135165" w:rsidP="007E58F5">
            <w:pPr>
              <w:spacing w:before="139" w:line="276" w:lineRule="exact"/>
              <w:ind w:left="504" w:right="72"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zbatojë në mënyrë sistematike strategjinë për luftimin e ekonomisë </w:t>
            </w:r>
            <w:proofErr w:type="spellStart"/>
            <w:r w:rsidRPr="00A6284F">
              <w:rPr>
                <w:rFonts w:eastAsia="Times New Roman"/>
                <w:color w:val="000000"/>
                <w:sz w:val="24"/>
                <w:lang w:val="sq-AL"/>
              </w:rPr>
              <w:t>informale</w:t>
            </w:r>
            <w:proofErr w:type="spellEnd"/>
            <w:r w:rsidRPr="00A6284F">
              <w:rPr>
                <w:rFonts w:eastAsia="Times New Roman"/>
                <w:color w:val="000000"/>
                <w:sz w:val="24"/>
                <w:lang w:val="sq-AL"/>
              </w:rPr>
              <w:t>, pastrimit të parave, financimit të terrorizmit dhe krimit financiar (2019-2023) dhe planit të tij të veprimit;</w:t>
            </w:r>
          </w:p>
          <w:p w:rsidR="00135165" w:rsidRPr="00A6284F" w:rsidRDefault="00135165" w:rsidP="007E58F5">
            <w:pPr>
              <w:spacing w:before="139" w:after="11" w:line="276" w:lineRule="exact"/>
              <w:ind w:left="504" w:right="72" w:hanging="360"/>
              <w:jc w:val="both"/>
              <w:textAlignment w:val="baseline"/>
              <w:rPr>
                <w:rFonts w:ascii="Arial Narrow" w:eastAsia="Arial Narrow" w:hAnsi="Arial Narrow"/>
                <w:color w:val="000000"/>
                <w:spacing w:val="3"/>
                <w:lang w:val="sq-AL"/>
              </w:rPr>
            </w:pPr>
            <w:r w:rsidRPr="00A6284F">
              <w:rPr>
                <w:rFonts w:ascii="Arial Narrow" w:eastAsia="Arial Narrow" w:hAnsi="Arial Narrow"/>
                <w:color w:val="000000"/>
                <w:spacing w:val="3"/>
                <w:lang w:val="sq-AL"/>
              </w:rPr>
              <w:t xml:space="preserve">-* </w:t>
            </w:r>
            <w:r w:rsidRPr="00A6284F">
              <w:rPr>
                <w:rFonts w:eastAsia="Times New Roman"/>
                <w:color w:val="000000"/>
                <w:spacing w:val="3"/>
                <w:sz w:val="24"/>
                <w:lang w:val="sq-AL"/>
              </w:rPr>
              <w:t xml:space="preserve">të rrisë </w:t>
            </w:r>
            <w:r w:rsidR="0088023E" w:rsidRPr="00A6284F">
              <w:rPr>
                <w:rFonts w:eastAsia="Times New Roman"/>
                <w:color w:val="000000"/>
                <w:spacing w:val="3"/>
                <w:sz w:val="24"/>
                <w:lang w:val="sq-AL"/>
              </w:rPr>
              <w:t>bashkëpunimin</w:t>
            </w:r>
            <w:r w:rsidRPr="00A6284F">
              <w:rPr>
                <w:rFonts w:eastAsia="Times New Roman"/>
                <w:color w:val="000000"/>
                <w:spacing w:val="3"/>
                <w:sz w:val="24"/>
                <w:lang w:val="sq-AL"/>
              </w:rPr>
              <w:t xml:space="preserve"> me kornizën ekzistuese të gjyqësorit për të siguruar gjykimin në kohë të rasteve të evazionit fiskal dhe mashtrimit, dhe të zvogëlojë numrin e ankesave të pazgjidhura kundër Administratës Tatimore në divizionin fiskal të Gjykatës Themelore në Prishtinë.</w:t>
            </w:r>
          </w:p>
        </w:tc>
      </w:tr>
    </w:tbl>
    <w:p w:rsidR="00135165" w:rsidRPr="00A6284F" w:rsidRDefault="00135165" w:rsidP="00135165">
      <w:pPr>
        <w:spacing w:after="83" w:line="20" w:lineRule="exact"/>
        <w:rPr>
          <w:lang w:val="sq-AL"/>
        </w:rPr>
      </w:pPr>
    </w:p>
    <w:p w:rsidR="00135165" w:rsidRPr="00A6284F" w:rsidRDefault="008305CB" w:rsidP="00723AF3">
      <w:pPr>
        <w:spacing w:before="123"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Tek</w:t>
      </w:r>
      <w:r w:rsidR="00135165" w:rsidRPr="00A6284F">
        <w:rPr>
          <w:rFonts w:eastAsia="Times New Roman"/>
          <w:color w:val="000000"/>
          <w:sz w:val="24"/>
          <w:lang w:val="sq-AL"/>
        </w:rPr>
        <w:t xml:space="preserve"> </w:t>
      </w:r>
      <w:proofErr w:type="spellStart"/>
      <w:r w:rsidR="00135165" w:rsidRPr="00A6284F">
        <w:rPr>
          <w:rFonts w:eastAsia="Times New Roman"/>
          <w:b/>
          <w:color w:val="000000"/>
          <w:sz w:val="24"/>
          <w:lang w:val="sq-AL"/>
        </w:rPr>
        <w:t>tatimimi</w:t>
      </w:r>
      <w:proofErr w:type="spellEnd"/>
      <w:r w:rsidR="00135165" w:rsidRPr="00A6284F">
        <w:rPr>
          <w:rFonts w:eastAsia="Times New Roman"/>
          <w:b/>
          <w:color w:val="000000"/>
          <w:sz w:val="24"/>
          <w:lang w:val="sq-AL"/>
        </w:rPr>
        <w:t xml:space="preserve"> indirekt,</w:t>
      </w:r>
      <w:r w:rsidR="00135165" w:rsidRPr="00A6284F">
        <w:rPr>
          <w:rFonts w:eastAsia="Times New Roman"/>
          <w:color w:val="000000"/>
          <w:sz w:val="24"/>
          <w:lang w:val="sq-AL"/>
        </w:rPr>
        <w:t xml:space="preserve"> sistemi i tatimit mbi vlerën e shtuar (TVSH) është gjerësisht i përafruar me acquis. Norma standarde e Kosovës prej 18% dhe norma e reduktuar prej 8% janë në përputhje me acquis, por </w:t>
      </w:r>
      <w:r w:rsidR="0088023E" w:rsidRPr="00A6284F">
        <w:rPr>
          <w:rFonts w:eastAsia="Times New Roman"/>
          <w:color w:val="000000"/>
          <w:sz w:val="24"/>
          <w:lang w:val="sq-AL"/>
        </w:rPr>
        <w:t xml:space="preserve">jo edhe </w:t>
      </w:r>
      <w:r w:rsidR="00135165" w:rsidRPr="00A6284F">
        <w:rPr>
          <w:rFonts w:eastAsia="Times New Roman"/>
          <w:color w:val="000000"/>
          <w:sz w:val="24"/>
          <w:lang w:val="sq-AL"/>
        </w:rPr>
        <w:t xml:space="preserve">zbatimi i kësaj të fundit ndaj furnizimeve dhe importeve të pajisjeve të TI-së. Pas kalimit në një qasje të bazuar në rrezik për </w:t>
      </w:r>
      <w:proofErr w:type="spellStart"/>
      <w:r w:rsidR="00135165" w:rsidRPr="00A6284F">
        <w:rPr>
          <w:rFonts w:eastAsia="Times New Roman"/>
          <w:color w:val="000000"/>
          <w:sz w:val="24"/>
          <w:lang w:val="sq-AL"/>
        </w:rPr>
        <w:t>rifinancimin</w:t>
      </w:r>
      <w:proofErr w:type="spellEnd"/>
      <w:r w:rsidR="00135165" w:rsidRPr="00A6284F">
        <w:rPr>
          <w:rFonts w:eastAsia="Times New Roman"/>
          <w:color w:val="000000"/>
          <w:sz w:val="24"/>
          <w:lang w:val="sq-AL"/>
        </w:rPr>
        <w:t xml:space="preserve"> e TVSH-së në qershor të vitit 2018, k</w:t>
      </w:r>
      <w:r w:rsidRPr="00A6284F">
        <w:rPr>
          <w:rFonts w:eastAsia="Times New Roman"/>
          <w:color w:val="000000"/>
          <w:sz w:val="24"/>
          <w:lang w:val="sq-AL"/>
        </w:rPr>
        <w:t>a pasur</w:t>
      </w:r>
      <w:r w:rsidR="00135165" w:rsidRPr="00A6284F">
        <w:rPr>
          <w:rFonts w:eastAsia="Times New Roman"/>
          <w:color w:val="000000"/>
          <w:sz w:val="24"/>
          <w:lang w:val="sq-AL"/>
        </w:rPr>
        <w:t xml:space="preserve"> pak progres në kufizimin e kohës mesatare për rimbursim deri në më pak se 30 ditë. </w:t>
      </w:r>
      <w:proofErr w:type="spellStart"/>
      <w:r w:rsidRPr="00A6284F">
        <w:rPr>
          <w:rFonts w:eastAsia="Times New Roman"/>
          <w:color w:val="000000"/>
          <w:sz w:val="24"/>
          <w:lang w:val="sq-AL"/>
        </w:rPr>
        <w:t>Rimbursimi</w:t>
      </w:r>
      <w:proofErr w:type="spellEnd"/>
      <w:r w:rsidRPr="00A6284F">
        <w:rPr>
          <w:rFonts w:eastAsia="Times New Roman"/>
          <w:color w:val="000000"/>
          <w:sz w:val="24"/>
          <w:lang w:val="sq-AL"/>
        </w:rPr>
        <w:t xml:space="preserve"> i TVSH-së për mallrat që gjenden në bagazhin personal të udhëtarëve që jetojnë jashtë Kosovës ende nuk është e përafruar me Direktivat e BE-së.</w:t>
      </w:r>
      <w:r w:rsidR="00135165" w:rsidRPr="00A6284F">
        <w:rPr>
          <w:rFonts w:eastAsia="Times New Roman"/>
          <w:color w:val="000000"/>
          <w:sz w:val="24"/>
          <w:lang w:val="sq-AL"/>
        </w:rPr>
        <w:t xml:space="preserve"> Sa i përket akcizave, qeveria miratoi një vendim që fut një normë diskriminuese për cigare, duke shkelur qartazi MSA-në. Autoritetet duhet të zhvillojnë një plan për trajtimin tatimor të avullimit dhe të gjitha llojeve të tjera të humbjeve materiale gjatë transportimi, prodhimit ose ruajtjes së mallrave të akcizës. </w:t>
      </w:r>
      <w:r w:rsidR="00077B32" w:rsidRPr="00A6284F">
        <w:rPr>
          <w:rFonts w:eastAsia="Times New Roman"/>
          <w:color w:val="000000"/>
          <w:sz w:val="24"/>
          <w:lang w:val="sq-AL"/>
        </w:rPr>
        <w:t xml:space="preserve">Tek </w:t>
      </w:r>
      <w:proofErr w:type="spellStart"/>
      <w:r w:rsidR="00077B32" w:rsidRPr="00A6284F">
        <w:rPr>
          <w:rFonts w:eastAsia="Times New Roman"/>
          <w:b/>
          <w:bCs/>
          <w:color w:val="000000"/>
          <w:sz w:val="24"/>
          <w:lang w:val="sq-AL"/>
        </w:rPr>
        <w:t>tatimimi</w:t>
      </w:r>
      <w:proofErr w:type="spellEnd"/>
      <w:r w:rsidR="00077B32" w:rsidRPr="00A6284F">
        <w:rPr>
          <w:rFonts w:eastAsia="Times New Roman"/>
          <w:b/>
          <w:bCs/>
          <w:color w:val="000000"/>
          <w:sz w:val="24"/>
          <w:lang w:val="sq-AL"/>
        </w:rPr>
        <w:t xml:space="preserve"> direkt</w:t>
      </w:r>
      <w:r w:rsidR="00077B32" w:rsidRPr="00A6284F">
        <w:rPr>
          <w:rFonts w:eastAsia="Times New Roman"/>
          <w:color w:val="000000"/>
          <w:sz w:val="24"/>
          <w:lang w:val="sq-AL"/>
        </w:rPr>
        <w:t xml:space="preserve">, çmimet e </w:t>
      </w:r>
      <w:proofErr w:type="spellStart"/>
      <w:r w:rsidR="00077B32" w:rsidRPr="00A6284F">
        <w:rPr>
          <w:rFonts w:eastAsia="Times New Roman"/>
          <w:color w:val="000000"/>
          <w:sz w:val="24"/>
          <w:lang w:val="sq-AL"/>
        </w:rPr>
        <w:t>transfertave</w:t>
      </w:r>
      <w:proofErr w:type="spellEnd"/>
      <w:r w:rsidR="00077B32" w:rsidRPr="00A6284F">
        <w:rPr>
          <w:rFonts w:eastAsia="Times New Roman"/>
          <w:color w:val="000000"/>
          <w:sz w:val="24"/>
          <w:lang w:val="sq-AL"/>
        </w:rPr>
        <w:t xml:space="preserve"> ndërmjet ndërmarrjeve në pronësi apo kontroll të përbashkët adresohen me Ligjin për tatimin në të hyra të korporatave, në përputhje me udhëzimet e OECD-së për marrëveshjet për eliminimin e </w:t>
      </w:r>
      <w:proofErr w:type="spellStart"/>
      <w:r w:rsidR="00077B32" w:rsidRPr="00A6284F">
        <w:rPr>
          <w:rFonts w:eastAsia="Times New Roman"/>
          <w:color w:val="000000"/>
          <w:sz w:val="24"/>
          <w:lang w:val="sq-AL"/>
        </w:rPr>
        <w:t>tatimimit</w:t>
      </w:r>
      <w:proofErr w:type="spellEnd"/>
      <w:r w:rsidR="00077B32" w:rsidRPr="00A6284F">
        <w:rPr>
          <w:rFonts w:eastAsia="Times New Roman"/>
          <w:color w:val="000000"/>
          <w:sz w:val="24"/>
          <w:lang w:val="sq-AL"/>
        </w:rPr>
        <w:t xml:space="preserve"> të dyfishtë</w:t>
      </w:r>
      <w:r w:rsidR="00135165" w:rsidRPr="00A6284F">
        <w:rPr>
          <w:rFonts w:eastAsia="Times New Roman"/>
          <w:color w:val="000000"/>
          <w:sz w:val="24"/>
          <w:lang w:val="sq-AL"/>
        </w:rPr>
        <w:t>.</w:t>
      </w:r>
    </w:p>
    <w:p w:rsidR="00135165" w:rsidRPr="00A6284F" w:rsidRDefault="00135165" w:rsidP="00723AF3">
      <w:pPr>
        <w:spacing w:before="123"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bashkëpunimi administrativ dhe ndihma e ndërsjellë ligjore</w:t>
      </w:r>
      <w:r w:rsidRPr="00A6284F">
        <w:rPr>
          <w:rFonts w:eastAsia="Times New Roman"/>
          <w:color w:val="000000"/>
          <w:sz w:val="24"/>
          <w:lang w:val="sq-AL"/>
        </w:rPr>
        <w:t xml:space="preserve">, Kosova nënshkroi edhe një </w:t>
      </w:r>
      <w:r w:rsidR="00077B32" w:rsidRPr="00A6284F">
        <w:rPr>
          <w:rFonts w:eastAsia="Times New Roman"/>
          <w:color w:val="000000"/>
          <w:sz w:val="24"/>
          <w:lang w:val="sq-AL"/>
        </w:rPr>
        <w:t>MTD</w:t>
      </w:r>
      <w:r w:rsidRPr="00A6284F">
        <w:rPr>
          <w:rFonts w:eastAsia="Times New Roman"/>
          <w:color w:val="000000"/>
          <w:sz w:val="24"/>
          <w:lang w:val="sq-AL"/>
        </w:rPr>
        <w:t xml:space="preserve"> me Austrinë në vitin 2018, duke e çuar numrin e MTD-ve në 14 (11 prej të cilave kishin hyrë në fuqi deri në vitin 2018). Duhet të shqyrtohet miratimi i </w:t>
      </w:r>
      <w:r w:rsidR="00723AF3" w:rsidRPr="00A6284F">
        <w:rPr>
          <w:rFonts w:eastAsia="Times New Roman"/>
          <w:color w:val="000000"/>
          <w:sz w:val="24"/>
          <w:lang w:val="sq-AL"/>
        </w:rPr>
        <w:t>standardëve</w:t>
      </w:r>
      <w:r w:rsidRPr="00A6284F">
        <w:rPr>
          <w:rFonts w:eastAsia="Times New Roman"/>
          <w:color w:val="000000"/>
          <w:sz w:val="24"/>
          <w:lang w:val="sq-AL"/>
        </w:rPr>
        <w:t xml:space="preserve"> të përcaktuara në OECD/Konventën e Këshillit të Evropës për Asistencën e Ndërsjellë Administrative në Çështjet Tatimore.</w:t>
      </w:r>
    </w:p>
    <w:p w:rsidR="00135165" w:rsidRPr="00A6284F" w:rsidRDefault="00135165" w:rsidP="00723AF3">
      <w:pPr>
        <w:spacing w:before="123" w:line="276" w:lineRule="exact"/>
        <w:ind w:left="144" w:right="72"/>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kapaciteti operativ dhe kompjuterizimi</w:t>
      </w:r>
      <w:r w:rsidRPr="00A6284F">
        <w:rPr>
          <w:rFonts w:eastAsia="Times New Roman"/>
          <w:color w:val="000000"/>
          <w:sz w:val="24"/>
          <w:lang w:val="sq-AL"/>
        </w:rPr>
        <w:t xml:space="preserve">, modernizimi i platformës së brendshme të TI-së të autoriteteve tatimore (dhe shfrytëzimi i shërbimeve elektronike) duhet të vazhdojë. Ka pasur pak progres në </w:t>
      </w:r>
      <w:r w:rsidR="00723AF3" w:rsidRPr="00A6284F">
        <w:rPr>
          <w:rFonts w:eastAsia="Times New Roman"/>
          <w:color w:val="000000"/>
          <w:sz w:val="24"/>
          <w:lang w:val="sq-AL"/>
        </w:rPr>
        <w:t>tkurrjen e</w:t>
      </w:r>
      <w:r w:rsidRPr="00A6284F">
        <w:rPr>
          <w:rFonts w:eastAsia="Times New Roman"/>
          <w:color w:val="000000"/>
          <w:sz w:val="24"/>
          <w:lang w:val="sq-AL"/>
        </w:rPr>
        <w:t xml:space="preserve"> ekonomisë </w:t>
      </w:r>
      <w:r w:rsidR="00723AF3" w:rsidRPr="00A6284F">
        <w:rPr>
          <w:rFonts w:eastAsia="Times New Roman"/>
          <w:color w:val="000000"/>
          <w:sz w:val="24"/>
          <w:lang w:val="sq-AL"/>
        </w:rPr>
        <w:t>jo</w:t>
      </w:r>
      <w:r w:rsidRPr="00A6284F">
        <w:rPr>
          <w:rFonts w:eastAsia="Times New Roman"/>
          <w:color w:val="000000"/>
          <w:sz w:val="24"/>
          <w:lang w:val="sq-AL"/>
        </w:rPr>
        <w:t xml:space="preserve">formale </w:t>
      </w:r>
      <w:r w:rsidR="00723AF3" w:rsidRPr="00A6284F">
        <w:rPr>
          <w:rFonts w:eastAsia="Times New Roman"/>
          <w:color w:val="000000"/>
          <w:sz w:val="24"/>
          <w:lang w:val="sq-AL"/>
        </w:rPr>
        <w:t>të hirtë</w:t>
      </w:r>
      <w:r w:rsidRPr="00A6284F">
        <w:rPr>
          <w:rFonts w:eastAsia="Times New Roman"/>
          <w:color w:val="000000"/>
          <w:sz w:val="24"/>
          <w:lang w:val="sq-AL"/>
        </w:rPr>
        <w:t xml:space="preserve">, dhe vjelja e përgjithshme e të hyrave tatimore në vitin 2018 u rrit për 10.2% në krahasim me vitin 2017 për shkak të përputhshmërisë më të madhe tatimore dhe vjeljes së borxhit tatimor. Një strategji dhe plan i veprimit i rishikuar për të luftuar ekonominë </w:t>
      </w:r>
      <w:r w:rsidR="00723AF3" w:rsidRPr="00A6284F">
        <w:rPr>
          <w:rFonts w:eastAsia="Times New Roman"/>
          <w:color w:val="000000"/>
          <w:sz w:val="24"/>
          <w:lang w:val="sq-AL"/>
        </w:rPr>
        <w:t>jo</w:t>
      </w:r>
      <w:r w:rsidRPr="00A6284F">
        <w:rPr>
          <w:rFonts w:eastAsia="Times New Roman"/>
          <w:color w:val="000000"/>
          <w:sz w:val="24"/>
          <w:lang w:val="sq-AL"/>
        </w:rPr>
        <w:t>formale që fut tregues cilësorë dhe sasiorë për të monitoruar më mirë progresin u miratua në maj të vitit 2019. Admin</w:t>
      </w:r>
      <w:r w:rsidR="00723AF3" w:rsidRPr="00A6284F">
        <w:rPr>
          <w:rFonts w:eastAsia="Times New Roman"/>
          <w:color w:val="000000"/>
          <w:sz w:val="24"/>
          <w:lang w:val="sq-AL"/>
        </w:rPr>
        <w:t>i</w:t>
      </w:r>
      <w:r w:rsidRPr="00A6284F">
        <w:rPr>
          <w:rFonts w:eastAsia="Times New Roman"/>
          <w:color w:val="000000"/>
          <w:sz w:val="24"/>
          <w:lang w:val="sq-AL"/>
        </w:rPr>
        <w:t xml:space="preserve">strata Tatimore e </w:t>
      </w:r>
      <w:r w:rsidRPr="00A6284F">
        <w:rPr>
          <w:rFonts w:eastAsia="Times New Roman"/>
          <w:color w:val="000000"/>
          <w:sz w:val="24"/>
          <w:lang w:val="sq-AL"/>
        </w:rPr>
        <w:lastRenderedPageBreak/>
        <w:t>Kosovës ka zhvilluar një fokus të mirë të shërbimit të tatimpaguesve, në veçanti me përdorimin e përhapur të sistemeve të paraqitjes elektronike (e-</w:t>
      </w:r>
      <w:proofErr w:type="spellStart"/>
      <w:r w:rsidRPr="00A6284F">
        <w:rPr>
          <w:rFonts w:eastAsia="Times New Roman"/>
          <w:color w:val="000000"/>
          <w:sz w:val="24"/>
          <w:lang w:val="sq-AL"/>
        </w:rPr>
        <w:t>filing</w:t>
      </w:r>
      <w:proofErr w:type="spellEnd"/>
      <w:r w:rsidRPr="00A6284F">
        <w:rPr>
          <w:rFonts w:eastAsia="Times New Roman"/>
          <w:color w:val="000000"/>
          <w:sz w:val="24"/>
          <w:lang w:val="sq-AL"/>
        </w:rPr>
        <w:t>) dhe pagesave elektronike (e-</w:t>
      </w:r>
      <w:proofErr w:type="spellStart"/>
      <w:r w:rsidRPr="00A6284F">
        <w:rPr>
          <w:rFonts w:eastAsia="Times New Roman"/>
          <w:color w:val="000000"/>
          <w:sz w:val="24"/>
          <w:lang w:val="sq-AL"/>
        </w:rPr>
        <w:t>payment</w:t>
      </w:r>
      <w:proofErr w:type="spellEnd"/>
      <w:r w:rsidRPr="00A6284F">
        <w:rPr>
          <w:rFonts w:eastAsia="Times New Roman"/>
          <w:color w:val="000000"/>
          <w:sz w:val="24"/>
          <w:lang w:val="sq-AL"/>
        </w:rPr>
        <w:t xml:space="preserve">). Inspektimet në terren u rritën, </w:t>
      </w:r>
      <w:r w:rsidR="00ED2C90" w:rsidRPr="00A6284F">
        <w:rPr>
          <w:rFonts w:eastAsia="Times New Roman"/>
          <w:color w:val="000000"/>
          <w:sz w:val="24"/>
          <w:lang w:val="sq-AL"/>
        </w:rPr>
        <w:t>ku</w:t>
      </w:r>
      <w:r w:rsidRPr="00A6284F">
        <w:rPr>
          <w:rFonts w:eastAsia="Times New Roman"/>
          <w:color w:val="000000"/>
          <w:sz w:val="24"/>
          <w:lang w:val="sq-AL"/>
        </w:rPr>
        <w:t xml:space="preserve"> Administrat</w:t>
      </w:r>
      <w:r w:rsidR="00ED2C90" w:rsidRPr="00A6284F">
        <w:rPr>
          <w:rFonts w:eastAsia="Times New Roman"/>
          <w:color w:val="000000"/>
          <w:sz w:val="24"/>
          <w:lang w:val="sq-AL"/>
        </w:rPr>
        <w:t>a</w:t>
      </w:r>
      <w:r w:rsidRPr="00A6284F">
        <w:rPr>
          <w:rFonts w:eastAsia="Times New Roman"/>
          <w:color w:val="000000"/>
          <w:sz w:val="24"/>
          <w:lang w:val="sq-AL"/>
        </w:rPr>
        <w:t xml:space="preserve"> kreu 306 operacione kundër evazionit fiskal në 17 lokacione në vitin 2018. Evazioni fiskal në vlerën prej mbi 7 milionë euro u gjet në periudhën e njëjtë. Megjithatë evazioni fiskal dhe </w:t>
      </w:r>
      <w:proofErr w:type="spellStart"/>
      <w:r w:rsidRPr="00A6284F">
        <w:rPr>
          <w:rFonts w:eastAsia="Times New Roman"/>
          <w:color w:val="000000"/>
          <w:sz w:val="24"/>
          <w:lang w:val="sq-AL"/>
        </w:rPr>
        <w:t>informaliteti</w:t>
      </w:r>
      <w:proofErr w:type="spellEnd"/>
      <w:r w:rsidRPr="00A6284F">
        <w:rPr>
          <w:rFonts w:eastAsia="Times New Roman"/>
          <w:color w:val="000000"/>
          <w:sz w:val="24"/>
          <w:lang w:val="sq-AL"/>
        </w:rPr>
        <w:t xml:space="preserve"> vazhdojnë </w:t>
      </w:r>
      <w:r w:rsidR="00ED2C90" w:rsidRPr="00A6284F">
        <w:rPr>
          <w:rFonts w:eastAsia="Times New Roman"/>
          <w:color w:val="000000"/>
          <w:sz w:val="24"/>
          <w:lang w:val="sq-AL"/>
        </w:rPr>
        <w:t xml:space="preserve">të </w:t>
      </w:r>
      <w:r w:rsidRPr="00A6284F">
        <w:rPr>
          <w:rFonts w:eastAsia="Times New Roman"/>
          <w:color w:val="000000"/>
          <w:sz w:val="24"/>
          <w:lang w:val="sq-AL"/>
        </w:rPr>
        <w:t xml:space="preserve">pengojnë ekonominë dhe nevojiten përpjekje të mëtejshme, në veçanti për inspektimet në terren të bazuara në rrezik dhe bashkëpunimin ndërinstitucional. Administrata tatimore duhet të forcojë më tej kapacitetin e vet </w:t>
      </w:r>
      <w:r w:rsidR="00ED2C90" w:rsidRPr="00A6284F">
        <w:rPr>
          <w:rFonts w:eastAsia="Times New Roman"/>
          <w:color w:val="000000"/>
          <w:sz w:val="24"/>
          <w:lang w:val="sq-AL"/>
        </w:rPr>
        <w:t>administrativ</w:t>
      </w:r>
      <w:r w:rsidRPr="00A6284F">
        <w:rPr>
          <w:rFonts w:eastAsia="Times New Roman"/>
          <w:color w:val="000000"/>
          <w:sz w:val="24"/>
          <w:lang w:val="sq-AL"/>
        </w:rPr>
        <w:t xml:space="preserve"> dhe profesional dhe të sigurojë procese transparente dhe të bazuara në merita të përzgjedhjes. Ndërmjetësuesve financiarë u kërkohet vetëm të informojnë autoritetin tatimor për pranuesit e të ardhurave të kursimeve vetëm kur u kërkohet. Pretendimet e mashtrimeve serioze tatimore duhet të hetohen siç duhet. Nevojiten përpjekje shtesë për të adresuar më tej numrin e ankesave të pazgjidhura kundër administratës tatimore në divizionin fiskal të Gjykatës Themelore në Prishtinë.</w:t>
      </w:r>
    </w:p>
    <w:p w:rsidR="00135165" w:rsidRPr="00A6284F" w:rsidRDefault="00135165" w:rsidP="00135165">
      <w:pPr>
        <w:tabs>
          <w:tab w:val="left" w:pos="864"/>
        </w:tabs>
        <w:spacing w:before="130" w:after="105" w:line="274" w:lineRule="exact"/>
        <w:ind w:left="144"/>
        <w:textAlignment w:val="baseline"/>
        <w:rPr>
          <w:rFonts w:eastAsia="Times New Roman"/>
          <w:b/>
          <w:color w:val="000000"/>
          <w:sz w:val="24"/>
          <w:lang w:val="sq-AL"/>
        </w:rPr>
      </w:pPr>
      <w:r w:rsidRPr="00A6284F">
        <w:rPr>
          <w:rFonts w:eastAsia="Times New Roman"/>
          <w:b/>
          <w:color w:val="000000"/>
          <w:sz w:val="24"/>
          <w:lang w:val="sq-AL"/>
        </w:rPr>
        <w:t>6.7</w:t>
      </w:r>
      <w:r w:rsidRPr="00A6284F">
        <w:rPr>
          <w:rFonts w:eastAsia="Times New Roman"/>
          <w:b/>
          <w:color w:val="000000"/>
          <w:sz w:val="24"/>
          <w:lang w:val="sq-AL"/>
        </w:rPr>
        <w:tab/>
        <w:t>Konkurrenca</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135165" w:rsidRPr="00A6284F" w:rsidTr="007E58F5">
        <w:trPr>
          <w:trHeight w:hRule="exact" w:val="5074"/>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7E58F5">
            <w:pPr>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w:t>
            </w:r>
            <w:r w:rsidRPr="00A6284F">
              <w:rPr>
                <w:rFonts w:eastAsia="Times New Roman"/>
                <w:b/>
                <w:color w:val="000000"/>
                <w:sz w:val="24"/>
                <w:lang w:val="sq-AL"/>
              </w:rPr>
              <w:t>fazë të hershme</w:t>
            </w:r>
            <w:r w:rsidRPr="00A6284F">
              <w:rPr>
                <w:rFonts w:eastAsia="Times New Roman"/>
                <w:color w:val="000000"/>
                <w:sz w:val="24"/>
                <w:lang w:val="sq-AL"/>
              </w:rPr>
              <w:t xml:space="preserve"> në fushën e konkurrencës. </w:t>
            </w:r>
            <w:r w:rsidRPr="00A6284F">
              <w:rPr>
                <w:rFonts w:eastAsia="Times New Roman"/>
                <w:b/>
                <w:color w:val="000000"/>
                <w:sz w:val="24"/>
                <w:lang w:val="sq-AL"/>
              </w:rPr>
              <w:t>Pak progres</w:t>
            </w:r>
            <w:r w:rsidRPr="00A6284F">
              <w:rPr>
                <w:rFonts w:eastAsia="Times New Roman"/>
                <w:color w:val="000000"/>
                <w:sz w:val="24"/>
                <w:lang w:val="sq-AL"/>
              </w:rPr>
              <w:t xml:space="preserve"> është bërë me harmonizimin e mëtejshëm të legjislacionit dhe zhvillimin e kapaciteteve institucionale të Autoritetit Kosovar të Konkurrencës. Megjithatë, Autoriteti përballet me sfida në lidhje me kapacitetin e tij hetues dhe vendimmarrës. Në fushën e ndihmës shtetërore, nevojiten përpjekje të konsiderueshme për të përmirësuar zbatimin dhe harmonizimin legjislativ. Komisioni i Ndihmës Shtetërore, anëtarët e të cilit janë emëruar në mars të vitit 2019, duhet të bëhet funksional.</w:t>
            </w:r>
          </w:p>
          <w:p w:rsidR="00135165" w:rsidRPr="00A6284F" w:rsidRDefault="00135165" w:rsidP="007E58F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Pasi që rekomandimet e vitit të kaluar mbeten kryesisht të pa</w:t>
            </w:r>
            <w:r w:rsidR="00370B93" w:rsidRPr="00A6284F">
              <w:rPr>
                <w:rFonts w:eastAsia="Times New Roman"/>
                <w:color w:val="000000"/>
                <w:sz w:val="24"/>
                <w:lang w:val="sq-AL"/>
              </w:rPr>
              <w:t>-</w:t>
            </w:r>
            <w:r w:rsidRPr="00A6284F">
              <w:rPr>
                <w:rFonts w:eastAsia="Times New Roman"/>
                <w:color w:val="000000"/>
                <w:sz w:val="24"/>
                <w:lang w:val="sq-AL"/>
              </w:rPr>
              <w:t>adresuara, Kosova duhet t'i kushtojë vëmendje të veçantë vitin e ardhshëm:</w:t>
            </w:r>
          </w:p>
          <w:p w:rsidR="00135165" w:rsidRPr="00A6284F" w:rsidRDefault="00135165" w:rsidP="007E58F5">
            <w:pPr>
              <w:spacing w:before="137"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siguruarit të kapacitetit funksional dhe pavarësisë operative të institucioneve të konkurrencës dhe ndihmës nga shteti dhe rritjes së bashkëpunimit dhe koordinimit ndërmjet ministrive, institucioneve dhe akterëve përkatës;</w:t>
            </w:r>
          </w:p>
          <w:p w:rsidR="00135165" w:rsidRPr="00A6284F" w:rsidRDefault="00135165"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përfundimit të përafrimit të legjislacionit sekondar për konkurrencën dhe ndihmën nga shteti dhe sigurimit të zbatimit të tij;</w:t>
            </w:r>
          </w:p>
          <w:p w:rsidR="00135165" w:rsidRPr="00A6284F" w:rsidRDefault="00135165" w:rsidP="007E58F5">
            <w:pPr>
              <w:spacing w:before="137" w:after="105" w:line="276" w:lineRule="exact"/>
              <w:ind w:left="450" w:hanging="306"/>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përmbushjes së detyrimeve të MSA-së në lidhje me inventarin e skemave të ndihmës shtetërore dhe ndërmarrjet publike.</w:t>
            </w:r>
          </w:p>
        </w:tc>
      </w:tr>
    </w:tbl>
    <w:p w:rsidR="00135165" w:rsidRPr="00A6284F" w:rsidRDefault="00135165" w:rsidP="00135165">
      <w:pPr>
        <w:spacing w:line="274" w:lineRule="exact"/>
        <w:ind w:left="144"/>
        <w:textAlignment w:val="baseline"/>
        <w:rPr>
          <w:rFonts w:eastAsia="Times New Roman"/>
          <w:color w:val="000000"/>
          <w:sz w:val="24"/>
          <w:u w:val="single"/>
          <w:lang w:val="sq-AL"/>
        </w:rPr>
      </w:pPr>
      <w:proofErr w:type="spellStart"/>
      <w:r w:rsidRPr="00A6284F">
        <w:rPr>
          <w:rFonts w:eastAsia="Times New Roman"/>
          <w:color w:val="000000"/>
          <w:sz w:val="24"/>
          <w:u w:val="single"/>
          <w:lang w:val="sq-AL"/>
        </w:rPr>
        <w:t>Anti</w:t>
      </w:r>
      <w:proofErr w:type="spellEnd"/>
      <w:r w:rsidRPr="00A6284F">
        <w:rPr>
          <w:rFonts w:eastAsia="Times New Roman"/>
          <w:color w:val="000000"/>
          <w:sz w:val="24"/>
          <w:u w:val="single"/>
          <w:lang w:val="sq-AL"/>
        </w:rPr>
        <w:t>-trusti dhe bashkimet</w:t>
      </w:r>
    </w:p>
    <w:p w:rsidR="00135165" w:rsidRPr="00A6284F" w:rsidRDefault="00135165" w:rsidP="00135165">
      <w:pPr>
        <w:spacing w:before="119"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Korniza legjislative</w:t>
      </w:r>
      <w:r w:rsidRPr="00A6284F">
        <w:rPr>
          <w:rFonts w:eastAsia="Times New Roman"/>
          <w:color w:val="000000"/>
          <w:sz w:val="24"/>
          <w:lang w:val="sq-AL"/>
        </w:rPr>
        <w:t xml:space="preserve"> është përgjithësisht e përafruar me nenin 101 (marrëveshjet kufizuese) si dhe nenin 102 (abuzimi me pozitën dominuese) të Traktatit për Funksionimin e Bashkimit Evropian (TF</w:t>
      </w:r>
      <w:r w:rsidR="00954E97" w:rsidRPr="00A6284F">
        <w:rPr>
          <w:rFonts w:eastAsia="Times New Roman"/>
          <w:color w:val="000000"/>
          <w:sz w:val="24"/>
          <w:lang w:val="sq-AL"/>
        </w:rPr>
        <w:t>BE</w:t>
      </w:r>
      <w:r w:rsidRPr="00A6284F">
        <w:rPr>
          <w:rFonts w:eastAsia="Times New Roman"/>
          <w:color w:val="000000"/>
          <w:sz w:val="24"/>
          <w:lang w:val="sq-AL"/>
        </w:rPr>
        <w:t xml:space="preserve">). Korniza ligjore për Autoritetin e Konkurrencës së Kosovës për të kontrolluar </w:t>
      </w:r>
      <w:proofErr w:type="spellStart"/>
      <w:r w:rsidRPr="00A6284F">
        <w:rPr>
          <w:rFonts w:eastAsia="Times New Roman"/>
          <w:color w:val="000000"/>
          <w:sz w:val="24"/>
          <w:lang w:val="sq-AL"/>
        </w:rPr>
        <w:t>anti</w:t>
      </w:r>
      <w:proofErr w:type="spellEnd"/>
      <w:r w:rsidRPr="00A6284F">
        <w:rPr>
          <w:rFonts w:eastAsia="Times New Roman"/>
          <w:color w:val="000000"/>
          <w:sz w:val="24"/>
          <w:lang w:val="sq-AL"/>
        </w:rPr>
        <w:t xml:space="preserve">-trustin dhe </w:t>
      </w:r>
      <w:proofErr w:type="spellStart"/>
      <w:r w:rsidR="00D64139" w:rsidRPr="00A6284F">
        <w:rPr>
          <w:rFonts w:eastAsia="Times New Roman"/>
          <w:color w:val="000000"/>
          <w:sz w:val="24"/>
          <w:lang w:val="sq-AL"/>
        </w:rPr>
        <w:t>përbashkimet</w:t>
      </w:r>
      <w:proofErr w:type="spellEnd"/>
      <w:r w:rsidR="00D64139" w:rsidRPr="00A6284F">
        <w:rPr>
          <w:rFonts w:eastAsia="Times New Roman"/>
          <w:color w:val="000000"/>
          <w:sz w:val="24"/>
          <w:lang w:val="sq-AL"/>
        </w:rPr>
        <w:t xml:space="preserve"> </w:t>
      </w:r>
      <w:r w:rsidRPr="00A6284F">
        <w:rPr>
          <w:rFonts w:eastAsia="Times New Roman"/>
          <w:color w:val="000000"/>
          <w:sz w:val="24"/>
          <w:lang w:val="sq-AL"/>
        </w:rPr>
        <w:t xml:space="preserve">është e vendosur. Ndryshimet në Ligjin e konkurrencës janë duke u përgatitur në përputhje me acquis. Përveç kësaj, progres i mëtejshëm është arritur me miratimin e legjislacionit sekondar në lidhje me </w:t>
      </w:r>
      <w:proofErr w:type="spellStart"/>
      <w:r w:rsidRPr="00A6284F">
        <w:rPr>
          <w:rFonts w:eastAsia="Times New Roman"/>
          <w:color w:val="000000"/>
          <w:sz w:val="24"/>
          <w:lang w:val="sq-AL"/>
        </w:rPr>
        <w:t>anti</w:t>
      </w:r>
      <w:proofErr w:type="spellEnd"/>
      <w:r w:rsidRPr="00A6284F">
        <w:rPr>
          <w:rFonts w:eastAsia="Times New Roman"/>
          <w:color w:val="000000"/>
          <w:sz w:val="24"/>
          <w:lang w:val="sq-AL"/>
        </w:rPr>
        <w:t>-trustin, veçanërisht disa udhëzime administrative.</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korniza institucionale</w:t>
      </w:r>
      <w:r w:rsidRPr="00A6284F">
        <w:rPr>
          <w:rFonts w:eastAsia="Times New Roman"/>
          <w:color w:val="000000"/>
          <w:sz w:val="24"/>
          <w:lang w:val="sq-AL"/>
        </w:rPr>
        <w:t>, Autoriteti Kosovar i Konkurrencës është përgjegjës për zbatimin e ligjit të konkurrencës. Autoriteti qeveriset nga Komisioni i Kosovës për Konkurrencë, organ kolektiv vendimmarrës i emëruar nga Kuvendi. Formalisht, Autoriteti ka kompetenca për inici</w:t>
      </w:r>
      <w:r w:rsidR="00D64139" w:rsidRPr="00A6284F">
        <w:rPr>
          <w:rFonts w:eastAsia="Times New Roman"/>
          <w:color w:val="000000"/>
          <w:sz w:val="24"/>
          <w:lang w:val="sq-AL"/>
        </w:rPr>
        <w:t>m</w:t>
      </w:r>
      <w:r w:rsidRPr="00A6284F">
        <w:rPr>
          <w:rFonts w:eastAsia="Times New Roman"/>
          <w:color w:val="000000"/>
          <w:sz w:val="24"/>
          <w:lang w:val="sq-AL"/>
        </w:rPr>
        <w:t xml:space="preserve">in e hetimeve, kryerjen e inspektimeve në terren, vendosjen e gjobave dhe masave </w:t>
      </w:r>
      <w:proofErr w:type="spellStart"/>
      <w:r w:rsidRPr="00A6284F">
        <w:rPr>
          <w:rFonts w:eastAsia="Times New Roman"/>
          <w:color w:val="000000"/>
          <w:sz w:val="24"/>
          <w:lang w:val="sq-AL"/>
        </w:rPr>
        <w:t>sanuese</w:t>
      </w:r>
      <w:proofErr w:type="spellEnd"/>
      <w:r w:rsidRPr="00A6284F">
        <w:rPr>
          <w:rFonts w:eastAsia="Times New Roman"/>
          <w:color w:val="000000"/>
          <w:sz w:val="24"/>
          <w:lang w:val="sq-AL"/>
        </w:rPr>
        <w:t xml:space="preserve">, si dhe për ndalimin e bashkimeve </w:t>
      </w:r>
      <w:proofErr w:type="spellStart"/>
      <w:r w:rsidRPr="00A6284F">
        <w:rPr>
          <w:rFonts w:eastAsia="Times New Roman"/>
          <w:color w:val="000000"/>
          <w:sz w:val="24"/>
          <w:lang w:val="sq-AL"/>
        </w:rPr>
        <w:t>anti</w:t>
      </w:r>
      <w:proofErr w:type="spellEnd"/>
      <w:r w:rsidRPr="00A6284F">
        <w:rPr>
          <w:rFonts w:eastAsia="Times New Roman"/>
          <w:color w:val="000000"/>
          <w:sz w:val="24"/>
          <w:lang w:val="sq-AL"/>
        </w:rPr>
        <w:t>-konkurrencë. Megjithatë, bashkëpunimi, raportimi dhe koordinimi me institucionet qeveritare, rregullatorët dhe ministritë duhet të forcohet.</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kapacitetit për zbatim të legjislacionit</w:t>
      </w:r>
      <w:r w:rsidRPr="00A6284F">
        <w:rPr>
          <w:rFonts w:eastAsia="Times New Roman"/>
          <w:color w:val="000000"/>
          <w:sz w:val="24"/>
          <w:lang w:val="sq-AL"/>
        </w:rPr>
        <w:t xml:space="preserve">, Autoriteti ka personel dhe buxhet adekuat. Ekipit i nevojiten trajnime të përshtatshme për të trajtuar rastet në mënyrë më efikase dhe për të zbatuar rregullat në mënyrë efektive. Gjyqtarëve dhe stafit të gjykatës që merren </w:t>
      </w:r>
      <w:r w:rsidRPr="00A6284F">
        <w:rPr>
          <w:rFonts w:eastAsia="Times New Roman"/>
          <w:color w:val="000000"/>
          <w:sz w:val="24"/>
          <w:lang w:val="sq-AL"/>
        </w:rPr>
        <w:lastRenderedPageBreak/>
        <w:t xml:space="preserve">me rastet e konkurrencës dhe kontrollimin e </w:t>
      </w:r>
      <w:proofErr w:type="spellStart"/>
      <w:r w:rsidRPr="00A6284F">
        <w:rPr>
          <w:rFonts w:eastAsia="Times New Roman"/>
          <w:color w:val="000000"/>
          <w:sz w:val="24"/>
          <w:lang w:val="sq-AL"/>
        </w:rPr>
        <w:t>përbashkimit</w:t>
      </w:r>
      <w:proofErr w:type="spellEnd"/>
      <w:r w:rsidRPr="00A6284F">
        <w:rPr>
          <w:rFonts w:eastAsia="Times New Roman"/>
          <w:color w:val="000000"/>
          <w:sz w:val="24"/>
          <w:lang w:val="sq-AL"/>
        </w:rPr>
        <w:t xml:space="preserve"> u mungon ende ekspertiza adekuate në këtë fushë.</w:t>
      </w:r>
    </w:p>
    <w:p w:rsidR="00135165" w:rsidRPr="00A6284F" w:rsidRDefault="00135165" w:rsidP="00D64139">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Progres shtesë është bërë në </w:t>
      </w:r>
      <w:r w:rsidRPr="00A6284F">
        <w:rPr>
          <w:rFonts w:eastAsia="Times New Roman"/>
          <w:b/>
          <w:color w:val="000000"/>
          <w:sz w:val="24"/>
          <w:lang w:val="sq-AL"/>
        </w:rPr>
        <w:t>zbatim,</w:t>
      </w:r>
      <w:r w:rsidRPr="00A6284F">
        <w:rPr>
          <w:rFonts w:eastAsia="Times New Roman"/>
          <w:color w:val="000000"/>
          <w:sz w:val="24"/>
          <w:lang w:val="sq-AL"/>
        </w:rPr>
        <w:t xml:space="preserve"> veçanërisht në miratimin e vendimeve të marrëveshjeve </w:t>
      </w:r>
      <w:proofErr w:type="spellStart"/>
      <w:r w:rsidRPr="00A6284F">
        <w:rPr>
          <w:rFonts w:eastAsia="Times New Roman"/>
          <w:color w:val="000000"/>
          <w:sz w:val="24"/>
          <w:lang w:val="sq-AL"/>
        </w:rPr>
        <w:t>anti</w:t>
      </w:r>
      <w:proofErr w:type="spellEnd"/>
      <w:r w:rsidRPr="00A6284F">
        <w:rPr>
          <w:rFonts w:eastAsia="Times New Roman"/>
          <w:color w:val="000000"/>
          <w:sz w:val="24"/>
          <w:lang w:val="sq-AL"/>
        </w:rPr>
        <w:t xml:space="preserve">-konkurruese, abuzimin e pozitës dominuese dhe </w:t>
      </w:r>
      <w:proofErr w:type="spellStart"/>
      <w:r w:rsidRPr="00A6284F">
        <w:rPr>
          <w:rFonts w:eastAsia="Times New Roman"/>
          <w:color w:val="000000"/>
          <w:sz w:val="24"/>
          <w:lang w:val="sq-AL"/>
        </w:rPr>
        <w:t>përbashkimet</w:t>
      </w:r>
      <w:proofErr w:type="spellEnd"/>
      <w:r w:rsidRPr="00A6284F">
        <w:rPr>
          <w:rFonts w:eastAsia="Times New Roman"/>
          <w:color w:val="000000"/>
          <w:sz w:val="24"/>
          <w:lang w:val="sq-AL"/>
        </w:rPr>
        <w:t>. Komisioni i Kosovës për Konkurrencë lëshoi 10 opinione profesionale në vitin 2018. Megjithatë, ngritja e vetëdijes dhe kuptimi i politikës së konkurrencës në mesin e stafit, dhe veçanërisht gjyqtarëve, duhet të avancohet në mënyrë të konsiderueshme.</w:t>
      </w:r>
    </w:p>
    <w:p w:rsidR="00D64139" w:rsidRPr="00A6284F" w:rsidRDefault="00D64139" w:rsidP="00135165">
      <w:pPr>
        <w:spacing w:before="21" w:line="274" w:lineRule="exact"/>
        <w:ind w:left="144"/>
        <w:textAlignment w:val="baseline"/>
        <w:rPr>
          <w:rFonts w:eastAsia="Times New Roman"/>
          <w:color w:val="000000"/>
          <w:spacing w:val="-1"/>
          <w:sz w:val="24"/>
          <w:u w:val="single"/>
          <w:lang w:val="sq-AL"/>
        </w:rPr>
      </w:pPr>
    </w:p>
    <w:p w:rsidR="00135165" w:rsidRPr="00A6284F" w:rsidRDefault="00135165" w:rsidP="00135165">
      <w:pPr>
        <w:spacing w:before="21" w:line="274" w:lineRule="exact"/>
        <w:ind w:left="144"/>
        <w:textAlignment w:val="baseline"/>
        <w:rPr>
          <w:rFonts w:eastAsia="Times New Roman"/>
          <w:color w:val="000000"/>
          <w:spacing w:val="-1"/>
          <w:sz w:val="24"/>
          <w:u w:val="single"/>
          <w:lang w:val="sq-AL"/>
        </w:rPr>
      </w:pPr>
      <w:r w:rsidRPr="00A6284F">
        <w:rPr>
          <w:rFonts w:eastAsia="Times New Roman"/>
          <w:color w:val="000000"/>
          <w:spacing w:val="-1"/>
          <w:sz w:val="24"/>
          <w:u w:val="single"/>
          <w:lang w:val="sq-AL"/>
        </w:rPr>
        <w:t>Ndihma nga shteti</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Korniza ligjore</w:t>
      </w:r>
      <w:r w:rsidRPr="00A6284F">
        <w:rPr>
          <w:rFonts w:eastAsia="Times New Roman"/>
          <w:color w:val="000000"/>
          <w:sz w:val="24"/>
          <w:lang w:val="sq-AL"/>
        </w:rPr>
        <w:t xml:space="preserve"> është në masë të madhe në përputhje me acquis. Ligji për ndihmë shtetërore është gjerësisht i përafruar me nenet 107 dhe 108 të </w:t>
      </w:r>
      <w:r w:rsidR="0035509B" w:rsidRPr="00A6284F">
        <w:rPr>
          <w:rFonts w:eastAsia="Times New Roman"/>
          <w:color w:val="000000"/>
          <w:sz w:val="24"/>
          <w:lang w:val="sq-AL"/>
        </w:rPr>
        <w:t>TFBE</w:t>
      </w:r>
      <w:r w:rsidRPr="00A6284F">
        <w:rPr>
          <w:rFonts w:eastAsia="Times New Roman"/>
          <w:color w:val="000000"/>
          <w:sz w:val="24"/>
          <w:lang w:val="sq-AL"/>
        </w:rPr>
        <w:t>. Një Rregullore për Procedurat dhe Format e Njoftimit për Ndihmën Shtetërore është miratuar në tetor të vitit 2018.</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kornizës institucionale</w:t>
      </w:r>
      <w:r w:rsidRPr="00A6284F">
        <w:rPr>
          <w:rFonts w:eastAsia="Times New Roman"/>
          <w:color w:val="000000"/>
          <w:sz w:val="24"/>
          <w:lang w:val="sq-AL"/>
        </w:rPr>
        <w:t xml:space="preserve">, anëtarët e Komisionit për Ndihmë Shtetërore, përgjegjës për zbatimin e kontrollit të ndihmës shtetërore, janë emëruar në mars të vitit 2019. Formalisht, Departamenti për Ndihmën Shtetërore </w:t>
      </w:r>
      <w:r w:rsidR="00E0783C" w:rsidRPr="00A6284F">
        <w:rPr>
          <w:rFonts w:eastAsia="Times New Roman"/>
          <w:color w:val="000000"/>
          <w:sz w:val="24"/>
          <w:lang w:val="sq-AL"/>
        </w:rPr>
        <w:t xml:space="preserve">e </w:t>
      </w:r>
      <w:r w:rsidRPr="00A6284F">
        <w:rPr>
          <w:rFonts w:eastAsia="Times New Roman"/>
          <w:color w:val="000000"/>
          <w:sz w:val="24"/>
          <w:lang w:val="sq-AL"/>
        </w:rPr>
        <w:t xml:space="preserve">ka mandatin </w:t>
      </w:r>
      <w:r w:rsidR="00E0783C" w:rsidRPr="00A6284F">
        <w:rPr>
          <w:rFonts w:eastAsia="Times New Roman"/>
          <w:color w:val="000000"/>
          <w:sz w:val="24"/>
          <w:lang w:val="sq-AL"/>
        </w:rPr>
        <w:t>q</w:t>
      </w:r>
      <w:r w:rsidRPr="00A6284F">
        <w:rPr>
          <w:rFonts w:eastAsia="Times New Roman"/>
          <w:color w:val="000000"/>
          <w:sz w:val="24"/>
          <w:lang w:val="sq-AL"/>
        </w:rPr>
        <w:t>ë të verifik</w:t>
      </w:r>
      <w:r w:rsidR="00E0783C" w:rsidRPr="00A6284F">
        <w:rPr>
          <w:rFonts w:eastAsia="Times New Roman"/>
          <w:color w:val="000000"/>
          <w:sz w:val="24"/>
          <w:lang w:val="sq-AL"/>
        </w:rPr>
        <w:t xml:space="preserve">oj </w:t>
      </w:r>
      <w:r w:rsidRPr="00A6284F">
        <w:rPr>
          <w:rFonts w:eastAsia="Times New Roman"/>
          <w:color w:val="000000"/>
          <w:sz w:val="24"/>
          <w:lang w:val="sq-AL"/>
        </w:rPr>
        <w:t xml:space="preserve">masat e njoftuara të ndihmës, të ndalojë ndihmën, të kryejë kontrolle të ndihmës </w:t>
      </w:r>
      <w:proofErr w:type="spellStart"/>
      <w:r w:rsidRPr="00A6284F">
        <w:rPr>
          <w:rFonts w:eastAsia="Times New Roman"/>
          <w:color w:val="000000"/>
          <w:sz w:val="24"/>
          <w:lang w:val="sq-AL"/>
        </w:rPr>
        <w:t>ex</w:t>
      </w:r>
      <w:proofErr w:type="spellEnd"/>
      <w:r w:rsidRPr="00A6284F">
        <w:rPr>
          <w:rFonts w:eastAsia="Times New Roman"/>
          <w:color w:val="000000"/>
          <w:sz w:val="24"/>
          <w:lang w:val="sq-AL"/>
        </w:rPr>
        <w:t xml:space="preserve"> post dhe të </w:t>
      </w:r>
      <w:r w:rsidR="00E0783C" w:rsidRPr="00A6284F">
        <w:rPr>
          <w:rFonts w:eastAsia="Times New Roman"/>
          <w:color w:val="000000"/>
          <w:sz w:val="24"/>
          <w:lang w:val="sq-AL"/>
        </w:rPr>
        <w:t xml:space="preserve">rikuperoj </w:t>
      </w:r>
      <w:r w:rsidRPr="00A6284F">
        <w:rPr>
          <w:rFonts w:eastAsia="Times New Roman"/>
          <w:color w:val="000000"/>
          <w:sz w:val="24"/>
          <w:lang w:val="sq-AL"/>
        </w:rPr>
        <w:t xml:space="preserve">ndihmën që është e </w:t>
      </w:r>
      <w:r w:rsidR="00E0783C" w:rsidRPr="00A6284F">
        <w:rPr>
          <w:rFonts w:eastAsia="Times New Roman"/>
          <w:color w:val="000000"/>
          <w:sz w:val="24"/>
          <w:lang w:val="sq-AL"/>
        </w:rPr>
        <w:t xml:space="preserve">jo </w:t>
      </w:r>
      <w:proofErr w:type="spellStart"/>
      <w:r w:rsidR="00E0783C" w:rsidRPr="00A6284F">
        <w:rPr>
          <w:rFonts w:eastAsia="Times New Roman"/>
          <w:color w:val="000000"/>
          <w:sz w:val="24"/>
          <w:lang w:val="sq-AL"/>
        </w:rPr>
        <w:t>kompatibile</w:t>
      </w:r>
      <w:proofErr w:type="spellEnd"/>
      <w:r w:rsidRPr="00A6284F">
        <w:rPr>
          <w:rFonts w:eastAsia="Times New Roman"/>
          <w:color w:val="000000"/>
          <w:sz w:val="24"/>
          <w:lang w:val="sq-AL"/>
        </w:rPr>
        <w:t xml:space="preserve">. Sidoqoftë, kapaciteti i tij për të zbatuar ligjin mbeti i pamjaftueshëm për pjesën më të madhe të periudhës raportuese. Si pasojë, nuk ka pasur </w:t>
      </w:r>
      <w:r w:rsidRPr="00A6284F">
        <w:rPr>
          <w:rFonts w:eastAsia="Times New Roman"/>
          <w:b/>
          <w:color w:val="000000"/>
          <w:sz w:val="24"/>
          <w:lang w:val="sq-AL"/>
        </w:rPr>
        <w:t>zbatim</w:t>
      </w:r>
      <w:r w:rsidRPr="00A6284F">
        <w:rPr>
          <w:rFonts w:eastAsia="Times New Roman"/>
          <w:color w:val="000000"/>
          <w:sz w:val="24"/>
          <w:lang w:val="sq-AL"/>
        </w:rPr>
        <w:t xml:space="preserve"> efektiv. Departamenti për Ndihmë Shtetërore nuk </w:t>
      </w:r>
      <w:r w:rsidR="00E0783C" w:rsidRPr="00A6284F">
        <w:rPr>
          <w:rFonts w:eastAsia="Times New Roman"/>
          <w:color w:val="000000"/>
          <w:sz w:val="24"/>
          <w:lang w:val="sq-AL"/>
        </w:rPr>
        <w:t xml:space="preserve">e </w:t>
      </w:r>
      <w:r w:rsidRPr="00A6284F">
        <w:rPr>
          <w:rFonts w:eastAsia="Times New Roman"/>
          <w:color w:val="000000"/>
          <w:sz w:val="24"/>
          <w:lang w:val="sq-AL"/>
        </w:rPr>
        <w:t>ka miratuar ndonjë vendim për ndihmën shtetërore në pesë vitet e fundit dhe ka qenë i përkushtuar për hartimin e legjislacionit sekondar. Departamenti nuk ka pasur kapacitet të kontrollojë skemat e ndihmës ekzistuese dhe të krijojë një inventar gjithëpërfshirës të skemave të ndihmës deri në afatin e fundit të MS</w:t>
      </w:r>
      <w:r w:rsidR="00E0783C" w:rsidRPr="00A6284F">
        <w:rPr>
          <w:rFonts w:eastAsia="Times New Roman"/>
          <w:color w:val="000000"/>
          <w:sz w:val="24"/>
          <w:lang w:val="sq-AL"/>
        </w:rPr>
        <w:t>A</w:t>
      </w:r>
      <w:r w:rsidRPr="00A6284F">
        <w:rPr>
          <w:rFonts w:eastAsia="Times New Roman"/>
          <w:color w:val="000000"/>
          <w:sz w:val="24"/>
          <w:lang w:val="sq-AL"/>
        </w:rPr>
        <w:t xml:space="preserve"> (prill </w:t>
      </w:r>
      <w:r w:rsidR="00E0783C" w:rsidRPr="00A6284F">
        <w:rPr>
          <w:rFonts w:eastAsia="Times New Roman"/>
          <w:color w:val="000000"/>
          <w:sz w:val="24"/>
          <w:lang w:val="sq-AL"/>
        </w:rPr>
        <w:t xml:space="preserve">i vitit </w:t>
      </w:r>
      <w:r w:rsidRPr="00A6284F">
        <w:rPr>
          <w:rFonts w:eastAsia="Times New Roman"/>
          <w:color w:val="000000"/>
          <w:sz w:val="24"/>
          <w:lang w:val="sq-AL"/>
        </w:rPr>
        <w:t xml:space="preserve">2019). Për më tepër, identifikimi i autoriteteve dhënëse është ende duke vazhduar, duke penguar kështu njoftimet </w:t>
      </w:r>
      <w:proofErr w:type="spellStart"/>
      <w:r w:rsidRPr="00A6284F">
        <w:rPr>
          <w:rFonts w:eastAsia="Times New Roman"/>
          <w:color w:val="000000"/>
          <w:sz w:val="24"/>
          <w:lang w:val="sq-AL"/>
        </w:rPr>
        <w:t>ex</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ante</w:t>
      </w:r>
      <w:proofErr w:type="spellEnd"/>
      <w:r w:rsidRPr="00A6284F">
        <w:rPr>
          <w:rFonts w:eastAsia="Times New Roman"/>
          <w:color w:val="000000"/>
          <w:sz w:val="24"/>
          <w:lang w:val="sq-AL"/>
        </w:rPr>
        <w:t xml:space="preserve"> dhe kontrollin </w:t>
      </w:r>
      <w:proofErr w:type="spellStart"/>
      <w:r w:rsidRPr="00A6284F">
        <w:rPr>
          <w:rFonts w:eastAsia="Times New Roman"/>
          <w:color w:val="000000"/>
          <w:sz w:val="24"/>
          <w:lang w:val="sq-AL"/>
        </w:rPr>
        <w:t>ex</w:t>
      </w:r>
      <w:proofErr w:type="spellEnd"/>
      <w:r w:rsidRPr="00A6284F">
        <w:rPr>
          <w:rFonts w:eastAsia="Times New Roman"/>
          <w:color w:val="000000"/>
          <w:sz w:val="24"/>
          <w:lang w:val="sq-AL"/>
        </w:rPr>
        <w:t xml:space="preserve"> post. Një numër masash të ndihmës, të ofruar në nivel qendror apo lokal, sidomos për kompanitë e mëdha në sektorë të ndryshëm (si telekomunikacioni) nuk njoftohen apo nuk hetohen siç duhet. Vetëdija për rregullat e ndihmës shtetërore tek ofruesit e ndihmës së tillë është tejet e pakët, si dhe duhet përmirësuar në masë të konsiderueshme.</w:t>
      </w:r>
    </w:p>
    <w:p w:rsidR="00135165" w:rsidRPr="00A6284F" w:rsidRDefault="00135165" w:rsidP="00135165">
      <w:pPr>
        <w:spacing w:before="119" w:line="276"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Liberalizimi</w:t>
      </w:r>
    </w:p>
    <w:p w:rsidR="00135165" w:rsidRPr="00A6284F" w:rsidRDefault="00135165" w:rsidP="00135165">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Ligji për Konkurrencën dhe Ligji për Ndihmën Shtetërore zbatohen edhe për sipërmarrjet publike në Kosovë. Rregullat për shërbimet financuese të interesit të përgjithshëm ekonomik janë pjesërisht në përputhje me acquis. Në Kosovë ekzistojnë monopolet e një natyre tregtare në kuptim të nenit 37 të </w:t>
      </w:r>
      <w:r w:rsidR="0035509B" w:rsidRPr="00A6284F">
        <w:rPr>
          <w:rFonts w:eastAsia="Times New Roman"/>
          <w:color w:val="000000"/>
          <w:sz w:val="24"/>
          <w:lang w:val="sq-AL"/>
        </w:rPr>
        <w:t>TFBE</w:t>
      </w:r>
      <w:r w:rsidRPr="00A6284F">
        <w:rPr>
          <w:rFonts w:eastAsia="Times New Roman"/>
          <w:color w:val="000000"/>
          <w:sz w:val="24"/>
          <w:lang w:val="sq-AL"/>
        </w:rPr>
        <w:t xml:space="preserve">. Marrëveshja ekskluzive me një kompani private lidhur me </w:t>
      </w:r>
      <w:proofErr w:type="spellStart"/>
      <w:r w:rsidRPr="00A6284F">
        <w:rPr>
          <w:rFonts w:eastAsia="Times New Roman"/>
          <w:color w:val="000000"/>
          <w:sz w:val="24"/>
          <w:lang w:val="sq-AL"/>
        </w:rPr>
        <w:t>homologimin</w:t>
      </w:r>
      <w:proofErr w:type="spellEnd"/>
      <w:r w:rsidRPr="00A6284F">
        <w:rPr>
          <w:rFonts w:eastAsia="Times New Roman"/>
          <w:color w:val="000000"/>
          <w:sz w:val="24"/>
          <w:lang w:val="sq-AL"/>
        </w:rPr>
        <w:t xml:space="preserve"> e detyrueshëm të automjeteve për të gjitha makinat e importuara ngre shqetësime.</w:t>
      </w:r>
    </w:p>
    <w:p w:rsidR="00135165" w:rsidRPr="00A6284F" w:rsidRDefault="00135165" w:rsidP="00135165">
      <w:pPr>
        <w:tabs>
          <w:tab w:val="left" w:pos="864"/>
        </w:tabs>
        <w:spacing w:before="126" w:after="104" w:line="274" w:lineRule="exact"/>
        <w:ind w:left="144"/>
        <w:textAlignment w:val="baseline"/>
        <w:rPr>
          <w:rFonts w:eastAsia="Times New Roman"/>
          <w:b/>
          <w:color w:val="000000"/>
          <w:sz w:val="24"/>
          <w:lang w:val="sq-AL"/>
        </w:rPr>
      </w:pPr>
      <w:r w:rsidRPr="00A6284F">
        <w:rPr>
          <w:rFonts w:eastAsia="Times New Roman"/>
          <w:b/>
          <w:color w:val="000000"/>
          <w:sz w:val="24"/>
          <w:lang w:val="sq-AL"/>
        </w:rPr>
        <w:t>6.8</w:t>
      </w:r>
      <w:r w:rsidRPr="00A6284F">
        <w:rPr>
          <w:rFonts w:eastAsia="Times New Roman"/>
          <w:b/>
          <w:color w:val="000000"/>
          <w:sz w:val="24"/>
          <w:lang w:val="sq-AL"/>
        </w:rPr>
        <w:tab/>
        <w:t>Prokurimi Publik</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135165" w:rsidRPr="00A6284F" w:rsidTr="007E58F5">
        <w:trPr>
          <w:trHeight w:hRule="exact" w:val="501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7E58F5">
            <w:pPr>
              <w:spacing w:before="2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ka </w:t>
            </w:r>
            <w:r w:rsidRPr="00A6284F">
              <w:rPr>
                <w:rFonts w:eastAsia="Times New Roman"/>
                <w:b/>
                <w:color w:val="000000"/>
                <w:sz w:val="24"/>
                <w:lang w:val="sq-AL"/>
              </w:rPr>
              <w:t>një nivel përgatitjeje</w:t>
            </w:r>
            <w:r w:rsidRPr="00A6284F">
              <w:rPr>
                <w:rFonts w:eastAsia="Times New Roman"/>
                <w:color w:val="000000"/>
                <w:sz w:val="24"/>
                <w:lang w:val="sq-AL"/>
              </w:rPr>
              <w:t xml:space="preserve"> për prokurimin publik. </w:t>
            </w:r>
            <w:r w:rsidRPr="00A6284F">
              <w:rPr>
                <w:rFonts w:eastAsia="Times New Roman"/>
                <w:b/>
                <w:color w:val="000000"/>
                <w:sz w:val="24"/>
                <w:lang w:val="sq-AL"/>
              </w:rPr>
              <w:t>Pak progres</w:t>
            </w:r>
            <w:r w:rsidRPr="00A6284F">
              <w:rPr>
                <w:rFonts w:eastAsia="Times New Roman"/>
                <w:color w:val="000000"/>
                <w:sz w:val="24"/>
                <w:lang w:val="sq-AL"/>
              </w:rPr>
              <w:t xml:space="preserve"> është arritur me shtrirjen e mëtejshme të platformës elektronike të prokurimit. Megjithatë, duhet të bëhet më shumë për të parandaluar parregullsitë dhe korrupsionin në ciklin e prokurimit. Kosova ende duhet të adresojë kapacitetin e dobët të institucioneve të prokurimit publik për administrimin e prokurimit publik, monitorimin dhe ekzekutimin e pamjaftueshëm të kontratave, si dhe sistemet e dobëta të mjeteve juridike, ku të gjitha janë të cenueshme ndaj korrupsionit.</w:t>
            </w:r>
          </w:p>
          <w:p w:rsidR="00135165" w:rsidRPr="00A6284F" w:rsidRDefault="00E0783C" w:rsidP="007E58F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Meqenëse</w:t>
            </w:r>
            <w:r w:rsidR="00135165" w:rsidRPr="00A6284F">
              <w:rPr>
                <w:rFonts w:eastAsia="Times New Roman"/>
                <w:color w:val="000000"/>
                <w:sz w:val="24"/>
                <w:lang w:val="sq-AL"/>
              </w:rPr>
              <w:t xml:space="preserve"> shumica e rekomandimeve të vitit të kaluar mbeten </w:t>
            </w:r>
            <w:proofErr w:type="spellStart"/>
            <w:r w:rsidR="00135165" w:rsidRPr="00A6284F">
              <w:rPr>
                <w:rFonts w:eastAsia="Times New Roman"/>
                <w:color w:val="000000"/>
                <w:sz w:val="24"/>
                <w:lang w:val="sq-AL"/>
              </w:rPr>
              <w:t>valide</w:t>
            </w:r>
            <w:proofErr w:type="spellEnd"/>
            <w:r w:rsidR="00135165" w:rsidRPr="00A6284F">
              <w:rPr>
                <w:rFonts w:eastAsia="Times New Roman"/>
                <w:color w:val="000000"/>
                <w:sz w:val="24"/>
                <w:lang w:val="sq-AL"/>
              </w:rPr>
              <w:t xml:space="preserve"> në vitin e ardhshëm, Kosova duhet në veçanti:</w:t>
            </w:r>
          </w:p>
          <w:p w:rsidR="00135165" w:rsidRPr="00A6284F" w:rsidRDefault="00135165" w:rsidP="007E58F5">
            <w:pPr>
              <w:spacing w:before="13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përafrojë më tej legjislacionin e vet me acquis për prokurim</w:t>
            </w:r>
            <w:r w:rsidR="00CF4EA3" w:rsidRPr="00A6284F">
              <w:rPr>
                <w:rFonts w:eastAsia="Times New Roman"/>
                <w:color w:val="000000"/>
                <w:sz w:val="24"/>
                <w:lang w:val="sq-AL"/>
              </w:rPr>
              <w:t>in</w:t>
            </w:r>
            <w:r w:rsidRPr="00A6284F">
              <w:rPr>
                <w:rFonts w:eastAsia="Times New Roman"/>
                <w:color w:val="000000"/>
                <w:sz w:val="24"/>
                <w:lang w:val="sq-AL"/>
              </w:rPr>
              <w:t xml:space="preserve"> publik, duke përfshirë partneritetet publiko-private dhe koncesionet, dhe të sigurojë zbatimin e duhur të Ligjit për prokurim publik;</w:t>
            </w:r>
          </w:p>
          <w:p w:rsidR="00135165" w:rsidRPr="00A6284F" w:rsidRDefault="00135165" w:rsidP="007E58F5">
            <w:pPr>
              <w:spacing w:before="13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sigurojë që bordi i Organit Shqyrtues të Prokurimit (OSHP) është plotësisht funksional, dhe që adresohen kufizimet e kapaciteteve të stafit;</w:t>
            </w:r>
          </w:p>
          <w:p w:rsidR="00135165" w:rsidRPr="00A6284F" w:rsidRDefault="00135165" w:rsidP="007E58F5">
            <w:pPr>
              <w:spacing w:before="141" w:after="5" w:line="276" w:lineRule="exact"/>
              <w:ind w:left="504" w:right="144" w:hanging="360"/>
              <w:jc w:val="both"/>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rrisë kapacitetin e të gjitha institucioneve të prokurimit publik dhe bashkëpunimin ndërmjet tyre për të siguruar zbatimin e vazhdueshëm të kornizës </w:t>
            </w:r>
            <w:proofErr w:type="spellStart"/>
            <w:r w:rsidRPr="00A6284F">
              <w:rPr>
                <w:rFonts w:eastAsia="Times New Roman"/>
                <w:color w:val="000000"/>
                <w:spacing w:val="1"/>
                <w:sz w:val="24"/>
                <w:lang w:val="sq-AL"/>
              </w:rPr>
              <w:t>rregullative</w:t>
            </w:r>
            <w:proofErr w:type="spellEnd"/>
            <w:r w:rsidRPr="00A6284F">
              <w:rPr>
                <w:rFonts w:eastAsia="Times New Roman"/>
                <w:color w:val="000000"/>
                <w:spacing w:val="1"/>
                <w:sz w:val="24"/>
                <w:lang w:val="sq-AL"/>
              </w:rPr>
              <w:t xml:space="preserve"> të prokurimit publik.</w:t>
            </w:r>
          </w:p>
        </w:tc>
      </w:tr>
    </w:tbl>
    <w:p w:rsidR="00135165" w:rsidRPr="00A6284F" w:rsidRDefault="00135165" w:rsidP="00135165">
      <w:pPr>
        <w:spacing w:after="97" w:line="20" w:lineRule="exact"/>
        <w:rPr>
          <w:lang w:val="sq-AL"/>
        </w:rPr>
      </w:pPr>
    </w:p>
    <w:p w:rsidR="00135165" w:rsidRPr="00A6284F" w:rsidRDefault="00135165" w:rsidP="00135165">
      <w:pPr>
        <w:spacing w:before="3" w:line="27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Struktura institucionale dhe harmonizimi ligjor</w:t>
      </w:r>
    </w:p>
    <w:p w:rsidR="00135165" w:rsidRPr="00A6284F" w:rsidRDefault="00135165" w:rsidP="00135165">
      <w:pPr>
        <w:spacing w:before="121"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Korniza ligjore</w:t>
      </w:r>
      <w:r w:rsidRPr="00A6284F">
        <w:rPr>
          <w:rFonts w:eastAsia="Times New Roman"/>
          <w:color w:val="000000"/>
          <w:sz w:val="24"/>
          <w:lang w:val="sq-AL"/>
        </w:rPr>
        <w:t xml:space="preserve"> e Kosovës për prokurim publik është e përafruar në masë të madhe me Direktivat e BE-të vitit 2004 për prokurimin klasik dhe shërbimeve komunale </w:t>
      </w:r>
      <w:r w:rsidR="00B57D78" w:rsidRPr="00A6284F">
        <w:rPr>
          <w:rFonts w:eastAsia="Times New Roman"/>
          <w:color w:val="000000"/>
          <w:sz w:val="24"/>
          <w:lang w:val="sq-AL"/>
        </w:rPr>
        <w:t>e</w:t>
      </w:r>
      <w:r w:rsidRPr="00A6284F">
        <w:rPr>
          <w:rFonts w:eastAsia="Times New Roman"/>
          <w:color w:val="000000"/>
          <w:sz w:val="24"/>
          <w:lang w:val="sq-AL"/>
        </w:rPr>
        <w:t xml:space="preserve">dhe për koncesionet dhe partneritetet publiko-private. Ende nevojitet përafrimi i mëtejshëm me Direktivat e BE-së të vitit 2014, duke përfshirë partneritetet publiko-private dhe koncesionet. Parimet përkatëse si raporti më i mirë çmim-cilësi dhe kostot e ciklit të jetëgjatësisë së produkteve nuk zbatohen, pasi që nuk janë të pasqyruara në legjislacionin përkatës sekondar. Korniza ligjore e Kosovës nuk është harmonizuar ende me Direktivën e BE-së për prokurimin e mbrojtjes. Të gjitha instrumentet ligjore dhe financiare të përdorura në fushën e prokurimit publik dhe koncesioneve, përfshirë marrëveshjet ndërqeveritare të lidhura me vendet e treta, duhet të </w:t>
      </w:r>
      <w:r w:rsidR="00B57D78" w:rsidRPr="00A6284F">
        <w:rPr>
          <w:rFonts w:eastAsia="Times New Roman"/>
          <w:color w:val="000000"/>
          <w:sz w:val="24"/>
          <w:lang w:val="sq-AL"/>
        </w:rPr>
        <w:t xml:space="preserve">pasqyrojnë </w:t>
      </w:r>
      <w:r w:rsidRPr="00A6284F">
        <w:rPr>
          <w:rFonts w:eastAsia="Times New Roman"/>
          <w:color w:val="000000"/>
          <w:sz w:val="24"/>
          <w:lang w:val="sq-AL"/>
        </w:rPr>
        <w:t>parimet e transparencës, konkurrencës, trajtimit të barabartë dhe mos</w:t>
      </w:r>
      <w:r w:rsidR="00B57D78" w:rsidRPr="00A6284F">
        <w:rPr>
          <w:rFonts w:eastAsia="Times New Roman"/>
          <w:color w:val="000000"/>
          <w:sz w:val="24"/>
          <w:lang w:val="sq-AL"/>
        </w:rPr>
        <w:t>-</w:t>
      </w:r>
      <w:r w:rsidRPr="00A6284F">
        <w:rPr>
          <w:rFonts w:eastAsia="Times New Roman"/>
          <w:color w:val="000000"/>
          <w:sz w:val="24"/>
          <w:lang w:val="sq-AL"/>
        </w:rPr>
        <w:t>diskriminimit.</w:t>
      </w:r>
    </w:p>
    <w:p w:rsidR="00135165" w:rsidRPr="00A6284F" w:rsidRDefault="00135165" w:rsidP="00135165">
      <w:pPr>
        <w:spacing w:before="11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një </w:t>
      </w:r>
      <w:r w:rsidRPr="00A6284F">
        <w:rPr>
          <w:rFonts w:eastAsia="Times New Roman"/>
          <w:b/>
          <w:color w:val="000000"/>
          <w:sz w:val="24"/>
          <w:lang w:val="sq-AL"/>
        </w:rPr>
        <w:t xml:space="preserve">strategji </w:t>
      </w:r>
      <w:r w:rsidRPr="00A6284F">
        <w:rPr>
          <w:rFonts w:eastAsia="Times New Roman"/>
          <w:color w:val="000000"/>
          <w:sz w:val="24"/>
          <w:lang w:val="sq-AL"/>
        </w:rPr>
        <w:t>(2017-2021) dhe plan të veprimit (2017-2019) për përmirësim</w:t>
      </w:r>
      <w:r w:rsidR="00B57D78" w:rsidRPr="00A6284F">
        <w:rPr>
          <w:rFonts w:eastAsia="Times New Roman"/>
          <w:color w:val="000000"/>
          <w:sz w:val="24"/>
          <w:lang w:val="sq-AL"/>
        </w:rPr>
        <w:t>in e</w:t>
      </w:r>
      <w:r w:rsidRPr="00A6284F">
        <w:rPr>
          <w:rFonts w:eastAsia="Times New Roman"/>
          <w:color w:val="000000"/>
          <w:sz w:val="24"/>
          <w:lang w:val="sq-AL"/>
        </w:rPr>
        <w:t xml:space="preserve"> sistemit të prokurimit publik. Megjithatë, nuk ka </w:t>
      </w:r>
      <w:r w:rsidR="00B57D78" w:rsidRPr="00A6284F">
        <w:rPr>
          <w:rFonts w:eastAsia="Times New Roman"/>
          <w:color w:val="000000"/>
          <w:sz w:val="24"/>
          <w:lang w:val="sq-AL"/>
        </w:rPr>
        <w:t xml:space="preserve">rregullime </w:t>
      </w:r>
      <w:r w:rsidRPr="00A6284F">
        <w:rPr>
          <w:rFonts w:eastAsia="Times New Roman"/>
          <w:color w:val="000000"/>
          <w:sz w:val="24"/>
          <w:lang w:val="sq-AL"/>
        </w:rPr>
        <w:t>për vlerës</w:t>
      </w:r>
      <w:r w:rsidR="00B57D78" w:rsidRPr="00A6284F">
        <w:rPr>
          <w:rFonts w:eastAsia="Times New Roman"/>
          <w:color w:val="000000"/>
          <w:sz w:val="24"/>
          <w:lang w:val="sq-AL"/>
        </w:rPr>
        <w:t xml:space="preserve">im të </w:t>
      </w:r>
      <w:r w:rsidRPr="00A6284F">
        <w:rPr>
          <w:rFonts w:eastAsia="Times New Roman"/>
          <w:color w:val="000000"/>
          <w:sz w:val="24"/>
          <w:lang w:val="sq-AL"/>
        </w:rPr>
        <w:t>zbatimi</w:t>
      </w:r>
      <w:r w:rsidR="00B57D78" w:rsidRPr="00A6284F">
        <w:rPr>
          <w:rFonts w:eastAsia="Times New Roman"/>
          <w:color w:val="000000"/>
          <w:sz w:val="24"/>
          <w:lang w:val="sq-AL"/>
        </w:rPr>
        <w:t xml:space="preserve">t të </w:t>
      </w:r>
      <w:r w:rsidRPr="00A6284F">
        <w:rPr>
          <w:rFonts w:eastAsia="Times New Roman"/>
          <w:color w:val="000000"/>
          <w:sz w:val="24"/>
          <w:lang w:val="sq-AL"/>
        </w:rPr>
        <w:t xml:space="preserve">saj. Objektivat kryesore të prokurimit publik janë të pasqyruara </w:t>
      </w:r>
      <w:r w:rsidR="00B57D78" w:rsidRPr="00A6284F">
        <w:rPr>
          <w:rFonts w:eastAsia="Times New Roman"/>
          <w:color w:val="000000"/>
          <w:sz w:val="24"/>
          <w:lang w:val="sq-AL"/>
        </w:rPr>
        <w:t xml:space="preserve">edhe </w:t>
      </w:r>
      <w:r w:rsidRPr="00A6284F">
        <w:rPr>
          <w:rFonts w:eastAsia="Times New Roman"/>
          <w:color w:val="000000"/>
          <w:sz w:val="24"/>
          <w:lang w:val="sq-AL"/>
        </w:rPr>
        <w:t>në Strategjinë për Menaxhimin e Financave Publike 2016-2020. Mungojnë hapat konkretë, aktivitetet e koordinuara dhe afatet kohore për zbatimin e strategjisë dhe planit të veprimit.</w:t>
      </w:r>
    </w:p>
    <w:p w:rsidR="00135165" w:rsidRPr="00A6284F" w:rsidRDefault="00135165" w:rsidP="00135165">
      <w:pPr>
        <w:spacing w:before="112"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Institucionet e prokurimit publik</w:t>
      </w:r>
      <w:r w:rsidRPr="00A6284F">
        <w:rPr>
          <w:rFonts w:eastAsia="Times New Roman"/>
          <w:color w:val="000000"/>
          <w:sz w:val="24"/>
          <w:lang w:val="sq-AL"/>
        </w:rPr>
        <w:t xml:space="preserve"> përbëhen nga tre </w:t>
      </w:r>
      <w:r w:rsidR="00B57D78" w:rsidRPr="00A6284F">
        <w:rPr>
          <w:rFonts w:eastAsia="Times New Roman"/>
          <w:color w:val="000000"/>
          <w:sz w:val="24"/>
          <w:lang w:val="sq-AL"/>
        </w:rPr>
        <w:t xml:space="preserve">organe </w:t>
      </w:r>
      <w:r w:rsidRPr="00A6284F">
        <w:rPr>
          <w:rFonts w:eastAsia="Times New Roman"/>
          <w:color w:val="000000"/>
          <w:sz w:val="24"/>
          <w:lang w:val="sq-AL"/>
        </w:rPr>
        <w:t xml:space="preserve">kryesorë. Komisioni </w:t>
      </w:r>
      <w:proofErr w:type="spellStart"/>
      <w:r w:rsidRPr="00A6284F">
        <w:rPr>
          <w:rFonts w:eastAsia="Times New Roman"/>
          <w:color w:val="000000"/>
          <w:sz w:val="24"/>
          <w:lang w:val="sq-AL"/>
        </w:rPr>
        <w:t>Rregullativ</w:t>
      </w:r>
      <w:proofErr w:type="spellEnd"/>
      <w:r w:rsidRPr="00A6284F">
        <w:rPr>
          <w:rFonts w:eastAsia="Times New Roman"/>
          <w:color w:val="000000"/>
          <w:sz w:val="24"/>
          <w:lang w:val="sq-AL"/>
        </w:rPr>
        <w:t xml:space="preserve"> për Prokurimin Publik është përgjegjës për bashkërendimin dhe mbikëqyrjen e përgjithshme të sistemit të prokurimit publik dhe trajnimet. Agjencia Qendrore e Prokurimit në Ministrinë e Financave, është përgjegjëse për blerjet qendrore dhe të koordinuara. OSHP shqyrton të gjitha </w:t>
      </w:r>
      <w:r w:rsidR="00B57D78" w:rsidRPr="00A6284F">
        <w:rPr>
          <w:rFonts w:eastAsia="Times New Roman"/>
          <w:color w:val="000000"/>
          <w:sz w:val="24"/>
          <w:lang w:val="sq-AL"/>
        </w:rPr>
        <w:t xml:space="preserve">pretendimet </w:t>
      </w:r>
      <w:r w:rsidRPr="00A6284F">
        <w:rPr>
          <w:rFonts w:eastAsia="Times New Roman"/>
          <w:color w:val="000000"/>
          <w:sz w:val="24"/>
          <w:lang w:val="sq-AL"/>
        </w:rPr>
        <w:t xml:space="preserve">për shkelje të ligjit të prokurimit publik. Këto institucione duhet të koordinohen më </w:t>
      </w:r>
      <w:r w:rsidR="00076A9A" w:rsidRPr="00A6284F">
        <w:rPr>
          <w:rFonts w:eastAsia="Times New Roman"/>
          <w:color w:val="000000"/>
          <w:sz w:val="24"/>
          <w:lang w:val="sq-AL"/>
        </w:rPr>
        <w:t xml:space="preserve">tej </w:t>
      </w:r>
      <w:r w:rsidRPr="00A6284F">
        <w:rPr>
          <w:rFonts w:eastAsia="Times New Roman"/>
          <w:color w:val="000000"/>
          <w:sz w:val="24"/>
          <w:lang w:val="sq-AL"/>
        </w:rPr>
        <w:t>dhe përballen me sfida</w:t>
      </w:r>
      <w:r w:rsidR="00076A9A" w:rsidRPr="00A6284F">
        <w:rPr>
          <w:rFonts w:eastAsia="Times New Roman"/>
          <w:color w:val="000000"/>
          <w:sz w:val="24"/>
          <w:lang w:val="sq-AL"/>
        </w:rPr>
        <w:t>t</w:t>
      </w:r>
      <w:r w:rsidRPr="00A6284F">
        <w:rPr>
          <w:rFonts w:eastAsia="Times New Roman"/>
          <w:color w:val="000000"/>
          <w:sz w:val="24"/>
          <w:lang w:val="sq-AL"/>
        </w:rPr>
        <w:t xml:space="preserve"> </w:t>
      </w:r>
      <w:r w:rsidR="00076A9A" w:rsidRPr="00A6284F">
        <w:rPr>
          <w:rFonts w:eastAsia="Times New Roman"/>
          <w:color w:val="000000"/>
          <w:sz w:val="24"/>
          <w:lang w:val="sq-AL"/>
        </w:rPr>
        <w:t>e</w:t>
      </w:r>
      <w:r w:rsidRPr="00A6284F">
        <w:rPr>
          <w:rFonts w:eastAsia="Times New Roman"/>
          <w:color w:val="000000"/>
          <w:sz w:val="24"/>
          <w:lang w:val="sq-AL"/>
        </w:rPr>
        <w:t xml:space="preserve"> mëdha në ushtrimin e funksioneve dhe detyrave të tyre në mënyrë efektive </w:t>
      </w:r>
      <w:r w:rsidR="00076A9A" w:rsidRPr="00A6284F">
        <w:rPr>
          <w:rFonts w:eastAsia="Times New Roman"/>
          <w:color w:val="000000"/>
          <w:sz w:val="24"/>
          <w:lang w:val="sq-AL"/>
        </w:rPr>
        <w:t>dhe</w:t>
      </w:r>
      <w:r w:rsidRPr="00A6284F">
        <w:rPr>
          <w:rFonts w:eastAsia="Times New Roman"/>
          <w:color w:val="000000"/>
          <w:sz w:val="24"/>
          <w:lang w:val="sq-AL"/>
        </w:rPr>
        <w:t xml:space="preserve"> efikase.</w:t>
      </w:r>
    </w:p>
    <w:p w:rsidR="00135165" w:rsidRPr="00A6284F" w:rsidRDefault="00135165" w:rsidP="00135165">
      <w:pPr>
        <w:spacing w:before="112"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Implementimi dhe kapaciteti zbatues</w:t>
      </w:r>
    </w:p>
    <w:p w:rsidR="00135165" w:rsidRPr="00A6284F" w:rsidRDefault="00135165" w:rsidP="00135165">
      <w:pPr>
        <w:spacing w:before="11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vitin 2018, pjesa e prokurimit publik përbente 9.4% të PBV-së (631.6 milionë euro). Nga kjo, 89% u dhanë duke përdorur një procedurë të hapur. Megjithatë, 99% e kontratave publike u dhanë sipas kriterit të çmimit më të ulët, në vend të raportit më të mirë çmim-cilësi në përputhje me Direktivën e BE-së për prokurim publik. Çmimet për artikujt e njëjtë ndryshojnë shumë ndërmjet autoriteteve kontraktuese. Fakti se autoriteteve kontraktuese u mungon kapaciteti për të hartuar specifikime të duhura teknike minon cilësinë, efikasitetin, transparencën dhe zbatimin efektiv dhe mbikëqyrjen e ciklit të prokurimit.</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Të gjitha 188 autoritetet kontraktuese në nivelin qendror dhe lokal duhet të përdorin sistemin e e-prokurimit për çdo lloj aktiviteti të prokurimit. Që nga janari 2019, paraqitja elektronike e ofertave është e detyrueshme për të gjitha llojet dhe vlerat e prokurimit, dhe paraqitja fizike nuk lejohet më. Nevojiten trajnime të vazhdueshme për të zhvilluar aftësinë e ofertuesve (veçanërisht NVM-ve) dhe blerësve për të përdorur e-prokurimin. Rreth 6,000 operatorë ekonomikë dhe 15,000 përdorues janë aktualisht të regjistruar dhe përdorin në mënyrë aktive sistemin e e-prokurimit.</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Prokurimi i centralizuar</w:t>
      </w:r>
      <w:r w:rsidRPr="00A6284F">
        <w:rPr>
          <w:rFonts w:eastAsia="Times New Roman"/>
          <w:color w:val="000000"/>
          <w:sz w:val="24"/>
          <w:lang w:val="sq-AL"/>
        </w:rPr>
        <w:t xml:space="preserve"> është i detyrueshëm për 14 kategori të mallrave dhe shërbimeve të listuara nga Ministria e Financave dhe vlen për agjencitë me më pak se 50 </w:t>
      </w:r>
      <w:r w:rsidR="001F6A2A" w:rsidRPr="00A6284F">
        <w:rPr>
          <w:rFonts w:eastAsia="Times New Roman"/>
          <w:color w:val="000000"/>
          <w:sz w:val="24"/>
          <w:lang w:val="sq-AL"/>
        </w:rPr>
        <w:t>punonjës</w:t>
      </w:r>
      <w:r w:rsidRPr="00A6284F">
        <w:rPr>
          <w:rFonts w:eastAsia="Times New Roman"/>
          <w:color w:val="000000"/>
          <w:sz w:val="24"/>
          <w:lang w:val="sq-AL"/>
        </w:rPr>
        <w:t xml:space="preserve"> që i japin llogari Kuvendit. Megjithatë, stafi </w:t>
      </w:r>
      <w:r w:rsidR="001F6A2A" w:rsidRPr="00A6284F">
        <w:rPr>
          <w:rFonts w:eastAsia="Times New Roman"/>
          <w:color w:val="000000"/>
          <w:sz w:val="24"/>
          <w:lang w:val="sq-AL"/>
        </w:rPr>
        <w:t xml:space="preserve">dhe burimet e tjera të Agjencisë Qendrore të Prokurimit </w:t>
      </w:r>
      <w:r w:rsidRPr="00A6284F">
        <w:rPr>
          <w:rFonts w:eastAsia="Times New Roman"/>
          <w:color w:val="000000"/>
          <w:sz w:val="24"/>
          <w:lang w:val="sq-AL"/>
        </w:rPr>
        <w:t>nuk janë të mjaftueshme për të përmbushur kërkesat.</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Monitorimi i aktiviteteve qendrore të blerjes mbetet me rëndësi të posaçme për shkak të vlerës së lartë dhe </w:t>
      </w:r>
      <w:proofErr w:type="spellStart"/>
      <w:r w:rsidRPr="00A6284F">
        <w:rPr>
          <w:rFonts w:eastAsia="Times New Roman"/>
          <w:color w:val="000000"/>
          <w:sz w:val="24"/>
          <w:lang w:val="sq-AL"/>
        </w:rPr>
        <w:t>kompleksitetit</w:t>
      </w:r>
      <w:proofErr w:type="spellEnd"/>
      <w:r w:rsidRPr="00A6284F">
        <w:rPr>
          <w:rFonts w:eastAsia="Times New Roman"/>
          <w:color w:val="000000"/>
          <w:sz w:val="24"/>
          <w:lang w:val="sq-AL"/>
        </w:rPr>
        <w:t xml:space="preserve"> të tyre. Vonesat e konsiderueshme në prokurimet që kryhen nga Agjencia Qendrore e Prokurimit </w:t>
      </w:r>
      <w:r w:rsidR="001F6A2A" w:rsidRPr="00A6284F">
        <w:rPr>
          <w:rFonts w:eastAsia="Times New Roman"/>
          <w:color w:val="000000"/>
          <w:sz w:val="24"/>
          <w:lang w:val="sq-AL"/>
        </w:rPr>
        <w:t xml:space="preserve">i </w:t>
      </w:r>
      <w:r w:rsidRPr="00A6284F">
        <w:rPr>
          <w:rFonts w:eastAsia="Times New Roman"/>
          <w:color w:val="000000"/>
          <w:sz w:val="24"/>
          <w:lang w:val="sq-AL"/>
        </w:rPr>
        <w:t>penguan operacionet e saj. Kjo e fundit dështoi që të kryejë prokurime transparente, efikase dhe ekonomikisht të favorshme përmes procedurave të centralizuara për të siguruar kursime buxhetore. Mangësitë rrjedhin nga planifikimi i dobët dhe dështimi nga autoritetet kontraktuese që të kryejnë hulumtime të tregut. Analiza e pamjaftueshme dhe mbledhja e të dhënave i kontribuon ekzekutimit të dobët të kontratave. P</w:t>
      </w:r>
      <w:r w:rsidR="001F6A2A" w:rsidRPr="00A6284F">
        <w:rPr>
          <w:rFonts w:eastAsia="Times New Roman"/>
          <w:color w:val="000000"/>
          <w:sz w:val="24"/>
          <w:lang w:val="sq-AL"/>
        </w:rPr>
        <w:t>ërdorimi i vetëm i kriterit të “</w:t>
      </w:r>
      <w:r w:rsidRPr="00A6284F">
        <w:rPr>
          <w:rFonts w:eastAsia="Times New Roman"/>
          <w:color w:val="000000"/>
          <w:sz w:val="24"/>
          <w:lang w:val="sq-AL"/>
        </w:rPr>
        <w:t>çmimit më të ulët</w:t>
      </w:r>
      <w:r w:rsidR="001F6A2A" w:rsidRPr="00A6284F">
        <w:rPr>
          <w:rFonts w:eastAsia="Times New Roman"/>
          <w:color w:val="000000"/>
          <w:sz w:val="24"/>
          <w:lang w:val="sq-AL"/>
        </w:rPr>
        <w:t>”</w:t>
      </w:r>
      <w:r w:rsidRPr="00A6284F">
        <w:rPr>
          <w:rFonts w:eastAsia="Times New Roman"/>
          <w:color w:val="000000"/>
          <w:sz w:val="24"/>
          <w:lang w:val="sq-AL"/>
        </w:rPr>
        <w:t xml:space="preserve"> gjatë prodhimit të furnizimeve mund të çojë në kosto më të larta të ciklit të jetëgjatësisë dhe blerje të cilësisë së dobët. Monitorimi i menaxhimit dhe zbatimit të kontratave është i mangët.</w:t>
      </w:r>
    </w:p>
    <w:p w:rsidR="00135165" w:rsidRPr="00A6284F" w:rsidRDefault="00135165" w:rsidP="00135165">
      <w:pPr>
        <w:spacing w:before="121" w:line="264"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Sistemi efektiv i mjeteve juridike</w:t>
      </w:r>
    </w:p>
    <w:p w:rsidR="00135165" w:rsidRPr="00A6284F" w:rsidRDefault="00135165" w:rsidP="00135165">
      <w:pPr>
        <w:spacing w:before="19" w:line="276" w:lineRule="exact"/>
        <w:ind w:left="144" w:right="144"/>
        <w:jc w:val="both"/>
        <w:textAlignment w:val="baseline"/>
        <w:rPr>
          <w:rFonts w:eastAsia="Times New Roman"/>
          <w:color w:val="000000"/>
          <w:sz w:val="24"/>
          <w:lang w:val="sq-AL"/>
        </w:rPr>
      </w:pPr>
    </w:p>
    <w:p w:rsidR="00135165" w:rsidRPr="00A6284F" w:rsidRDefault="001F6A2A"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Është e krijuar k</w:t>
      </w:r>
      <w:r w:rsidR="00135165" w:rsidRPr="00A6284F">
        <w:rPr>
          <w:rFonts w:eastAsia="Times New Roman"/>
          <w:color w:val="000000"/>
          <w:sz w:val="24"/>
          <w:lang w:val="sq-AL"/>
        </w:rPr>
        <w:t xml:space="preserve">orniza </w:t>
      </w:r>
      <w:proofErr w:type="spellStart"/>
      <w:r w:rsidR="00135165" w:rsidRPr="00A6284F">
        <w:rPr>
          <w:rFonts w:eastAsia="Times New Roman"/>
          <w:color w:val="000000"/>
          <w:sz w:val="24"/>
          <w:lang w:val="sq-AL"/>
        </w:rPr>
        <w:t>rregullative</w:t>
      </w:r>
      <w:proofErr w:type="spellEnd"/>
      <w:r w:rsidR="00135165" w:rsidRPr="00A6284F">
        <w:rPr>
          <w:rFonts w:eastAsia="Times New Roman"/>
          <w:color w:val="000000"/>
          <w:sz w:val="24"/>
          <w:lang w:val="sq-AL"/>
        </w:rPr>
        <w:t xml:space="preserve"> </w:t>
      </w:r>
      <w:r w:rsidRPr="00A6284F">
        <w:rPr>
          <w:rFonts w:eastAsia="Times New Roman"/>
          <w:color w:val="000000"/>
          <w:sz w:val="24"/>
          <w:lang w:val="sq-AL"/>
        </w:rPr>
        <w:t xml:space="preserve">si </w:t>
      </w:r>
      <w:r w:rsidR="00135165" w:rsidRPr="00A6284F">
        <w:rPr>
          <w:rFonts w:eastAsia="Times New Roman"/>
          <w:color w:val="000000"/>
          <w:sz w:val="24"/>
          <w:lang w:val="sq-AL"/>
        </w:rPr>
        <w:t xml:space="preserve">dhe </w:t>
      </w:r>
      <w:r w:rsidR="00270BED" w:rsidRPr="00A6284F">
        <w:rPr>
          <w:rFonts w:eastAsia="Times New Roman"/>
          <w:color w:val="000000"/>
          <w:sz w:val="24"/>
          <w:lang w:val="sq-AL"/>
        </w:rPr>
        <w:t xml:space="preserve">janë bërë </w:t>
      </w:r>
      <w:r w:rsidR="00135165" w:rsidRPr="00A6284F">
        <w:rPr>
          <w:rFonts w:eastAsia="Times New Roman"/>
          <w:color w:val="000000"/>
          <w:sz w:val="24"/>
          <w:lang w:val="sq-AL"/>
        </w:rPr>
        <w:t xml:space="preserve">aranzhimet institucionale për shqyrtimin e prokurimit publik, përfshirë këtu </w:t>
      </w:r>
      <w:r w:rsidR="00270BED" w:rsidRPr="00A6284F">
        <w:rPr>
          <w:rFonts w:eastAsia="Times New Roman"/>
          <w:color w:val="000000"/>
          <w:sz w:val="24"/>
          <w:lang w:val="sq-AL"/>
        </w:rPr>
        <w:t xml:space="preserve">edhe </w:t>
      </w:r>
      <w:r w:rsidR="00135165" w:rsidRPr="00A6284F">
        <w:rPr>
          <w:rFonts w:eastAsia="Times New Roman"/>
          <w:color w:val="000000"/>
          <w:sz w:val="24"/>
          <w:lang w:val="sq-AL"/>
        </w:rPr>
        <w:t xml:space="preserve">partneritetet publiko-private. Dispozitat e ligjit për prokurimin publik mbi fushëveprimin e shqyrtimit dhe sistemit të mjeteve juridike, afatet për kundërshtimin e vendimeve, efektet e parashtrimit të ankesës dhe mekanizmin për sigurimin e </w:t>
      </w:r>
      <w:proofErr w:type="spellStart"/>
      <w:r w:rsidR="00135165" w:rsidRPr="00A6284F">
        <w:rPr>
          <w:rFonts w:eastAsia="Times New Roman"/>
          <w:color w:val="000000"/>
          <w:sz w:val="24"/>
          <w:lang w:val="sq-AL"/>
        </w:rPr>
        <w:t>efektshmërisë</w:t>
      </w:r>
      <w:proofErr w:type="spellEnd"/>
      <w:r w:rsidR="00135165" w:rsidRPr="00A6284F">
        <w:rPr>
          <w:rFonts w:eastAsia="Times New Roman"/>
          <w:color w:val="000000"/>
          <w:sz w:val="24"/>
          <w:lang w:val="sq-AL"/>
        </w:rPr>
        <w:t xml:space="preserve"> së kontratave, në masë të madhe janë në përputhje me acquis.</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Deri në tetor të vitit 2018, OSHP kishte pranuar 614 ankesa dhe kishte shqyrtuar 521 apele. Vendimet publikohen në faqen e tij të internetit, por baza e tij e të dhënave nuk është e përshtatshme për përdoruesit.</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Operatorët ekonomikë kanë të drejtë të parashtrojnë kërkesë tek OSHP për shqyrtim të ankesave të tyre. Në rast të moszbatimit të vendimeve të tij, OSHP ka kompetencë të gjobisë autoritetet kontraktuese. Katër ndëshkime të tilla janë dhënë më 2018.</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OSHP nuk është i kompletuar pasi dy nga pesë anëtarët e bordit të tij janë suspenduar që nga qershori 2017 për shkak të aktakuzës së tyre në një rast korrupsioni. Stafi i tij përbëhet nga 18 shërbyes civilë dhe një numër ekspertësh të jashtëm. Vendimeve të tij, të cilat </w:t>
      </w:r>
      <w:r w:rsidR="00270BED" w:rsidRPr="00A6284F">
        <w:rPr>
          <w:rFonts w:eastAsia="Times New Roman"/>
          <w:color w:val="000000"/>
          <w:sz w:val="24"/>
          <w:lang w:val="sq-AL"/>
        </w:rPr>
        <w:t>merren</w:t>
      </w:r>
      <w:r w:rsidRPr="00A6284F">
        <w:rPr>
          <w:rFonts w:eastAsia="Times New Roman"/>
          <w:color w:val="000000"/>
          <w:sz w:val="24"/>
          <w:lang w:val="sq-AL"/>
        </w:rPr>
        <w:t xml:space="preserve"> nga bordi, u mungon arsyetimi i zhvilluar dhe i vazhdueshëm dhe nuk zbatohen gjithmonë.</w:t>
      </w:r>
    </w:p>
    <w:p w:rsidR="00135165" w:rsidRPr="00A6284F" w:rsidRDefault="00135165" w:rsidP="00135165">
      <w:pPr>
        <w:tabs>
          <w:tab w:val="left" w:pos="864"/>
        </w:tabs>
        <w:spacing w:before="127" w:after="105" w:line="273" w:lineRule="exact"/>
        <w:ind w:left="144"/>
        <w:textAlignment w:val="baseline"/>
        <w:rPr>
          <w:rFonts w:eastAsia="Times New Roman"/>
          <w:b/>
          <w:color w:val="000000"/>
          <w:sz w:val="24"/>
          <w:lang w:val="sq-AL"/>
        </w:rPr>
      </w:pPr>
      <w:r w:rsidRPr="00A6284F">
        <w:rPr>
          <w:rFonts w:eastAsia="Times New Roman"/>
          <w:b/>
          <w:color w:val="000000"/>
          <w:sz w:val="24"/>
          <w:lang w:val="sq-AL"/>
        </w:rPr>
        <w:t>6.9</w:t>
      </w:r>
      <w:r w:rsidRPr="00A6284F">
        <w:rPr>
          <w:rFonts w:eastAsia="Times New Roman"/>
          <w:b/>
          <w:color w:val="000000"/>
          <w:sz w:val="24"/>
          <w:lang w:val="sq-AL"/>
        </w:rPr>
        <w:tab/>
        <w:t>E drejta e kompanive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135165" w:rsidRPr="00A6284F" w:rsidTr="007E58F5">
        <w:trPr>
          <w:trHeight w:hRule="exact" w:val="2919"/>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7E58F5">
            <w:pPr>
              <w:spacing w:before="20" w:line="276" w:lineRule="exact"/>
              <w:ind w:left="144" w:right="432"/>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një nivel të përgatitjes</w:t>
            </w:r>
            <w:r w:rsidRPr="00A6284F">
              <w:rPr>
                <w:rFonts w:eastAsia="Times New Roman"/>
                <w:color w:val="000000"/>
                <w:sz w:val="24"/>
                <w:lang w:val="sq-AL"/>
              </w:rPr>
              <w:t xml:space="preserve"> në fushën e të drejtës së kompanive. </w:t>
            </w:r>
            <w:r w:rsidRPr="00A6284F">
              <w:rPr>
                <w:rFonts w:eastAsia="Times New Roman"/>
                <w:b/>
                <w:color w:val="000000"/>
                <w:sz w:val="24"/>
                <w:lang w:val="sq-AL"/>
              </w:rPr>
              <w:t>Progres i mirë</w:t>
            </w:r>
            <w:r w:rsidRPr="00A6284F">
              <w:rPr>
                <w:rFonts w:eastAsia="Times New Roman"/>
                <w:color w:val="000000"/>
                <w:sz w:val="24"/>
                <w:lang w:val="sq-AL"/>
              </w:rPr>
              <w:t xml:space="preserve"> është shënuar në rekomandimet e vitit 2018 përmes miratimit të Ligjit të ri për shoqëritë tregtare dhe hyrjes në fuqi të Ligjit për kontabilitet, raportim financiar dhe auditim. Ndryshimet legjislative vazhduan të sigurojnë një mjedis më të favorshëm për bizneset.</w:t>
            </w:r>
          </w:p>
          <w:p w:rsidR="00135165" w:rsidRPr="00A6284F" w:rsidRDefault="00135165" w:rsidP="007E58F5">
            <w:pPr>
              <w:spacing w:before="123" w:line="276" w:lineRule="exact"/>
              <w:ind w:left="144"/>
              <w:textAlignment w:val="baseline"/>
              <w:rPr>
                <w:rFonts w:eastAsia="Times New Roman"/>
                <w:color w:val="000000"/>
                <w:sz w:val="24"/>
                <w:lang w:val="sq-AL"/>
              </w:rPr>
            </w:pPr>
            <w:r w:rsidRPr="00A6284F">
              <w:rPr>
                <w:rFonts w:eastAsia="Times New Roman"/>
                <w:color w:val="000000"/>
                <w:sz w:val="24"/>
                <w:lang w:val="sq-AL"/>
              </w:rPr>
              <w:t>Në vitin e ardhshëm, Kosova duhet t'i kushtojë vëmendje të veçantë:</w:t>
            </w:r>
          </w:p>
          <w:p w:rsidR="00135165" w:rsidRPr="00A6284F" w:rsidRDefault="00135165" w:rsidP="007E58F5">
            <w:pPr>
              <w:spacing w:before="136" w:after="126" w:line="276" w:lineRule="exact"/>
              <w:ind w:left="504" w:right="432" w:hanging="360"/>
              <w:jc w:val="both"/>
              <w:textAlignment w:val="baseline"/>
              <w:rPr>
                <w:rFonts w:ascii="Segoe UI Symbol" w:eastAsia="Segoe UI Symbol" w:hAnsi="Segoe UI Symbol"/>
                <w:color w:val="000000"/>
                <w:lang w:val="sq-AL"/>
              </w:rPr>
            </w:pPr>
            <w:r w:rsidRPr="00A6284F">
              <w:rPr>
                <w:rFonts w:ascii="Segoe UI Symbol" w:eastAsia="Segoe UI Symbol" w:hAnsi="Segoe UI Symbol"/>
                <w:color w:val="000000"/>
                <w:lang w:val="sq-AL"/>
              </w:rPr>
              <w:t>-*</w:t>
            </w:r>
            <w:r w:rsidRPr="00A6284F">
              <w:rPr>
                <w:rFonts w:eastAsia="Times New Roman"/>
                <w:color w:val="000000"/>
                <w:sz w:val="24"/>
                <w:lang w:val="sq-AL"/>
              </w:rPr>
              <w:t>sigurimit të zbatimit të duhur të Ligjit të miratuar së fundmi për shoqëritë tregtare dhe të Ligjit për kontabilitet, raportim financiar dhe auditim dhe sigurimit të harmonizimit të mëtejshëm në këto fusha.</w:t>
            </w:r>
          </w:p>
        </w:tc>
      </w:tr>
    </w:tbl>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Tek e drejta e kompanive, Ligji për shoqëritë tregtare (i miratuar në maj të vitit 2018), është pjesërisht i harmonizuar me acquis. Ai përshkruan rolin dhe përgjegjësitë e Agjencisë së Regjistr</w:t>
      </w:r>
      <w:r w:rsidR="00F60742" w:rsidRPr="00A6284F">
        <w:rPr>
          <w:rFonts w:eastAsia="Times New Roman"/>
          <w:color w:val="000000"/>
          <w:sz w:val="24"/>
          <w:lang w:val="sq-AL"/>
        </w:rPr>
        <w:t>imit të Biznes</w:t>
      </w:r>
      <w:r w:rsidRPr="00A6284F">
        <w:rPr>
          <w:rFonts w:eastAsia="Times New Roman"/>
          <w:color w:val="000000"/>
          <w:sz w:val="24"/>
          <w:lang w:val="sq-AL"/>
        </w:rPr>
        <w:t xml:space="preserve">eve të Kosovës (ARBK) dhe përfshin disa dispozita për </w:t>
      </w:r>
      <w:proofErr w:type="spellStart"/>
      <w:r w:rsidRPr="00A6284F">
        <w:rPr>
          <w:rFonts w:eastAsia="Times New Roman"/>
          <w:color w:val="000000"/>
          <w:sz w:val="24"/>
          <w:lang w:val="sq-AL"/>
        </w:rPr>
        <w:t>përbashkimet</w:t>
      </w:r>
      <w:proofErr w:type="spellEnd"/>
      <w:r w:rsidRPr="00A6284F">
        <w:rPr>
          <w:rFonts w:eastAsia="Times New Roman"/>
          <w:color w:val="000000"/>
          <w:sz w:val="24"/>
          <w:lang w:val="sq-AL"/>
        </w:rPr>
        <w:t xml:space="preserve"> ndërkufitare, mbrojtjen e punonjësve, aksionarët minoritarë si dhe kreditorët në </w:t>
      </w:r>
      <w:proofErr w:type="spellStart"/>
      <w:r w:rsidRPr="00A6284F">
        <w:rPr>
          <w:rFonts w:eastAsia="Times New Roman"/>
          <w:color w:val="000000"/>
          <w:sz w:val="24"/>
          <w:lang w:val="sq-AL"/>
        </w:rPr>
        <w:t>përbashkimet</w:t>
      </w:r>
      <w:proofErr w:type="spellEnd"/>
      <w:r w:rsidRPr="00A6284F">
        <w:rPr>
          <w:rFonts w:eastAsia="Times New Roman"/>
          <w:color w:val="000000"/>
          <w:sz w:val="24"/>
          <w:lang w:val="sq-AL"/>
        </w:rPr>
        <w:t xml:space="preserve"> dhe ndarjet vendore. Gjithashtu parashikon miratimin e kodit të qeverisjes </w:t>
      </w:r>
      <w:proofErr w:type="spellStart"/>
      <w:r w:rsidRPr="00A6284F">
        <w:rPr>
          <w:rFonts w:eastAsia="Times New Roman"/>
          <w:color w:val="000000"/>
          <w:sz w:val="24"/>
          <w:lang w:val="sq-AL"/>
        </w:rPr>
        <w:t>korporative</w:t>
      </w:r>
      <w:proofErr w:type="spellEnd"/>
      <w:r w:rsidRPr="00A6284F">
        <w:rPr>
          <w:rFonts w:eastAsia="Times New Roman"/>
          <w:color w:val="000000"/>
          <w:sz w:val="24"/>
          <w:lang w:val="sq-AL"/>
        </w:rPr>
        <w:t xml:space="preserve">. ARBK </w:t>
      </w:r>
      <w:r w:rsidR="00270BED" w:rsidRPr="00A6284F">
        <w:rPr>
          <w:rFonts w:eastAsia="Times New Roman"/>
          <w:color w:val="000000"/>
          <w:sz w:val="24"/>
          <w:lang w:val="sq-AL"/>
        </w:rPr>
        <w:t>është përgjegjëse për regjistrimin dhe publikimet e bizneseve në internet, duke përfshirë pasqyrat financiare të kompanive. Regjistrimi i biznesit mund të dorëzohet në mënyrë elektronike</w:t>
      </w:r>
      <w:r w:rsidRPr="00A6284F">
        <w:rPr>
          <w:rFonts w:eastAsia="Times New Roman"/>
          <w:color w:val="000000"/>
          <w:sz w:val="24"/>
          <w:lang w:val="sq-AL"/>
        </w:rPr>
        <w:t xml:space="preserve">. Nevojitet harmonizimi i mëtejshëm me acquis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drejtës së kompanive, duke përfshirë për kërkesën e kapitalit minimal, të drejtat e aksionarëve dhe marrjen përsipër të kompanive.</w:t>
      </w:r>
    </w:p>
    <w:p w:rsidR="00135165" w:rsidRPr="00A6284F" w:rsidRDefault="00F60742"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00135165" w:rsidRPr="00A6284F">
        <w:rPr>
          <w:rFonts w:eastAsia="Times New Roman"/>
          <w:b/>
          <w:color w:val="000000"/>
          <w:sz w:val="24"/>
          <w:lang w:val="sq-AL"/>
        </w:rPr>
        <w:t xml:space="preserve">kontabiliteti dhe auditimi </w:t>
      </w:r>
      <w:proofErr w:type="spellStart"/>
      <w:r w:rsidR="00135165" w:rsidRPr="00A6284F">
        <w:rPr>
          <w:rFonts w:eastAsia="Times New Roman"/>
          <w:b/>
          <w:color w:val="000000"/>
          <w:sz w:val="24"/>
          <w:lang w:val="sq-AL"/>
        </w:rPr>
        <w:t>korporativ</w:t>
      </w:r>
      <w:proofErr w:type="spellEnd"/>
      <w:r w:rsidR="00135165" w:rsidRPr="00A6284F">
        <w:rPr>
          <w:rFonts w:eastAsia="Times New Roman"/>
          <w:color w:val="000000"/>
          <w:sz w:val="24"/>
          <w:lang w:val="sq-AL"/>
        </w:rPr>
        <w:t xml:space="preserve">, është miratuar ligji i ri për kontabilitet, raportim financiar dhe auditim në prill të vitit 2018 dhe hyri në fuqi në janar të vitit 2019. Është pjesërisht i harmonizuar me acquis dhe rregullon, ndër të tjera, përgjegjësitë e autoriteteve kompetente, kërkesave të auditimit, kualifikimet dhe </w:t>
      </w:r>
      <w:proofErr w:type="spellStart"/>
      <w:r w:rsidR="00135165" w:rsidRPr="00A6284F">
        <w:rPr>
          <w:rFonts w:eastAsia="Times New Roman"/>
          <w:color w:val="000000"/>
          <w:sz w:val="24"/>
          <w:lang w:val="sq-AL"/>
        </w:rPr>
        <w:t>licensimin</w:t>
      </w:r>
      <w:proofErr w:type="spellEnd"/>
      <w:r w:rsidR="00135165" w:rsidRPr="00A6284F">
        <w:rPr>
          <w:rFonts w:eastAsia="Times New Roman"/>
          <w:color w:val="000000"/>
          <w:sz w:val="24"/>
          <w:lang w:val="sq-AL"/>
        </w:rPr>
        <w:t xml:space="preserve"> e kontabilistëve dhe auditorëve. Subjektet e mëdha duhet të aplikojnë Standardet Ndërkombëtare për Raportimin Financiar (IFRS/IAS). Kërkesa për NVM-të që të aplikojnë IFRS-të për NVM-të shkon përtej kërkesave të Direktivës së BE-së për kontabilitet. Strukturat institucionale të mbikëqyrjes së auditimit duhet të forcohen, siç duhet edhe pavarësia profesionale dhe objektiviteti i auditorëve dhe firmave të auditimit. Duhet të gjendet një zgjidhje e qëndrueshme afatgjatë për financimin e Bordit të Mbikëqyrjes Publike.</w:t>
      </w:r>
    </w:p>
    <w:p w:rsidR="00135165" w:rsidRPr="00A6284F" w:rsidRDefault="00135165" w:rsidP="00135165">
      <w:pPr>
        <w:spacing w:before="127" w:after="105" w:line="273" w:lineRule="exact"/>
        <w:ind w:left="144"/>
        <w:textAlignment w:val="baseline"/>
        <w:rPr>
          <w:rFonts w:eastAsia="Times New Roman"/>
          <w:b/>
          <w:color w:val="000000"/>
          <w:spacing w:val="7"/>
          <w:sz w:val="24"/>
          <w:lang w:val="sq-AL"/>
        </w:rPr>
      </w:pPr>
      <w:r w:rsidRPr="00A6284F">
        <w:rPr>
          <w:rFonts w:eastAsia="Times New Roman"/>
          <w:b/>
          <w:color w:val="000000"/>
          <w:spacing w:val="7"/>
          <w:sz w:val="24"/>
          <w:lang w:val="sq-AL"/>
        </w:rPr>
        <w:t>6.10 E drejta e pronës intelektuale</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Kosova ka një nivel përgatitjeje për këtë fushë. Pak progres është bërë në harmonizimin e kornizës ligjore me acquis. Agjencia për Pronësi Industriale dhe Zyra për të Drejtat e Autorit dhe të Drejtat e Përafërta kanë mungesë të fondeve, stafit dhe trajnimit adekuat. Ende nevojiten përpjekje të konsiderueshme për të siguruar implementimin, duke përfshirë mjetet efektive për ushtrimin e të drejtave pronësore intelektuale (DPI), në pajtim me obligimet e MSA-së.</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144" w:right="144"/>
        <w:jc w:val="both"/>
        <w:textAlignment w:val="baseline"/>
        <w:rPr>
          <w:rFonts w:eastAsia="Times New Roman"/>
          <w:color w:val="000000"/>
          <w:spacing w:val="-1"/>
          <w:sz w:val="24"/>
          <w:lang w:val="sq-AL"/>
        </w:rPr>
      </w:pP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Në vitin e ardhshëm, Kosova duhet në veçanti:</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630" w:right="144" w:hanging="486"/>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 të ndërmerr hapa </w:t>
      </w:r>
      <w:r w:rsidR="00F60742" w:rsidRPr="00A6284F">
        <w:rPr>
          <w:rFonts w:eastAsia="Times New Roman"/>
          <w:color w:val="000000"/>
          <w:spacing w:val="-1"/>
          <w:sz w:val="24"/>
          <w:lang w:val="sq-AL"/>
        </w:rPr>
        <w:t>konkretë</w:t>
      </w:r>
      <w:r w:rsidRPr="00A6284F">
        <w:rPr>
          <w:rFonts w:eastAsia="Times New Roman"/>
          <w:color w:val="000000"/>
          <w:spacing w:val="-1"/>
          <w:sz w:val="24"/>
          <w:lang w:val="sq-AL"/>
        </w:rPr>
        <w:t xml:space="preserve"> për të rritur kapacitetin dhe koordinimin e agjencive të zbatimit të ligjit për të zbatuar të drejtat e pronësisë intelektuale, industriale dhe tregtare dhe për harmonizim të mëtejshëm me acquis;</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630" w:right="144" w:hanging="486"/>
        <w:jc w:val="both"/>
        <w:textAlignment w:val="baseline"/>
        <w:rPr>
          <w:rFonts w:eastAsia="Times New Roman"/>
          <w:color w:val="000000"/>
          <w:spacing w:val="-1"/>
          <w:sz w:val="24"/>
          <w:lang w:val="sq-AL"/>
        </w:rPr>
      </w:pP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630" w:right="144" w:hanging="486"/>
        <w:jc w:val="both"/>
        <w:textAlignment w:val="baseline"/>
        <w:rPr>
          <w:rFonts w:eastAsia="Times New Roman"/>
          <w:color w:val="000000"/>
          <w:spacing w:val="-1"/>
          <w:sz w:val="24"/>
          <w:lang w:val="sq-AL"/>
        </w:rPr>
      </w:pPr>
      <w:r w:rsidRPr="00A6284F">
        <w:rPr>
          <w:rFonts w:eastAsia="Times New Roman"/>
          <w:color w:val="000000"/>
          <w:spacing w:val="-1"/>
          <w:sz w:val="24"/>
          <w:lang w:val="sq-AL"/>
        </w:rPr>
        <w:t>-* të adresojë mungesën e resurseve të Agjencisë për Pronësi Industriale dhe të merret me aplikimet e prapambetura për DPI-të;</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630" w:right="144" w:hanging="486"/>
        <w:jc w:val="both"/>
        <w:textAlignment w:val="baseline"/>
        <w:rPr>
          <w:rFonts w:eastAsia="Times New Roman"/>
          <w:color w:val="000000"/>
          <w:spacing w:val="-1"/>
          <w:sz w:val="24"/>
          <w:lang w:val="sq-AL"/>
        </w:rPr>
      </w:pP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630" w:right="144" w:hanging="486"/>
        <w:jc w:val="both"/>
        <w:textAlignment w:val="baseline"/>
        <w:rPr>
          <w:rFonts w:eastAsia="Times New Roman"/>
          <w:color w:val="000000"/>
          <w:spacing w:val="-1"/>
          <w:sz w:val="24"/>
          <w:lang w:val="sq-AL"/>
        </w:rPr>
      </w:pPr>
      <w:r w:rsidRPr="00A6284F">
        <w:rPr>
          <w:rFonts w:eastAsia="Times New Roman"/>
          <w:color w:val="000000"/>
          <w:spacing w:val="-1"/>
          <w:sz w:val="24"/>
          <w:lang w:val="sq-AL"/>
        </w:rPr>
        <w:t>-* të ngritë vetëdijen për mbrojtjen e të drejtave të pronës industriale.</w:t>
      </w:r>
    </w:p>
    <w:p w:rsidR="00135165" w:rsidRPr="00A6284F" w:rsidRDefault="00135165" w:rsidP="00135165">
      <w:pPr>
        <w:pBdr>
          <w:top w:val="single" w:sz="4" w:space="0" w:color="000000"/>
          <w:left w:val="single" w:sz="4" w:space="7" w:color="000000"/>
          <w:bottom w:val="single" w:sz="4" w:space="0" w:color="000000"/>
          <w:right w:val="single" w:sz="4" w:space="7" w:color="000000"/>
        </w:pBdr>
        <w:shd w:val="solid" w:color="D9D9D9" w:fill="D9D9D9"/>
        <w:spacing w:line="271" w:lineRule="exact"/>
        <w:ind w:left="144" w:right="144"/>
        <w:jc w:val="both"/>
        <w:textAlignment w:val="baseline"/>
        <w:rPr>
          <w:rFonts w:eastAsia="Times New Roman"/>
          <w:color w:val="000000"/>
          <w:spacing w:val="-1"/>
          <w:sz w:val="24"/>
          <w:lang w:val="sq-AL"/>
        </w:rPr>
      </w:pPr>
    </w:p>
    <w:p w:rsidR="00135165" w:rsidRPr="00A6284F" w:rsidRDefault="00135165" w:rsidP="00135165">
      <w:pPr>
        <w:pBdr>
          <w:top w:val="single" w:sz="4" w:space="0" w:color="000000"/>
          <w:left w:val="single" w:sz="4" w:space="7" w:color="000000"/>
          <w:bottom w:val="single" w:sz="4" w:space="31" w:color="000000"/>
          <w:right w:val="single" w:sz="4" w:space="7" w:color="000000"/>
        </w:pBdr>
        <w:shd w:val="solid" w:color="D9D9D9" w:fill="D9D9D9"/>
        <w:spacing w:line="271" w:lineRule="exact"/>
        <w:ind w:right="144"/>
        <w:jc w:val="both"/>
        <w:textAlignment w:val="baseline"/>
        <w:rPr>
          <w:lang w:val="sq-AL"/>
        </w:rPr>
        <w:sectPr w:rsidR="00135165" w:rsidRPr="00A6284F" w:rsidSect="00135165">
          <w:pgSz w:w="11909" w:h="16838"/>
          <w:pgMar w:top="1400" w:right="1279" w:bottom="562" w:left="1270" w:header="720" w:footer="720" w:gutter="0"/>
          <w:cols w:space="720"/>
        </w:sectPr>
      </w:pPr>
    </w:p>
    <w:p w:rsidR="00135165" w:rsidRPr="00A6284F" w:rsidRDefault="00135165" w:rsidP="00135165">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Tek </w:t>
      </w:r>
      <w:r w:rsidRPr="00A6284F">
        <w:rPr>
          <w:rFonts w:eastAsia="Times New Roman"/>
          <w:b/>
          <w:color w:val="000000"/>
          <w:sz w:val="24"/>
          <w:lang w:val="sq-AL"/>
        </w:rPr>
        <w:t>të drejtat e autorit dhe të drejtat e përafërta</w:t>
      </w:r>
      <w:r w:rsidRPr="00A6284F">
        <w:rPr>
          <w:rFonts w:eastAsia="Times New Roman"/>
          <w:color w:val="000000"/>
          <w:sz w:val="24"/>
          <w:lang w:val="sq-AL"/>
        </w:rPr>
        <w:t>, janë miratuar dy akte ligjore në vitin 2018 në lidhje me ndërmjetësimin e kontesteve dhe taksave të kopjimit privat. Ende nevojiten mekanizma për të lëshuar tarifat për përdorimin e materialeve me të drejtë autori ndërmjet organizatave të menaxhimit kolektiv dhe transmetuesve. Kosova zotoi që të garantojë, brenda pesë vjetëve nga hyrja në fuqi e MSA-së, një nivel të mbrojtjes së të drejtave intelektuale, industriale dhe tregtare, ekuivalent me atë të aplikuar në BE. Ky detyrim është larg përmbushjes.</w:t>
      </w:r>
    </w:p>
    <w:p w:rsidR="00135165" w:rsidRPr="00A6284F" w:rsidRDefault="00135165" w:rsidP="00135165">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të drejtat e pronës industriale</w:t>
      </w:r>
      <w:r w:rsidRPr="00A6284F">
        <w:rPr>
          <w:rFonts w:eastAsia="Times New Roman"/>
          <w:color w:val="000000"/>
          <w:sz w:val="24"/>
          <w:lang w:val="sq-AL"/>
        </w:rPr>
        <w:t>, korniza legjislative ende ka nevojë të përafrohet më tutje me acquis, duke përfshirë edhe sekretet tregtare. Pak progres ishte arritur në reduktimin e numrit të aplikimeve të prapambetura për DPI. Agjencia për Pronësi Industriale vazhdon të ndikohet nga mungesa e stafit dhe financimi i pamjaftueshëm. Ekziston nevoja për një strategji qeveritare për DPI-të. Nevojitet më shumë ndërgjegjësim në mesin e mbajtësve dhe përdoruesve të DPI-ve, kryesisht në komunitetin e biznesit. Baza e të dhënave e agjencisë për sistemin e automatizimit të pronësisë industriale ende nuk është plotësisht funksionale.</w:t>
      </w:r>
    </w:p>
    <w:p w:rsidR="00135165" w:rsidRPr="00A6284F" w:rsidRDefault="00135165" w:rsidP="0013516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ekzekutimi,</w:t>
      </w:r>
      <w:r w:rsidRPr="00A6284F">
        <w:rPr>
          <w:rFonts w:eastAsia="Times New Roman"/>
          <w:color w:val="000000"/>
          <w:sz w:val="24"/>
          <w:lang w:val="sq-AL"/>
        </w:rPr>
        <w:t xml:space="preserve"> Kosova ka themeluar institucionet e nevojshme, duke përfshirë në Doganën e Kosovës, Policinë e Kosovës, Inspektoratin e Tregut dhe Këshillat Prokurorial dhe Gjyqësorë të Kosovës. Ekziston munges</w:t>
      </w:r>
      <w:r w:rsidR="001218CE" w:rsidRPr="00A6284F">
        <w:rPr>
          <w:rFonts w:eastAsia="Times New Roman"/>
          <w:color w:val="000000"/>
          <w:sz w:val="24"/>
          <w:lang w:val="sq-AL"/>
        </w:rPr>
        <w:t>a</w:t>
      </w:r>
      <w:r w:rsidRPr="00A6284F">
        <w:rPr>
          <w:rFonts w:eastAsia="Times New Roman"/>
          <w:color w:val="000000"/>
          <w:sz w:val="24"/>
          <w:lang w:val="sq-AL"/>
        </w:rPr>
        <w:t xml:space="preserve"> e bashkëpunimit ndërmjet institucioneve </w:t>
      </w:r>
      <w:proofErr w:type="spellStart"/>
      <w:r w:rsidRPr="00A6284F">
        <w:rPr>
          <w:rFonts w:eastAsia="Times New Roman"/>
          <w:color w:val="000000"/>
          <w:sz w:val="24"/>
          <w:lang w:val="sq-AL"/>
        </w:rPr>
        <w:t>politikëbërëse</w:t>
      </w:r>
      <w:proofErr w:type="spellEnd"/>
      <w:r w:rsidRPr="00A6284F">
        <w:rPr>
          <w:rFonts w:eastAsia="Times New Roman"/>
          <w:color w:val="000000"/>
          <w:sz w:val="24"/>
          <w:lang w:val="sq-AL"/>
        </w:rPr>
        <w:t xml:space="preserve"> dhe institucioneve të ekzekutimit, siç janë gjyqësori dhe prokuroria. Në vitin 2018, Dogana e Kosovës kreu 370 operacione që synonin mallrat që shkelin DPI - këto kishin të bënin me 208,841 artikuj në vlerë rreth 2.6 milionë euro. Në 364 raste (në lidhje me 203,504 artikuj në vlerë rreth 2.4 milionë euro) </w:t>
      </w:r>
      <w:r w:rsidR="004C52EE" w:rsidRPr="00A6284F">
        <w:rPr>
          <w:rFonts w:eastAsia="Times New Roman"/>
          <w:color w:val="000000"/>
          <w:sz w:val="24"/>
          <w:lang w:val="sq-AL"/>
        </w:rPr>
        <w:t xml:space="preserve">mjeti ligjor ishte ushtruar </w:t>
      </w:r>
      <w:r w:rsidRPr="00A6284F">
        <w:rPr>
          <w:rFonts w:eastAsia="Times New Roman"/>
          <w:color w:val="000000"/>
          <w:sz w:val="24"/>
          <w:lang w:val="sq-AL"/>
        </w:rPr>
        <w:t xml:space="preserve">nga mbajtësit e të drejtës. </w:t>
      </w:r>
      <w:r w:rsidR="004C52EE" w:rsidRPr="00A6284F">
        <w:rPr>
          <w:rFonts w:eastAsia="Times New Roman"/>
          <w:color w:val="000000"/>
          <w:sz w:val="24"/>
          <w:lang w:val="sq-AL"/>
        </w:rPr>
        <w:t xml:space="preserve">Të </w:t>
      </w:r>
      <w:r w:rsidRPr="00A6284F">
        <w:rPr>
          <w:rFonts w:eastAsia="Times New Roman"/>
          <w:color w:val="000000"/>
          <w:sz w:val="24"/>
          <w:lang w:val="sq-AL"/>
        </w:rPr>
        <w:t xml:space="preserve">6 operacionet e mbetura (5,337 artikuj në vlerë prej 172,075 euro) janë ndërmarrë në mënyrë </w:t>
      </w:r>
      <w:proofErr w:type="spellStart"/>
      <w:r w:rsidRPr="00A6284F">
        <w:rPr>
          <w:rFonts w:eastAsia="Times New Roman"/>
          <w:color w:val="000000"/>
          <w:sz w:val="24"/>
          <w:lang w:val="sq-AL"/>
        </w:rPr>
        <w:t>proaktive</w:t>
      </w:r>
      <w:proofErr w:type="spellEnd"/>
      <w:r w:rsidRPr="00A6284F">
        <w:rPr>
          <w:rFonts w:eastAsia="Times New Roman"/>
          <w:color w:val="000000"/>
          <w:sz w:val="24"/>
          <w:lang w:val="sq-AL"/>
        </w:rPr>
        <w:t xml:space="preserve"> sipas detyrës zyrtare (</w:t>
      </w:r>
      <w:proofErr w:type="spellStart"/>
      <w:r w:rsidRPr="00A6284F">
        <w:rPr>
          <w:rFonts w:eastAsia="Times New Roman"/>
          <w:color w:val="000000"/>
          <w:sz w:val="24"/>
          <w:lang w:val="sq-AL"/>
        </w:rPr>
        <w:t>ex</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officio</w:t>
      </w:r>
      <w:proofErr w:type="spellEnd"/>
      <w:r w:rsidRPr="00A6284F">
        <w:rPr>
          <w:rFonts w:eastAsia="Times New Roman"/>
          <w:color w:val="000000"/>
          <w:sz w:val="24"/>
          <w:lang w:val="sq-AL"/>
        </w:rPr>
        <w:t xml:space="preserve">) nga zyrtarët e doganës. Vlera e mallrave të konfiskuara ishte 2.4 milionë euro. Në përgjithësi, departamenti i doganës që merret me DPI duhet të forcohet, pasi që përbëhet nga vetëm dy anëtarë të stafit. Ngritja e kapaciteteve, bashkëpunimi me organet e zbatimit të ligjit dhe ngritja e vetëdijes nevojiten po ashtu për të zbatuar ligjin e miratuar së fundmi për masat doganore për mbrojtjen e DPI. Një kërkesë administrative për të marrë autorizimin e policisë para kryerjes së hetimeve të tregut minon efektivitetin e inspektoratit të tregut. </w:t>
      </w:r>
      <w:r w:rsidR="004C52EE" w:rsidRPr="00A6284F">
        <w:rPr>
          <w:rFonts w:eastAsia="Times New Roman"/>
          <w:color w:val="000000"/>
          <w:sz w:val="24"/>
          <w:lang w:val="sq-AL"/>
        </w:rPr>
        <w:t>Ende janë të nevojshëm m</w:t>
      </w:r>
      <w:r w:rsidRPr="00A6284F">
        <w:rPr>
          <w:rFonts w:eastAsia="Times New Roman"/>
          <w:color w:val="000000"/>
          <w:sz w:val="24"/>
          <w:lang w:val="sq-AL"/>
        </w:rPr>
        <w:t>ekanizmat ku organizatat e menaxhimit kolektiv dhe transmetuesit mund të përcaktojnë tarifat për përdorimin e materialit me të drejtë autori. Kjo situatë nuk ka ndryshuar të paktën që nga viti 2014.</w:t>
      </w:r>
    </w:p>
    <w:p w:rsidR="00135165" w:rsidRPr="00A6284F" w:rsidRDefault="00135165" w:rsidP="00135165">
      <w:pPr>
        <w:spacing w:before="130" w:after="110" w:line="274" w:lineRule="exact"/>
        <w:ind w:left="144"/>
        <w:textAlignment w:val="baseline"/>
        <w:rPr>
          <w:rFonts w:eastAsia="Times New Roman"/>
          <w:b/>
          <w:color w:val="000000"/>
          <w:spacing w:val="6"/>
          <w:sz w:val="24"/>
          <w:lang w:val="sq-AL"/>
        </w:rPr>
      </w:pPr>
      <w:r w:rsidRPr="00A6284F">
        <w:rPr>
          <w:rFonts w:eastAsia="Times New Roman"/>
          <w:b/>
          <w:color w:val="000000"/>
          <w:spacing w:val="6"/>
          <w:sz w:val="24"/>
          <w:lang w:val="sq-AL"/>
        </w:rPr>
        <w:t>6.11 Politika sociale dhe punësimi</w:t>
      </w:r>
    </w:p>
    <w:p w:rsidR="00135165" w:rsidRPr="00A6284F" w:rsidRDefault="00135165" w:rsidP="00135165">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w:t>
      </w:r>
      <w:r w:rsidR="004C52EE" w:rsidRPr="00A6284F">
        <w:rPr>
          <w:rFonts w:eastAsia="Times New Roman"/>
          <w:color w:val="000000"/>
          <w:sz w:val="24"/>
          <w:lang w:val="sq-AL"/>
        </w:rPr>
        <w:t xml:space="preserve">një </w:t>
      </w:r>
      <w:r w:rsidRPr="00A6284F">
        <w:rPr>
          <w:rFonts w:eastAsia="Times New Roman"/>
          <w:b/>
          <w:color w:val="000000"/>
          <w:sz w:val="24"/>
          <w:lang w:val="sq-AL"/>
        </w:rPr>
        <w:t>fazë të hershme të përgatitjes</w:t>
      </w:r>
      <w:r w:rsidRPr="00A6284F">
        <w:rPr>
          <w:rFonts w:eastAsia="Times New Roman"/>
          <w:color w:val="000000"/>
          <w:sz w:val="24"/>
          <w:lang w:val="sq-AL"/>
        </w:rPr>
        <w:t xml:space="preserve"> në fushën e politikave sociale dhe punësimit. </w:t>
      </w:r>
      <w:r w:rsidRPr="00A6284F">
        <w:rPr>
          <w:rFonts w:eastAsia="Times New Roman"/>
          <w:b/>
          <w:color w:val="000000"/>
          <w:sz w:val="24"/>
          <w:lang w:val="sq-AL"/>
        </w:rPr>
        <w:t>Nuk ka pasur progres</w:t>
      </w:r>
      <w:r w:rsidRPr="00A6284F">
        <w:rPr>
          <w:rFonts w:eastAsia="Times New Roman"/>
          <w:color w:val="000000"/>
          <w:sz w:val="24"/>
          <w:lang w:val="sq-AL"/>
        </w:rPr>
        <w:t xml:space="preserve"> gjatë periudhës raportuese. Agjencia e Punësimit tani është funksionale por aftësia e saj për të ofruar shërbime është e kufizuar. Incidentet fatale në punë po rriten dhe </w:t>
      </w:r>
      <w:r w:rsidR="007312B4" w:rsidRPr="00A6284F">
        <w:rPr>
          <w:rFonts w:eastAsia="Times New Roman"/>
          <w:color w:val="000000"/>
          <w:sz w:val="24"/>
          <w:lang w:val="sq-AL"/>
        </w:rPr>
        <w:t xml:space="preserve">kontrata e përgjithshme kolektive </w:t>
      </w:r>
      <w:r w:rsidRPr="00A6284F">
        <w:rPr>
          <w:rFonts w:eastAsia="Times New Roman"/>
          <w:color w:val="000000"/>
          <w:sz w:val="24"/>
          <w:lang w:val="sq-AL"/>
        </w:rPr>
        <w:t xml:space="preserve">ende nuk është </w:t>
      </w:r>
      <w:r w:rsidR="007312B4" w:rsidRPr="00A6284F">
        <w:rPr>
          <w:rFonts w:eastAsia="Times New Roman"/>
          <w:color w:val="000000"/>
          <w:sz w:val="24"/>
          <w:lang w:val="sq-AL"/>
        </w:rPr>
        <w:t xml:space="preserve">duke u </w:t>
      </w:r>
      <w:r w:rsidRPr="00A6284F">
        <w:rPr>
          <w:rFonts w:eastAsia="Times New Roman"/>
          <w:color w:val="000000"/>
          <w:sz w:val="24"/>
          <w:lang w:val="sq-AL"/>
        </w:rPr>
        <w:t>zbatuar.</w:t>
      </w:r>
    </w:p>
    <w:p w:rsidR="00135165" w:rsidRPr="00A6284F" w:rsidRDefault="00135165" w:rsidP="00135165">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Pasi që shumica e rekomandimeve të vitit 2018 nuk janë zbatuar, Kosova duhet në veçanti: </w:t>
      </w:r>
    </w:p>
    <w:p w:rsidR="00135165" w:rsidRPr="00A6284F" w:rsidRDefault="00135165" w:rsidP="00135165">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të zbatojë strategjinë 2018-2022 për punësim dhe mirëqenie sociale, dhe të monitorojë rezultatet e tyre;</w:t>
      </w:r>
    </w:p>
    <w:p w:rsidR="00135165" w:rsidRPr="00A6284F" w:rsidRDefault="00135165" w:rsidP="00135165">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 të ndryshojë dhe zbatojë Ligjin </w:t>
      </w:r>
      <w:r w:rsidR="007312B4" w:rsidRPr="00A6284F">
        <w:rPr>
          <w:rFonts w:eastAsia="Times New Roman"/>
          <w:color w:val="000000"/>
          <w:sz w:val="24"/>
          <w:lang w:val="sq-AL"/>
        </w:rPr>
        <w:t>për</w:t>
      </w:r>
      <w:r w:rsidRPr="00A6284F">
        <w:rPr>
          <w:rFonts w:eastAsia="Times New Roman"/>
          <w:color w:val="000000"/>
          <w:sz w:val="24"/>
          <w:lang w:val="sq-AL"/>
        </w:rPr>
        <w:t xml:space="preserve"> Punën </w:t>
      </w:r>
      <w:r w:rsidR="007312B4" w:rsidRPr="00A6284F">
        <w:rPr>
          <w:rFonts w:eastAsia="Times New Roman"/>
          <w:color w:val="000000"/>
          <w:sz w:val="24"/>
          <w:lang w:val="sq-AL"/>
        </w:rPr>
        <w:t xml:space="preserve">si dhe </w:t>
      </w:r>
      <w:r w:rsidRPr="00A6284F">
        <w:rPr>
          <w:rFonts w:eastAsia="Times New Roman"/>
          <w:color w:val="000000"/>
          <w:sz w:val="24"/>
          <w:lang w:val="sq-AL"/>
        </w:rPr>
        <w:t>legjislacionin mbi shëndetin dhe sigurinë në punë dhe Ligjin mbi Këshillin Social Ekonomik;</w:t>
      </w:r>
    </w:p>
    <w:p w:rsidR="00135165" w:rsidRPr="00A6284F" w:rsidRDefault="00135165" w:rsidP="00135165">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si një çështje urgjente, të merr masa për të zvogëluar aksidentet në vendin e punës.</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ende mbetet të ndryshojë </w:t>
      </w:r>
      <w:r w:rsidRPr="00A6284F">
        <w:rPr>
          <w:rFonts w:eastAsia="Times New Roman"/>
          <w:b/>
          <w:color w:val="000000"/>
          <w:sz w:val="24"/>
          <w:lang w:val="sq-AL"/>
        </w:rPr>
        <w:t>Ligjin për Punën</w:t>
      </w:r>
      <w:r w:rsidRPr="00A6284F">
        <w:rPr>
          <w:rFonts w:eastAsia="Times New Roman"/>
          <w:color w:val="000000"/>
          <w:sz w:val="24"/>
          <w:lang w:val="sq-AL"/>
        </w:rPr>
        <w:t xml:space="preserve"> për ta përafruar atë me </w:t>
      </w:r>
      <w:r w:rsidRPr="00A6284F">
        <w:rPr>
          <w:rFonts w:eastAsia="Times New Roman"/>
          <w:i/>
          <w:color w:val="000000"/>
          <w:sz w:val="24"/>
          <w:lang w:val="sq-AL"/>
        </w:rPr>
        <w:t>ac</w:t>
      </w:r>
      <w:r w:rsidR="007312B4" w:rsidRPr="00A6284F">
        <w:rPr>
          <w:rFonts w:eastAsia="Times New Roman"/>
          <w:i/>
          <w:color w:val="000000"/>
          <w:sz w:val="24"/>
          <w:lang w:val="sq-AL"/>
        </w:rPr>
        <w:t>q</w:t>
      </w:r>
      <w:r w:rsidRPr="00A6284F">
        <w:rPr>
          <w:rFonts w:eastAsia="Times New Roman"/>
          <w:i/>
          <w:color w:val="000000"/>
          <w:sz w:val="24"/>
          <w:lang w:val="sq-AL"/>
        </w:rPr>
        <w:t>uis</w:t>
      </w:r>
      <w:r w:rsidR="007312B4" w:rsidRPr="00A6284F">
        <w:rPr>
          <w:rFonts w:eastAsia="Times New Roman"/>
          <w:color w:val="000000"/>
          <w:sz w:val="24"/>
          <w:lang w:val="sq-AL"/>
        </w:rPr>
        <w:t xml:space="preserve"> të BE</w:t>
      </w:r>
      <w:r w:rsidRPr="00A6284F">
        <w:rPr>
          <w:rFonts w:eastAsia="Times New Roman"/>
          <w:color w:val="000000"/>
          <w:sz w:val="24"/>
          <w:lang w:val="sq-AL"/>
        </w:rPr>
        <w:t xml:space="preserve"> si dhe të përmirësojë zbatimin e tij, që </w:t>
      </w:r>
      <w:r w:rsidR="007312B4" w:rsidRPr="00A6284F">
        <w:rPr>
          <w:rFonts w:eastAsia="Times New Roman"/>
          <w:color w:val="000000"/>
          <w:sz w:val="24"/>
          <w:lang w:val="sq-AL"/>
        </w:rPr>
        <w:t xml:space="preserve">dëmtohet </w:t>
      </w:r>
      <w:r w:rsidRPr="00A6284F">
        <w:rPr>
          <w:rFonts w:eastAsia="Times New Roman"/>
          <w:color w:val="000000"/>
          <w:sz w:val="24"/>
          <w:lang w:val="sq-AL"/>
        </w:rPr>
        <w:t xml:space="preserve">nga numri i ulët i inspektorëve dhe procedurave të zgjatura gjyqësore. Implementimi është më problematik në sektorin privat. Sipas të dhënave të fundit nga prilli </w:t>
      </w:r>
      <w:r w:rsidR="007312B4" w:rsidRPr="00A6284F">
        <w:rPr>
          <w:rFonts w:eastAsia="Times New Roman"/>
          <w:color w:val="000000"/>
          <w:sz w:val="24"/>
          <w:lang w:val="sq-AL"/>
        </w:rPr>
        <w:t xml:space="preserve">i vitit </w:t>
      </w:r>
      <w:r w:rsidRPr="00A6284F">
        <w:rPr>
          <w:rFonts w:eastAsia="Times New Roman"/>
          <w:color w:val="000000"/>
          <w:sz w:val="24"/>
          <w:lang w:val="sq-AL"/>
        </w:rPr>
        <w:t>2019, 49.5% e fëmijëve janë të regjistruar si përfit</w:t>
      </w:r>
      <w:r w:rsidR="007312B4" w:rsidRPr="00A6284F">
        <w:rPr>
          <w:rFonts w:eastAsia="Times New Roman"/>
          <w:color w:val="000000"/>
          <w:sz w:val="24"/>
          <w:lang w:val="sq-AL"/>
        </w:rPr>
        <w:t xml:space="preserve">ues </w:t>
      </w:r>
      <w:r w:rsidRPr="00A6284F">
        <w:rPr>
          <w:rFonts w:eastAsia="Times New Roman"/>
          <w:color w:val="000000"/>
          <w:sz w:val="24"/>
          <w:lang w:val="sq-AL"/>
        </w:rPr>
        <w:t xml:space="preserve">nga </w:t>
      </w:r>
      <w:r w:rsidR="007312B4" w:rsidRPr="00A6284F">
        <w:rPr>
          <w:rFonts w:eastAsia="Times New Roman"/>
          <w:color w:val="000000"/>
          <w:sz w:val="24"/>
          <w:lang w:val="sq-AL"/>
        </w:rPr>
        <w:t xml:space="preserve">skemat e asistencës </w:t>
      </w:r>
      <w:r w:rsidRPr="00A6284F">
        <w:rPr>
          <w:rFonts w:eastAsia="Times New Roman"/>
          <w:color w:val="000000"/>
          <w:sz w:val="24"/>
          <w:lang w:val="sq-AL"/>
        </w:rPr>
        <w:t xml:space="preserve">sociale, ndërsa për fëmijët me nevoja të veçanta kjo është rreth 10%. Deri në 10.7% e fëmijëve në Kosovë janë të përfshirë në punë, prej të cilëve 6.8% punojnë në kushte të rrezikshme. Problemi është veçanërisht i theksuar në komunitetet rome dhe ashkali. Megjithatë, në periudhën raportuese, inspektorati i punës nuk raportoi asnjë rast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miturve </w:t>
      </w:r>
      <w:r w:rsidRPr="00A6284F">
        <w:rPr>
          <w:rFonts w:eastAsia="Times New Roman"/>
          <w:color w:val="000000"/>
          <w:sz w:val="24"/>
          <w:lang w:val="sq-AL"/>
        </w:rPr>
        <w:lastRenderedPageBreak/>
        <w:t>të angazhuar në punë. Vetëm 10% e fëmijëve me aftësi të kufizuara përfitojnë nga qasja e duhur në shëndetësi, arsim dhe shërbime sociale.</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shëndeti dhe siguria në punë</w:t>
      </w:r>
      <w:r w:rsidRPr="00A6284F">
        <w:rPr>
          <w:rFonts w:eastAsia="Times New Roman"/>
          <w:color w:val="000000"/>
          <w:sz w:val="24"/>
          <w:lang w:val="sq-AL"/>
        </w:rPr>
        <w:t xml:space="preserve">, korniza ligjore e Kosovës </w:t>
      </w:r>
      <w:r w:rsidR="00860E5F" w:rsidRPr="00A6284F">
        <w:rPr>
          <w:rFonts w:eastAsia="Times New Roman"/>
          <w:color w:val="000000"/>
          <w:sz w:val="24"/>
          <w:lang w:val="sq-AL"/>
        </w:rPr>
        <w:t xml:space="preserve">i </w:t>
      </w:r>
      <w:r w:rsidRPr="00A6284F">
        <w:rPr>
          <w:rFonts w:eastAsia="Times New Roman"/>
          <w:color w:val="000000"/>
          <w:sz w:val="24"/>
          <w:lang w:val="sq-AL"/>
        </w:rPr>
        <w:t>mbulon deri në një masë fusha</w:t>
      </w:r>
      <w:r w:rsidR="00860E5F" w:rsidRPr="00A6284F">
        <w:rPr>
          <w:rFonts w:eastAsia="Times New Roman"/>
          <w:color w:val="000000"/>
          <w:sz w:val="24"/>
          <w:lang w:val="sq-AL"/>
        </w:rPr>
        <w:t>t</w:t>
      </w:r>
      <w:r w:rsidRPr="00A6284F">
        <w:rPr>
          <w:rFonts w:eastAsia="Times New Roman"/>
          <w:color w:val="000000"/>
          <w:sz w:val="24"/>
          <w:lang w:val="sq-AL"/>
        </w:rPr>
        <w:t xml:space="preserve"> specifike që rregullohen nga Direktivat e BE-së. Përkundër rregullave ekzistuese të shëndetit dhe sigurisë në punë, ka pasur një rritje në numrin e fataliteteve </w:t>
      </w:r>
      <w:r w:rsidR="00860E5F" w:rsidRPr="00A6284F">
        <w:rPr>
          <w:rFonts w:eastAsia="Times New Roman"/>
          <w:color w:val="000000"/>
          <w:sz w:val="24"/>
          <w:lang w:val="sq-AL"/>
        </w:rPr>
        <w:t>nga</w:t>
      </w:r>
      <w:r w:rsidRPr="00A6284F">
        <w:rPr>
          <w:rFonts w:eastAsia="Times New Roman"/>
          <w:color w:val="000000"/>
          <w:sz w:val="24"/>
          <w:lang w:val="sq-AL"/>
        </w:rPr>
        <w:t xml:space="preserve"> aksidentet në vendin e punës </w:t>
      </w:r>
      <w:r w:rsidR="00860E5F" w:rsidRPr="00A6284F">
        <w:rPr>
          <w:rFonts w:eastAsia="Times New Roman"/>
          <w:color w:val="000000"/>
          <w:sz w:val="24"/>
          <w:lang w:val="sq-AL"/>
        </w:rPr>
        <w:t xml:space="preserve">prej </w:t>
      </w:r>
      <w:r w:rsidRPr="00A6284F">
        <w:rPr>
          <w:rFonts w:eastAsia="Times New Roman"/>
          <w:color w:val="000000"/>
          <w:sz w:val="24"/>
          <w:lang w:val="sq-AL"/>
        </w:rPr>
        <w:t xml:space="preserve">14 </w:t>
      </w:r>
      <w:r w:rsidR="00860E5F" w:rsidRPr="00A6284F">
        <w:rPr>
          <w:rFonts w:eastAsia="Times New Roman"/>
          <w:color w:val="000000"/>
          <w:sz w:val="24"/>
          <w:lang w:val="sq-AL"/>
        </w:rPr>
        <w:t xml:space="preserve">sa ishin </w:t>
      </w:r>
      <w:r w:rsidRPr="00A6284F">
        <w:rPr>
          <w:rFonts w:eastAsia="Times New Roman"/>
          <w:color w:val="000000"/>
          <w:sz w:val="24"/>
          <w:lang w:val="sq-AL"/>
        </w:rPr>
        <w:t xml:space="preserve">në vitin 2017 në 21 në vitin 2018. Inspektorati i punës nuk ndjek këto raste siç duhet dhe ka shqetësime për saktësinë e të dhënave për aksidentet në vendin e punës dhe sëmundjet profesionale dhe nën-raportimin e fataliteteve. Kjo dëmton planifikimin dhe synimin efektiv të masave parandaluese dhe inspektimeve në vendin e punës. Pasi që shumica e aksidenteve fatale të raportuara kanë ndodhur në sektorin e ndërtimtarisë, inspektorati i punës duhet të </w:t>
      </w:r>
      <w:proofErr w:type="spellStart"/>
      <w:r w:rsidR="00860E5F" w:rsidRPr="00A6284F">
        <w:rPr>
          <w:rFonts w:eastAsia="Times New Roman"/>
          <w:color w:val="000000"/>
          <w:sz w:val="24"/>
          <w:lang w:val="sq-AL"/>
        </w:rPr>
        <w:t>targetoj</w:t>
      </w:r>
      <w:proofErr w:type="spellEnd"/>
      <w:r w:rsidRPr="00A6284F">
        <w:rPr>
          <w:rFonts w:eastAsia="Times New Roman"/>
          <w:color w:val="000000"/>
          <w:sz w:val="24"/>
          <w:lang w:val="sq-AL"/>
        </w:rPr>
        <w:t xml:space="preserve"> këtë sektor në mënyrë më efektive. Numri i inspektorëve shënoi rritje të vogël në vitin 2018, por mbetet i pamjaftueshëm.</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dialogu social</w:t>
      </w:r>
      <w:r w:rsidRPr="00A6284F">
        <w:rPr>
          <w:rFonts w:eastAsia="Times New Roman"/>
          <w:color w:val="000000"/>
          <w:sz w:val="24"/>
          <w:lang w:val="sq-AL"/>
        </w:rPr>
        <w:t xml:space="preserve">, Marrëveshja e Përgjithshme Kolektive e vitit 2014, që është thelbësore në kuptimin e parashikimit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drejtave dhe detyrimeve për punëdhënës dhe punëtorë, nuk është duke u zbatuar. Në vend të kësaj, Këshilli Ekonomik dhe Social ka filluar negociatat për një Marrëveshje të re. Ndryshimet në Ligjin për Këshillin Ekonomik dhe Social, që synojnë përmirësimin e kapaciteteve të Këshillit Ekonomik dhe Social, procesin e tij të vendimmarrjes dhe performancën në përgjithësi, </w:t>
      </w:r>
      <w:r w:rsidR="00860E5F" w:rsidRPr="00A6284F">
        <w:rPr>
          <w:rFonts w:eastAsia="Times New Roman"/>
          <w:color w:val="000000"/>
          <w:sz w:val="24"/>
          <w:lang w:val="sq-AL"/>
        </w:rPr>
        <w:t xml:space="preserve">ende </w:t>
      </w:r>
      <w:r w:rsidRPr="00A6284F">
        <w:rPr>
          <w:rFonts w:eastAsia="Times New Roman"/>
          <w:color w:val="000000"/>
          <w:sz w:val="24"/>
          <w:lang w:val="sq-AL"/>
        </w:rPr>
        <w:t>nuk janë miratuar. Të drejtat e sindikatave, në veçanti në sektorin privat janë nën presion.</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politikat e punësimit</w:t>
      </w:r>
      <w:r w:rsidRPr="00A6284F">
        <w:rPr>
          <w:rFonts w:eastAsia="Times New Roman"/>
          <w:color w:val="000000"/>
          <w:sz w:val="24"/>
          <w:lang w:val="sq-AL"/>
        </w:rPr>
        <w:t xml:space="preserve">, qeveria nuk ka ndërmarrë hapa thelbësorë për të zbatuar strategjinë sektoriale dhe planin e veprimit 2018-2022 për të trajtuar papunësinë e të rinjve. Buxheti i rezervuar për masat aktive të tregut të punës </w:t>
      </w:r>
      <w:r w:rsidR="00860E5F" w:rsidRPr="00A6284F">
        <w:rPr>
          <w:rFonts w:eastAsia="Times New Roman"/>
          <w:color w:val="000000"/>
          <w:sz w:val="24"/>
          <w:lang w:val="sq-AL"/>
        </w:rPr>
        <w:t>megjithëse është rritur</w:t>
      </w:r>
      <w:r w:rsidRPr="00A6284F">
        <w:rPr>
          <w:rFonts w:eastAsia="Times New Roman"/>
          <w:color w:val="000000"/>
          <w:sz w:val="24"/>
          <w:lang w:val="sq-AL"/>
        </w:rPr>
        <w:t>, mbetet i pamjaftueshëm dhe prapë një pjesë e madhe vjen nga komuniteti i donatorëve. Agjencia e Punësimit është funksionale por ka kapacitet</w:t>
      </w:r>
      <w:r w:rsidR="005A05FB" w:rsidRPr="00A6284F">
        <w:rPr>
          <w:rFonts w:eastAsia="Times New Roman"/>
          <w:color w:val="000000"/>
          <w:sz w:val="24"/>
          <w:lang w:val="sq-AL"/>
        </w:rPr>
        <w:t>e</w:t>
      </w:r>
      <w:r w:rsidRPr="00A6284F">
        <w:rPr>
          <w:rFonts w:eastAsia="Times New Roman"/>
          <w:color w:val="000000"/>
          <w:sz w:val="24"/>
          <w:lang w:val="sq-AL"/>
        </w:rPr>
        <w:t xml:space="preserve"> të kufizuar</w:t>
      </w:r>
      <w:r w:rsidR="005A05FB" w:rsidRPr="00A6284F">
        <w:rPr>
          <w:rFonts w:eastAsia="Times New Roman"/>
          <w:color w:val="000000"/>
          <w:sz w:val="24"/>
          <w:lang w:val="sq-AL"/>
        </w:rPr>
        <w:t>a</w:t>
      </w:r>
      <w:r w:rsidRPr="00A6284F">
        <w:rPr>
          <w:rFonts w:eastAsia="Times New Roman"/>
          <w:color w:val="000000"/>
          <w:sz w:val="24"/>
          <w:lang w:val="sq-AL"/>
        </w:rPr>
        <w:t xml:space="preserve"> për të ofruar shërbime, siç janë masat aktive efektive dhe efikase të tregut të punës. Agjencia është duke marrë pjesë në një ushtrim </w:t>
      </w:r>
      <w:r w:rsidR="005A05FB" w:rsidRPr="00A6284F">
        <w:rPr>
          <w:rFonts w:eastAsia="Times New Roman"/>
          <w:color w:val="000000"/>
          <w:sz w:val="24"/>
          <w:lang w:val="sq-AL"/>
        </w:rPr>
        <w:t xml:space="preserve">të </w:t>
      </w:r>
      <w:r w:rsidRPr="00A6284F">
        <w:rPr>
          <w:rFonts w:eastAsia="Times New Roman"/>
          <w:color w:val="000000"/>
          <w:sz w:val="24"/>
          <w:lang w:val="sq-AL"/>
        </w:rPr>
        <w:t>standardizim</w:t>
      </w:r>
      <w:r w:rsidR="005A05FB" w:rsidRPr="00A6284F">
        <w:rPr>
          <w:rFonts w:eastAsia="Times New Roman"/>
          <w:color w:val="000000"/>
          <w:sz w:val="24"/>
          <w:lang w:val="sq-AL"/>
        </w:rPr>
        <w:t>it</w:t>
      </w:r>
      <w:r w:rsidRPr="00A6284F">
        <w:rPr>
          <w:rFonts w:eastAsia="Times New Roman"/>
          <w:color w:val="000000"/>
          <w:sz w:val="24"/>
          <w:lang w:val="sq-AL"/>
        </w:rPr>
        <w:t xml:space="preserve"> dhe mësim</w:t>
      </w:r>
      <w:r w:rsidR="005A05FB" w:rsidRPr="00A6284F">
        <w:rPr>
          <w:rFonts w:eastAsia="Times New Roman"/>
          <w:color w:val="000000"/>
          <w:sz w:val="24"/>
          <w:lang w:val="sq-AL"/>
        </w:rPr>
        <w:t>it</w:t>
      </w:r>
      <w:r w:rsidRPr="00A6284F">
        <w:rPr>
          <w:rFonts w:eastAsia="Times New Roman"/>
          <w:color w:val="000000"/>
          <w:sz w:val="24"/>
          <w:lang w:val="sq-AL"/>
        </w:rPr>
        <w:t xml:space="preserve"> reciprok</w:t>
      </w:r>
      <w:r w:rsidR="005A05FB" w:rsidRPr="00A6284F">
        <w:rPr>
          <w:rFonts w:eastAsia="Times New Roman"/>
          <w:color w:val="000000"/>
          <w:sz w:val="24"/>
          <w:lang w:val="sq-AL"/>
        </w:rPr>
        <w:t>(</w:t>
      </w:r>
      <w:proofErr w:type="spellStart"/>
      <w:r w:rsidR="005A05FB" w:rsidRPr="00A6284F">
        <w:rPr>
          <w:rFonts w:eastAsia="Times New Roman"/>
          <w:color w:val="000000"/>
          <w:sz w:val="24"/>
          <w:lang w:val="sq-AL"/>
        </w:rPr>
        <w:t>bench-learning</w:t>
      </w:r>
      <w:proofErr w:type="spellEnd"/>
      <w:r w:rsidRPr="00A6284F">
        <w:rPr>
          <w:rFonts w:eastAsia="Times New Roman"/>
          <w:color w:val="000000"/>
          <w:sz w:val="24"/>
          <w:lang w:val="sq-AL"/>
        </w:rPr>
        <w:t>) bazuar në përvojën e zhvilluar nga rrjeti evropian i shërbimeve publike të punësimit.</w:t>
      </w:r>
    </w:p>
    <w:p w:rsidR="00135165" w:rsidRPr="00A6284F" w:rsidRDefault="00135165" w:rsidP="00135165">
      <w:pPr>
        <w:spacing w:before="122" w:line="276" w:lineRule="exact"/>
        <w:ind w:left="144" w:right="144"/>
        <w:jc w:val="both"/>
        <w:textAlignment w:val="baseline"/>
        <w:rPr>
          <w:rFonts w:eastAsia="Times New Roman"/>
          <w:color w:val="000000"/>
          <w:spacing w:val="-1"/>
          <w:sz w:val="24"/>
          <w:lang w:val="sq-AL"/>
        </w:rPr>
      </w:pPr>
      <w:r w:rsidRPr="00A6284F">
        <w:rPr>
          <w:rFonts w:eastAsia="Times New Roman"/>
          <w:color w:val="000000"/>
          <w:sz w:val="24"/>
          <w:lang w:val="sq-AL"/>
        </w:rPr>
        <w:t>Pasiviteti i lartë dhe punësimi shumë i ulët mbeten ndër sfidat kryesore. Shkalla e përgjithshme e aktivitetit qëndroi në 40.9% më 2018, ndërsa shkalla e punësimit ishte e ulët me 28.8%. Përveç këtyre, shkalla e papunësisë është ende tejet e lartë me 29.6% më 2018. Ajo vazhdon të jetë më e lartë për gratë (33.4%) sesa për burrat (28.5%). Shkalla e punësimit për gratë është vetëm 12.3%, krahasuar me 45.3% të burrave. Vetëm 25.5% e të punësuarve kanë kontrata të përhershme pune, derisa 74.5% punojnë me kontrata të përkohshme. Papunësia është më e pranishme tek të rinjtë (15-24 vjeç), me 55.4% të papunë. Shkalla e papunësisë është edhe më e lartë tek komunitetet rom dhe ashkali. Pjesëtarët e këtyre komuniteteve zakonisht punojnë në sektorin joformal, duke mbajtur vende pune të pasigurta, pa kualifikime dhe status të ulët. Vetëm disa janë të regjistruar si të papunë</w:t>
      </w:r>
      <w:r w:rsidRPr="00A6284F">
        <w:rPr>
          <w:rFonts w:eastAsia="Times New Roman"/>
          <w:color w:val="000000"/>
          <w:spacing w:val="-1"/>
          <w:sz w:val="24"/>
          <w:lang w:val="sq-AL"/>
        </w:rPr>
        <w:t>.</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përgatitjeve për shfrytëzimin e </w:t>
      </w:r>
      <w:r w:rsidRPr="00A6284F">
        <w:rPr>
          <w:rFonts w:eastAsia="Times New Roman"/>
          <w:b/>
          <w:color w:val="000000"/>
          <w:sz w:val="24"/>
          <w:lang w:val="sq-AL"/>
        </w:rPr>
        <w:t>Fondit Social Evropian (ESF),</w:t>
      </w:r>
      <w:r w:rsidRPr="00A6284F">
        <w:rPr>
          <w:rFonts w:eastAsia="Times New Roman"/>
          <w:color w:val="000000"/>
          <w:sz w:val="24"/>
          <w:lang w:val="sq-AL"/>
        </w:rPr>
        <w:t xml:space="preserve"> nuk ka pasur zhvillime.</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përfshirja dhe mbrojtja sociale</w:t>
      </w:r>
      <w:r w:rsidRPr="00A6284F">
        <w:rPr>
          <w:rFonts w:eastAsia="Times New Roman"/>
          <w:color w:val="000000"/>
          <w:sz w:val="24"/>
          <w:lang w:val="sq-AL"/>
        </w:rPr>
        <w:t>, Kosova ka një kornizë ligjore dhe institucionale për ofrimin e shërbimeve sociale por burime</w:t>
      </w:r>
      <w:r w:rsidR="005A05FB" w:rsidRPr="00A6284F">
        <w:rPr>
          <w:rFonts w:eastAsia="Times New Roman"/>
          <w:color w:val="000000"/>
          <w:sz w:val="24"/>
          <w:lang w:val="sq-AL"/>
        </w:rPr>
        <w:t>t e kufizuara</w:t>
      </w:r>
      <w:r w:rsidRPr="00A6284F">
        <w:rPr>
          <w:rFonts w:eastAsia="Times New Roman"/>
          <w:color w:val="000000"/>
          <w:sz w:val="24"/>
          <w:lang w:val="sq-AL"/>
        </w:rPr>
        <w:t xml:space="preserve"> financiare </w:t>
      </w:r>
      <w:r w:rsidR="005A05FB" w:rsidRPr="00A6284F">
        <w:rPr>
          <w:rFonts w:eastAsia="Times New Roman"/>
          <w:color w:val="000000"/>
          <w:sz w:val="24"/>
          <w:lang w:val="sq-AL"/>
        </w:rPr>
        <w:t xml:space="preserve">dhe </w:t>
      </w:r>
      <w:r w:rsidRPr="00A6284F">
        <w:rPr>
          <w:rFonts w:eastAsia="Times New Roman"/>
          <w:color w:val="000000"/>
          <w:sz w:val="24"/>
          <w:lang w:val="sq-AL"/>
        </w:rPr>
        <w:t xml:space="preserve">njerëzore </w:t>
      </w:r>
      <w:r w:rsidR="005A05FB" w:rsidRPr="00A6284F">
        <w:rPr>
          <w:rFonts w:eastAsia="Times New Roman"/>
          <w:color w:val="000000"/>
          <w:sz w:val="24"/>
          <w:lang w:val="sq-AL"/>
        </w:rPr>
        <w:t xml:space="preserve">si </w:t>
      </w:r>
      <w:r w:rsidRPr="00A6284F">
        <w:rPr>
          <w:rFonts w:eastAsia="Times New Roman"/>
          <w:color w:val="000000"/>
          <w:sz w:val="24"/>
          <w:lang w:val="sq-AL"/>
        </w:rPr>
        <w:t>dhe munges</w:t>
      </w:r>
      <w:r w:rsidR="005A05FB" w:rsidRPr="00A6284F">
        <w:rPr>
          <w:rFonts w:eastAsia="Times New Roman"/>
          <w:color w:val="000000"/>
          <w:sz w:val="24"/>
          <w:lang w:val="sq-AL"/>
        </w:rPr>
        <w:t>a</w:t>
      </w:r>
      <w:r w:rsidRPr="00A6284F">
        <w:rPr>
          <w:rFonts w:eastAsia="Times New Roman"/>
          <w:color w:val="000000"/>
          <w:sz w:val="24"/>
          <w:lang w:val="sq-AL"/>
        </w:rPr>
        <w:t xml:space="preserve"> </w:t>
      </w:r>
      <w:r w:rsidR="005A05FB" w:rsidRPr="00A6284F">
        <w:rPr>
          <w:rFonts w:eastAsia="Times New Roman"/>
          <w:color w:val="000000"/>
          <w:sz w:val="24"/>
          <w:lang w:val="sq-AL"/>
        </w:rPr>
        <w:t>e</w:t>
      </w:r>
      <w:r w:rsidRPr="00A6284F">
        <w:rPr>
          <w:rFonts w:eastAsia="Times New Roman"/>
          <w:color w:val="000000"/>
          <w:sz w:val="24"/>
          <w:lang w:val="sq-AL"/>
        </w:rPr>
        <w:t xml:space="preserve"> planifikimit të duhur nga institucionet publike (në veçanti komunat) rezultojnë në ofrim joadekuat të shërbimeve sociale për popullsinë më të cenueshme. Kjo përkeqësohet nga mungesa e përgjithshme e mbledhjes së të dhënave për popullsinë të zbërthyera sipas gjinisë, moshës, grupeve, përkatësisë etnike, aftësive dhe </w:t>
      </w:r>
      <w:proofErr w:type="spellStart"/>
      <w:r w:rsidRPr="00A6284F">
        <w:rPr>
          <w:rFonts w:eastAsia="Times New Roman"/>
          <w:color w:val="000000"/>
          <w:sz w:val="24"/>
          <w:lang w:val="sq-AL"/>
        </w:rPr>
        <w:t>cenueshmërisë</w:t>
      </w:r>
      <w:proofErr w:type="spellEnd"/>
      <w:r w:rsidRPr="00A6284F">
        <w:rPr>
          <w:rFonts w:eastAsia="Times New Roman"/>
          <w:color w:val="000000"/>
          <w:sz w:val="24"/>
          <w:lang w:val="sq-AL"/>
        </w:rPr>
        <w:t>.</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Komunat nuk janë të gatshme të </w:t>
      </w:r>
      <w:r w:rsidR="005A05FB" w:rsidRPr="00A6284F">
        <w:rPr>
          <w:rFonts w:eastAsia="Times New Roman"/>
          <w:color w:val="000000"/>
          <w:sz w:val="24"/>
          <w:lang w:val="sq-AL"/>
        </w:rPr>
        <w:t>ndajnë</w:t>
      </w:r>
      <w:r w:rsidRPr="00A6284F">
        <w:rPr>
          <w:rFonts w:eastAsia="Times New Roman"/>
          <w:color w:val="000000"/>
          <w:sz w:val="24"/>
          <w:lang w:val="sq-AL"/>
        </w:rPr>
        <w:t xml:space="preserve"> financim të qëndrueshëm dhe afatgjatë për ofrimin e shërbimeve sociale. Një dispozitë që rezervon financim specifik nga </w:t>
      </w:r>
      <w:proofErr w:type="spellStart"/>
      <w:r w:rsidRPr="00A6284F">
        <w:rPr>
          <w:rFonts w:eastAsia="Times New Roman"/>
          <w:color w:val="000000"/>
          <w:sz w:val="24"/>
          <w:lang w:val="sq-AL"/>
        </w:rPr>
        <w:t>granti</w:t>
      </w:r>
      <w:proofErr w:type="spellEnd"/>
      <w:r w:rsidRPr="00A6284F">
        <w:rPr>
          <w:rFonts w:eastAsia="Times New Roman"/>
          <w:color w:val="000000"/>
          <w:sz w:val="24"/>
          <w:lang w:val="sq-AL"/>
        </w:rPr>
        <w:t xml:space="preserve"> i përgjithshëm për shërbime sociale duhet të përfshihet në projektligjin e ardhshëm për financat lokale. Ky </w:t>
      </w:r>
      <w:proofErr w:type="spellStart"/>
      <w:r w:rsidRPr="00A6284F">
        <w:rPr>
          <w:rFonts w:eastAsia="Times New Roman"/>
          <w:color w:val="000000"/>
          <w:sz w:val="24"/>
          <w:lang w:val="sq-AL"/>
        </w:rPr>
        <w:t>grant</w:t>
      </w:r>
      <w:proofErr w:type="spellEnd"/>
      <w:r w:rsidRPr="00A6284F">
        <w:rPr>
          <w:rFonts w:eastAsia="Times New Roman"/>
          <w:color w:val="000000"/>
          <w:sz w:val="24"/>
          <w:lang w:val="sq-AL"/>
        </w:rPr>
        <w:t xml:space="preserve">, që do të zbatohet përmes një formule të veçantë financiare, synon përmirësimin e financimit dhe qëndrueshmërisë afatgjate të ofrimit të shërbimeve sociale nga sektori publik dhe </w:t>
      </w:r>
      <w:r w:rsidRPr="00A6284F">
        <w:rPr>
          <w:rFonts w:eastAsia="Times New Roman"/>
          <w:color w:val="000000"/>
          <w:sz w:val="24"/>
          <w:lang w:val="sq-AL"/>
        </w:rPr>
        <w:lastRenderedPageBreak/>
        <w:t>joqeveritar. Autoritetet komunale kanë bërë një progres të kufizuar në miratimin e planeve trevjeçare të strehimit social dhe kjo ka parandaluar autoritetet qendrore nga lidhja e një strategjie për mbarë Kosovën për strehimin social.</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Shpenzimet e përgjithshme për </w:t>
      </w:r>
      <w:r w:rsidRPr="00A6284F">
        <w:rPr>
          <w:rFonts w:eastAsia="Times New Roman"/>
          <w:b/>
          <w:color w:val="000000"/>
          <w:sz w:val="24"/>
          <w:lang w:val="sq-AL"/>
        </w:rPr>
        <w:t>mbrojtjen sociale</w:t>
      </w:r>
      <w:r w:rsidRPr="00A6284F">
        <w:rPr>
          <w:rFonts w:eastAsia="Times New Roman"/>
          <w:color w:val="000000"/>
          <w:sz w:val="24"/>
          <w:lang w:val="sq-AL"/>
        </w:rPr>
        <w:t xml:space="preserve"> janë rritur ndjeshëm gjatë viteve të fundit, kryesisht për shkak të rritjeve në pensione dhe përfitimet e lidhura me luftën. Për më tepër, zgjerimi i programeve që synojnë grupe specifike të popullsisë kanë mbushur shpenzimet e asistencës sociale që synojnë të </w:t>
      </w:r>
      <w:r w:rsidR="00D07A16" w:rsidRPr="00A6284F">
        <w:rPr>
          <w:rFonts w:eastAsia="Times New Roman"/>
          <w:color w:val="000000"/>
          <w:sz w:val="24"/>
          <w:lang w:val="sq-AL"/>
        </w:rPr>
        <w:t>varfëritë</w:t>
      </w:r>
      <w:r w:rsidRPr="00A6284F">
        <w:rPr>
          <w:rFonts w:eastAsia="Times New Roman"/>
          <w:color w:val="000000"/>
          <w:sz w:val="24"/>
          <w:lang w:val="sq-AL"/>
        </w:rPr>
        <w:t xml:space="preserve"> që është e ulët dhe në rënie. Në nëntor të vitit 2018, Kuvendi miratoi Ligjin për Ndërmarrjet Shoqërore, i cili synon promovimin e punësimit në mesin e kategorive të rrezikuara sociale.</w:t>
      </w:r>
    </w:p>
    <w:p w:rsidR="00135165" w:rsidRPr="00A6284F" w:rsidRDefault="00135165" w:rsidP="00135165">
      <w:pPr>
        <w:spacing w:before="118"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përfshirja sociale</w:t>
      </w:r>
      <w:r w:rsidRPr="00A6284F">
        <w:rPr>
          <w:rFonts w:eastAsia="Times New Roman"/>
          <w:color w:val="000000"/>
          <w:spacing w:val="1"/>
          <w:sz w:val="24"/>
          <w:lang w:val="sq-AL"/>
        </w:rPr>
        <w:t>, komunat nuk kanë një qasje të integruar ndër-</w:t>
      </w:r>
      <w:proofErr w:type="spellStart"/>
      <w:r w:rsidRPr="00A6284F">
        <w:rPr>
          <w:rFonts w:eastAsia="Times New Roman"/>
          <w:color w:val="000000"/>
          <w:spacing w:val="1"/>
          <w:sz w:val="24"/>
          <w:lang w:val="sq-AL"/>
        </w:rPr>
        <w:t>departamentale</w:t>
      </w:r>
      <w:proofErr w:type="spellEnd"/>
      <w:r w:rsidRPr="00A6284F">
        <w:rPr>
          <w:rFonts w:eastAsia="Times New Roman"/>
          <w:color w:val="000000"/>
          <w:spacing w:val="1"/>
          <w:sz w:val="24"/>
          <w:lang w:val="sq-AL"/>
        </w:rPr>
        <w:t xml:space="preserve"> për mbulimin e shërbimeve, në mënyrë që të marrin parasysh siç duhet nevojat e grupeve më të cenuara, në veçanti fëmijëve. Kosova duhet të sigurojë që fëmijët me aftësi të kufizuara janë në gjendje të ndjekin shkollat publike së bashku me bashkëmoshatarët e tyre. Përkundër rezultateve të dobëta të tregut të punës në mesin e komuniteteve të </w:t>
      </w:r>
      <w:proofErr w:type="spellStart"/>
      <w:r w:rsidRPr="00A6284F">
        <w:rPr>
          <w:rFonts w:eastAsia="Times New Roman"/>
          <w:color w:val="000000"/>
          <w:spacing w:val="1"/>
          <w:sz w:val="24"/>
          <w:lang w:val="sq-AL"/>
        </w:rPr>
        <w:t>margjinalizuara</w:t>
      </w:r>
      <w:proofErr w:type="spellEnd"/>
      <w:r w:rsidRPr="00A6284F">
        <w:rPr>
          <w:rFonts w:eastAsia="Times New Roman"/>
          <w:color w:val="000000"/>
          <w:spacing w:val="1"/>
          <w:sz w:val="24"/>
          <w:lang w:val="sq-AL"/>
        </w:rPr>
        <w:t xml:space="preserve"> të romëve dhe </w:t>
      </w:r>
      <w:proofErr w:type="spellStart"/>
      <w:r w:rsidRPr="00A6284F">
        <w:rPr>
          <w:rFonts w:eastAsia="Times New Roman"/>
          <w:color w:val="000000"/>
          <w:spacing w:val="1"/>
          <w:sz w:val="24"/>
          <w:lang w:val="sq-AL"/>
        </w:rPr>
        <w:t>ashkalive</w:t>
      </w:r>
      <w:proofErr w:type="spellEnd"/>
      <w:r w:rsidRPr="00A6284F">
        <w:rPr>
          <w:rFonts w:eastAsia="Times New Roman"/>
          <w:color w:val="000000"/>
          <w:spacing w:val="1"/>
          <w:sz w:val="24"/>
          <w:lang w:val="sq-AL"/>
        </w:rPr>
        <w:t xml:space="preserve">, plani më i fundit i veprimit i rishikuar i Kosovës për integrimin e këtyre komuniteteve nuk përfshin masa që synojnë në mënyrë specifike këto komunitete në politikat aktive të tregut të punës, siç është e zakonshme në rajon. Pjesa e buxhetit të </w:t>
      </w:r>
      <w:proofErr w:type="spellStart"/>
      <w:r w:rsidRPr="00A6284F">
        <w:rPr>
          <w:rFonts w:eastAsia="Times New Roman"/>
          <w:color w:val="000000"/>
          <w:spacing w:val="1"/>
          <w:sz w:val="24"/>
          <w:lang w:val="sq-AL"/>
        </w:rPr>
        <w:t>alokuar</w:t>
      </w:r>
      <w:proofErr w:type="spellEnd"/>
      <w:r w:rsidRPr="00A6284F">
        <w:rPr>
          <w:rFonts w:eastAsia="Times New Roman"/>
          <w:color w:val="000000"/>
          <w:spacing w:val="1"/>
          <w:sz w:val="24"/>
          <w:lang w:val="sq-AL"/>
        </w:rPr>
        <w:t xml:space="preserve"> për promovimin e përfshirjes së tyre në punësim është po ashtu e ulët. Rritja e pjesëmarrjes së femrave në tregun e punës, duke përfshirë në mesin e grave nga komunitetet e </w:t>
      </w:r>
      <w:proofErr w:type="spellStart"/>
      <w:r w:rsidRPr="00A6284F">
        <w:rPr>
          <w:rFonts w:eastAsia="Times New Roman"/>
          <w:color w:val="000000"/>
          <w:spacing w:val="1"/>
          <w:sz w:val="24"/>
          <w:lang w:val="sq-AL"/>
        </w:rPr>
        <w:t>margjinalizuara</w:t>
      </w:r>
      <w:proofErr w:type="spellEnd"/>
      <w:r w:rsidRPr="00A6284F">
        <w:rPr>
          <w:rFonts w:eastAsia="Times New Roman"/>
          <w:color w:val="000000"/>
          <w:spacing w:val="1"/>
          <w:sz w:val="24"/>
          <w:lang w:val="sq-AL"/>
        </w:rPr>
        <w:t>, duhet të jetë një prioritet. Pjesa e popullsisë së Kosovës që jeton nën vijën e varfërisë ka qenë në rënie, por është ende e lartë</w:t>
      </w:r>
      <w:r w:rsidR="00D07A16" w:rsidRPr="00A6284F">
        <w:rPr>
          <w:rFonts w:eastAsia="Times New Roman"/>
          <w:color w:val="000000"/>
          <w:spacing w:val="1"/>
          <w:sz w:val="24"/>
          <w:lang w:val="sq-AL"/>
        </w:rPr>
        <w:t xml:space="preserve"> me</w:t>
      </w:r>
      <w:r w:rsidRPr="00A6284F">
        <w:rPr>
          <w:rFonts w:eastAsia="Times New Roman"/>
          <w:color w:val="000000"/>
          <w:spacing w:val="1"/>
          <w:sz w:val="24"/>
          <w:lang w:val="sq-AL"/>
        </w:rPr>
        <w:t xml:space="preserve"> 17.6%. Këshilli i Përgjithshëm për Politika Sociale dhe Familjare, përgjegjës për licencimin e ofruesve të shërbimeve sociale, duke përfshirë përkujdes</w:t>
      </w:r>
      <w:r w:rsidR="00D07A16" w:rsidRPr="00A6284F">
        <w:rPr>
          <w:rFonts w:eastAsia="Times New Roman"/>
          <w:color w:val="000000"/>
          <w:spacing w:val="1"/>
          <w:sz w:val="24"/>
          <w:lang w:val="sq-AL"/>
        </w:rPr>
        <w:t>jen</w:t>
      </w:r>
      <w:r w:rsidRPr="00A6284F">
        <w:rPr>
          <w:rFonts w:eastAsia="Times New Roman"/>
          <w:color w:val="000000"/>
          <w:spacing w:val="1"/>
          <w:sz w:val="24"/>
          <w:lang w:val="sq-AL"/>
        </w:rPr>
        <w:t xml:space="preserve"> familjar</w:t>
      </w:r>
      <w:r w:rsidR="00D07A16" w:rsidRPr="00A6284F">
        <w:rPr>
          <w:rFonts w:eastAsia="Times New Roman"/>
          <w:color w:val="000000"/>
          <w:spacing w:val="1"/>
          <w:sz w:val="24"/>
          <w:lang w:val="sq-AL"/>
        </w:rPr>
        <w:t>e</w:t>
      </w:r>
      <w:r w:rsidRPr="00A6284F">
        <w:rPr>
          <w:rFonts w:eastAsia="Times New Roman"/>
          <w:color w:val="000000"/>
          <w:spacing w:val="1"/>
          <w:sz w:val="24"/>
          <w:lang w:val="sq-AL"/>
        </w:rPr>
        <w:t>, nuk ka qenë funksional</w:t>
      </w:r>
      <w:r w:rsidR="00D07A16" w:rsidRPr="00A6284F">
        <w:rPr>
          <w:rFonts w:eastAsia="Times New Roman"/>
          <w:color w:val="000000"/>
          <w:spacing w:val="1"/>
          <w:sz w:val="24"/>
          <w:lang w:val="sq-AL"/>
        </w:rPr>
        <w:t>e</w:t>
      </w:r>
      <w:r w:rsidRPr="00A6284F">
        <w:rPr>
          <w:rFonts w:eastAsia="Times New Roman"/>
          <w:color w:val="000000"/>
          <w:spacing w:val="1"/>
          <w:sz w:val="24"/>
          <w:lang w:val="sq-AL"/>
        </w:rPr>
        <w:t>. Nuk ka pasur përparim në licencimin e ofruesve të rinj të kujdesit familjar për fëmijë në nevojë.</w:t>
      </w:r>
    </w:p>
    <w:p w:rsidR="00135165" w:rsidRPr="00A6284F" w:rsidRDefault="00135165" w:rsidP="00135165">
      <w:pPr>
        <w:spacing w:before="118"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mos</w:t>
      </w:r>
      <w:r w:rsidR="001D57ED" w:rsidRPr="00A6284F">
        <w:rPr>
          <w:rFonts w:eastAsia="Times New Roman"/>
          <w:b/>
          <w:color w:val="000000"/>
          <w:spacing w:val="1"/>
          <w:sz w:val="24"/>
          <w:lang w:val="sq-AL"/>
        </w:rPr>
        <w:t>-</w:t>
      </w:r>
      <w:r w:rsidRPr="00A6284F">
        <w:rPr>
          <w:rFonts w:eastAsia="Times New Roman"/>
          <w:b/>
          <w:color w:val="000000"/>
          <w:spacing w:val="1"/>
          <w:sz w:val="24"/>
          <w:lang w:val="sq-AL"/>
        </w:rPr>
        <w:t>diskriminimi në punësim dhe politika sociale</w:t>
      </w:r>
      <w:r w:rsidRPr="00A6284F">
        <w:rPr>
          <w:rFonts w:eastAsia="Times New Roman"/>
          <w:color w:val="000000"/>
          <w:spacing w:val="1"/>
          <w:sz w:val="24"/>
          <w:lang w:val="sq-AL"/>
        </w:rPr>
        <w:t xml:space="preserve">, legjislacioni </w:t>
      </w:r>
      <w:proofErr w:type="spellStart"/>
      <w:r w:rsidRPr="00A6284F">
        <w:rPr>
          <w:rFonts w:eastAsia="Times New Roman"/>
          <w:color w:val="000000"/>
          <w:spacing w:val="1"/>
          <w:sz w:val="24"/>
          <w:lang w:val="sq-AL"/>
        </w:rPr>
        <w:t>sekdondar</w:t>
      </w:r>
      <w:proofErr w:type="spellEnd"/>
      <w:r w:rsidRPr="00A6284F">
        <w:rPr>
          <w:rFonts w:eastAsia="Times New Roman"/>
          <w:color w:val="000000"/>
          <w:spacing w:val="1"/>
          <w:sz w:val="24"/>
          <w:lang w:val="sq-AL"/>
        </w:rPr>
        <w:t xml:space="preserve"> për implementimin e Ligjit për Mbrojtje nga Diskriminimi nuk është miratuar. Autoritetet duhet të adresojnë diskriminimin ndaj grave, sidomos në lidhje me procedurat e rekrutimit në sektorin privat. Gjatë periudhës së raportimit, Avokati i Popullit ka pranuar një numër të ngjashëm të rasteve si në vitet e kaluara, por numri i hetimeve </w:t>
      </w:r>
      <w:proofErr w:type="spellStart"/>
      <w:r w:rsidRPr="00A6284F">
        <w:rPr>
          <w:rFonts w:eastAsia="Times New Roman"/>
          <w:color w:val="000000"/>
          <w:spacing w:val="1"/>
          <w:sz w:val="24"/>
          <w:lang w:val="sq-AL"/>
        </w:rPr>
        <w:t>ex</w:t>
      </w:r>
      <w:proofErr w:type="spellEnd"/>
      <w:r w:rsidRPr="00A6284F">
        <w:rPr>
          <w:rFonts w:eastAsia="Times New Roman"/>
          <w:color w:val="000000"/>
          <w:spacing w:val="1"/>
          <w:sz w:val="24"/>
          <w:lang w:val="sq-AL"/>
        </w:rPr>
        <w:t xml:space="preserve"> </w:t>
      </w:r>
      <w:proofErr w:type="spellStart"/>
      <w:r w:rsidRPr="00A6284F">
        <w:rPr>
          <w:rFonts w:eastAsia="Times New Roman"/>
          <w:color w:val="000000"/>
          <w:spacing w:val="1"/>
          <w:sz w:val="24"/>
          <w:lang w:val="sq-AL"/>
        </w:rPr>
        <w:t>officio</w:t>
      </w:r>
      <w:proofErr w:type="spellEnd"/>
      <w:r w:rsidRPr="00A6284F">
        <w:rPr>
          <w:rFonts w:eastAsia="Times New Roman"/>
          <w:color w:val="000000"/>
          <w:spacing w:val="1"/>
          <w:sz w:val="24"/>
          <w:lang w:val="sq-AL"/>
        </w:rPr>
        <w:t xml:space="preserve"> në baza diskriminimi është dyfishuar. Institucionet vazhdojnë të jenë dobëta në procedimin dhe hetimin e rasteve të diskriminimit.</w:t>
      </w:r>
    </w:p>
    <w:p w:rsidR="00135165" w:rsidRPr="00A6284F" w:rsidRDefault="00135165" w:rsidP="00135165">
      <w:pPr>
        <w:spacing w:before="118" w:after="365" w:line="276" w:lineRule="exact"/>
        <w:ind w:left="72"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barazia mes grave dhe burrave</w:t>
      </w:r>
      <w:r w:rsidRPr="00A6284F">
        <w:rPr>
          <w:rFonts w:eastAsia="Times New Roman"/>
          <w:color w:val="000000"/>
          <w:spacing w:val="1"/>
          <w:sz w:val="24"/>
          <w:lang w:val="sq-AL"/>
        </w:rPr>
        <w:t xml:space="preserve">, gratë vazhdojnë të përjetojnë forma të ndryshme të diskriminimit gjinor. Kosova duhet të reformojë sistemin e pushimit të lindjes dhe atij </w:t>
      </w:r>
      <w:proofErr w:type="spellStart"/>
      <w:r w:rsidRPr="00A6284F">
        <w:rPr>
          <w:rFonts w:eastAsia="Times New Roman"/>
          <w:color w:val="000000"/>
          <w:spacing w:val="1"/>
          <w:sz w:val="24"/>
          <w:lang w:val="sq-AL"/>
        </w:rPr>
        <w:t>prindor</w:t>
      </w:r>
      <w:proofErr w:type="spellEnd"/>
      <w:r w:rsidRPr="00A6284F">
        <w:rPr>
          <w:rFonts w:eastAsia="Times New Roman"/>
          <w:color w:val="000000"/>
          <w:spacing w:val="1"/>
          <w:sz w:val="24"/>
          <w:lang w:val="sq-AL"/>
        </w:rPr>
        <w:t xml:space="preserve">, që paraqet pengesë për rekrutimin e grave, sidomos në sektorin privat. Qasja e kufizuar në kujdes për fëmijë dhe në rregullime </w:t>
      </w:r>
      <w:proofErr w:type="spellStart"/>
      <w:r w:rsidRPr="00A6284F">
        <w:rPr>
          <w:rFonts w:eastAsia="Times New Roman"/>
          <w:color w:val="000000"/>
          <w:spacing w:val="1"/>
          <w:sz w:val="24"/>
          <w:lang w:val="sq-AL"/>
        </w:rPr>
        <w:t>fleksibile</w:t>
      </w:r>
      <w:proofErr w:type="spellEnd"/>
      <w:r w:rsidRPr="00A6284F">
        <w:rPr>
          <w:rFonts w:eastAsia="Times New Roman"/>
          <w:color w:val="000000"/>
          <w:spacing w:val="1"/>
          <w:sz w:val="24"/>
          <w:lang w:val="sq-AL"/>
        </w:rPr>
        <w:t xml:space="preserve"> të punës janë gjetur të jenë gjithashtu barriera ndaj punësimit të grave, pasi që opsionet formale të kujdesit përtej pushimit të lindjes janë të kufizuara, ndërsa oraret miqësore për familje shpesh nuk janë të </w:t>
      </w:r>
      <w:proofErr w:type="spellStart"/>
      <w:r w:rsidRPr="00A6284F">
        <w:rPr>
          <w:rFonts w:eastAsia="Times New Roman"/>
          <w:color w:val="000000"/>
          <w:spacing w:val="1"/>
          <w:sz w:val="24"/>
          <w:lang w:val="sq-AL"/>
        </w:rPr>
        <w:t>disponueshme</w:t>
      </w:r>
      <w:proofErr w:type="spellEnd"/>
      <w:r w:rsidRPr="00A6284F">
        <w:rPr>
          <w:rFonts w:eastAsia="Times New Roman"/>
          <w:color w:val="000000"/>
          <w:sz w:val="24"/>
          <w:lang w:val="sq-AL"/>
        </w:rPr>
        <w:t>.</w:t>
      </w:r>
    </w:p>
    <w:p w:rsidR="00135165" w:rsidRPr="00A6284F" w:rsidRDefault="00135165" w:rsidP="00135165">
      <w:pPr>
        <w:spacing w:before="130" w:after="101" w:line="273" w:lineRule="exact"/>
        <w:ind w:left="144"/>
        <w:textAlignment w:val="baseline"/>
        <w:rPr>
          <w:rFonts w:eastAsia="Times New Roman"/>
          <w:b/>
          <w:color w:val="000000"/>
          <w:spacing w:val="6"/>
          <w:sz w:val="24"/>
          <w:lang w:val="sq-AL"/>
        </w:rPr>
      </w:pPr>
      <w:r w:rsidRPr="00A6284F">
        <w:rPr>
          <w:rFonts w:eastAsia="Times New Roman"/>
          <w:b/>
          <w:color w:val="000000"/>
          <w:spacing w:val="6"/>
          <w:sz w:val="24"/>
          <w:lang w:val="sq-AL"/>
        </w:rPr>
        <w:t>6.12 Mbrojtja e konsumatorit dhe shëndetit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135165" w:rsidRPr="00A6284F" w:rsidTr="007E58F5">
        <w:trPr>
          <w:trHeight w:hRule="exact" w:val="325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B531EE">
            <w:pPr>
              <w:spacing w:before="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në një </w:t>
            </w:r>
            <w:r w:rsidRPr="00A6284F">
              <w:rPr>
                <w:rFonts w:eastAsia="Times New Roman"/>
                <w:b/>
                <w:color w:val="000000"/>
                <w:sz w:val="24"/>
                <w:lang w:val="sq-AL"/>
              </w:rPr>
              <w:t>fazë të hershme të përgatitjes</w:t>
            </w:r>
            <w:r w:rsidRPr="00A6284F">
              <w:rPr>
                <w:rFonts w:eastAsia="Times New Roman"/>
                <w:color w:val="000000"/>
                <w:sz w:val="24"/>
                <w:lang w:val="sq-AL"/>
              </w:rPr>
              <w:t xml:space="preserve"> në këtë fushë. Ka pasur </w:t>
            </w:r>
            <w:r w:rsidRPr="00A6284F">
              <w:rPr>
                <w:rFonts w:eastAsia="Times New Roman"/>
                <w:b/>
                <w:color w:val="000000"/>
                <w:sz w:val="24"/>
                <w:lang w:val="sq-AL"/>
              </w:rPr>
              <w:t>progres të kufizuar</w:t>
            </w:r>
            <w:r w:rsidRPr="00A6284F">
              <w:rPr>
                <w:rFonts w:eastAsia="Times New Roman"/>
                <w:color w:val="000000"/>
                <w:sz w:val="24"/>
                <w:lang w:val="sq-AL"/>
              </w:rPr>
              <w:t xml:space="preserve"> në mbrojtjen e konsumatorit dhe shëndetit, sidomos me miratimin e Ligjit për mbrojtjen e konsumatorit.</w:t>
            </w:r>
          </w:p>
          <w:p w:rsidR="00135165" w:rsidRPr="00A6284F" w:rsidRDefault="00135165" w:rsidP="007E58F5">
            <w:pPr>
              <w:spacing w:before="19" w:line="276" w:lineRule="exact"/>
              <w:ind w:left="144" w:right="144"/>
              <w:textAlignment w:val="baseline"/>
              <w:rPr>
                <w:rFonts w:eastAsia="Times New Roman"/>
                <w:color w:val="000000"/>
                <w:sz w:val="24"/>
                <w:lang w:val="sq-AL"/>
              </w:rPr>
            </w:pPr>
            <w:r w:rsidRPr="00A6284F">
              <w:rPr>
                <w:rFonts w:eastAsia="Times New Roman"/>
                <w:color w:val="000000"/>
                <w:sz w:val="24"/>
                <w:lang w:val="sq-AL"/>
              </w:rPr>
              <w:t>Në vitin e ardhshëm, Kosova duhet:</w:t>
            </w:r>
          </w:p>
          <w:p w:rsidR="00135165" w:rsidRPr="00A6284F" w:rsidRDefault="00135165" w:rsidP="00B531EE">
            <w:pPr>
              <w:spacing w:before="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të rrisë përfshirjen e shoqërisë civile në mbrojtjen e konsumatorit dhe të drejtat e konsumatorit dhe të miratojë legjislacionin sekondar të nevojshëm për zbatimin e Ligjit për mbrojtjen e konsumatorit dhe mbikëqyrjen e koordinuar të tregut;</w:t>
            </w:r>
          </w:p>
          <w:p w:rsidR="00135165" w:rsidRPr="00A6284F" w:rsidRDefault="00135165" w:rsidP="00B531EE">
            <w:pPr>
              <w:spacing w:before="137" w:after="15" w:line="276" w:lineRule="exact"/>
              <w:ind w:left="504" w:right="144" w:hanging="360"/>
              <w:jc w:val="both"/>
              <w:textAlignment w:val="baseline"/>
              <w:rPr>
                <w:rFonts w:ascii="Arial Narrow" w:eastAsia="Arial Narrow" w:hAnsi="Arial Narrow"/>
                <w:color w:val="000000"/>
                <w:lang w:val="sq-AL"/>
              </w:rPr>
            </w:pPr>
            <w:r w:rsidRPr="00A6284F">
              <w:rPr>
                <w:rFonts w:eastAsia="Times New Roman"/>
                <w:color w:val="000000"/>
                <w:sz w:val="24"/>
                <w:lang w:val="sq-AL"/>
              </w:rPr>
              <w:t xml:space="preserve">-* të </w:t>
            </w:r>
            <w:proofErr w:type="spellStart"/>
            <w:r w:rsidRPr="00A6284F">
              <w:rPr>
                <w:rFonts w:eastAsia="Times New Roman"/>
                <w:color w:val="000000"/>
                <w:sz w:val="24"/>
                <w:lang w:val="sq-AL"/>
              </w:rPr>
              <w:t>alokojë</w:t>
            </w:r>
            <w:proofErr w:type="spellEnd"/>
            <w:r w:rsidRPr="00A6284F">
              <w:rPr>
                <w:rFonts w:eastAsia="Times New Roman"/>
                <w:color w:val="000000"/>
                <w:sz w:val="24"/>
                <w:lang w:val="sq-AL"/>
              </w:rPr>
              <w:t xml:space="preserve"> më shumë burime financiare për shëndetësi, për të lejuar zbatimin e reformave të sektorit të shëndetësisë, duke përfshirë vazhdimin e mëtejshëm të sistemit elektronik të informacionit për shëndetin publik dhe përmbushur rekomandimet e përgjithshme për financimin e sistemeve shëndetësore.</w:t>
            </w:r>
          </w:p>
        </w:tc>
      </w:tr>
    </w:tbl>
    <w:p w:rsidR="00135165" w:rsidRPr="00A6284F" w:rsidRDefault="00135165" w:rsidP="00135165">
      <w:pPr>
        <w:spacing w:after="102" w:line="20" w:lineRule="exact"/>
        <w:rPr>
          <w:lang w:val="sq-AL"/>
        </w:rPr>
      </w:pPr>
    </w:p>
    <w:p w:rsidR="00135165" w:rsidRPr="00A6284F" w:rsidRDefault="00135165" w:rsidP="00135165">
      <w:pPr>
        <w:spacing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Ligji për mbrojtjen e konsumatorit (</w:t>
      </w:r>
      <w:r w:rsidR="00B531EE" w:rsidRPr="00A6284F">
        <w:rPr>
          <w:rFonts w:eastAsia="Times New Roman"/>
          <w:color w:val="000000"/>
          <w:sz w:val="24"/>
          <w:lang w:val="sq-AL"/>
        </w:rPr>
        <w:t xml:space="preserve">i </w:t>
      </w:r>
      <w:r w:rsidRPr="00A6284F">
        <w:rPr>
          <w:rFonts w:eastAsia="Times New Roman"/>
          <w:color w:val="000000"/>
          <w:sz w:val="24"/>
          <w:lang w:val="sq-AL"/>
        </w:rPr>
        <w:t xml:space="preserve">miratuar në qershor </w:t>
      </w:r>
      <w:r w:rsidR="00B531EE" w:rsidRPr="00A6284F">
        <w:rPr>
          <w:rFonts w:eastAsia="Times New Roman"/>
          <w:color w:val="000000"/>
          <w:sz w:val="24"/>
          <w:lang w:val="sq-AL"/>
        </w:rPr>
        <w:t xml:space="preserve">të vitit </w:t>
      </w:r>
      <w:r w:rsidRPr="00A6284F">
        <w:rPr>
          <w:rFonts w:eastAsia="Times New Roman"/>
          <w:color w:val="000000"/>
          <w:sz w:val="24"/>
          <w:lang w:val="sq-AL"/>
        </w:rPr>
        <w:t xml:space="preserve">2018) synon që të rregullojë kushtet e tregut në marrëdhëniet konsumator-biznes, etiketimin e produkteve, treguesit e çmimeve, mbrojtjen e konsumatorit në lidhje me kontratat dhe mbrojtjen administrative dhe gjyqësore të konsumatorëve. Është i dizajnuar që </w:t>
      </w:r>
      <w:r w:rsidR="00B531EE" w:rsidRPr="00A6284F">
        <w:rPr>
          <w:rFonts w:eastAsia="Times New Roman"/>
          <w:color w:val="000000"/>
          <w:sz w:val="24"/>
          <w:lang w:val="sq-AL"/>
        </w:rPr>
        <w:t xml:space="preserve">pjesërisht </w:t>
      </w:r>
      <w:r w:rsidRPr="00A6284F">
        <w:rPr>
          <w:rFonts w:eastAsia="Times New Roman"/>
          <w:color w:val="000000"/>
          <w:sz w:val="24"/>
          <w:lang w:val="sq-AL"/>
        </w:rPr>
        <w:t xml:space="preserve">të përafrojë legjislacionin e Kosovës me </w:t>
      </w:r>
      <w:r w:rsidRPr="00A6284F">
        <w:rPr>
          <w:rFonts w:eastAsia="Times New Roman"/>
          <w:i/>
          <w:color w:val="000000"/>
          <w:sz w:val="24"/>
          <w:lang w:val="sq-AL"/>
        </w:rPr>
        <w:t>acquis</w:t>
      </w:r>
      <w:r w:rsidRPr="00A6284F">
        <w:rPr>
          <w:rFonts w:eastAsia="Times New Roman"/>
          <w:color w:val="000000"/>
          <w:sz w:val="24"/>
          <w:lang w:val="sq-AL"/>
        </w:rPr>
        <w:t xml:space="preserve">, me përjashtim të Direktivës së kredisë hipotekare. Sidoqoftë, ligji ndryshon nga </w:t>
      </w:r>
      <w:r w:rsidRPr="00A6284F">
        <w:rPr>
          <w:rFonts w:eastAsia="Times New Roman"/>
          <w:i/>
          <w:color w:val="000000"/>
          <w:sz w:val="24"/>
          <w:lang w:val="sq-AL"/>
        </w:rPr>
        <w:t>acquis</w:t>
      </w:r>
      <w:r w:rsidRPr="00A6284F">
        <w:rPr>
          <w:rFonts w:eastAsia="Times New Roman"/>
          <w:color w:val="000000"/>
          <w:sz w:val="24"/>
          <w:lang w:val="sq-AL"/>
        </w:rPr>
        <w:t xml:space="preserve">, kryesisht lidhur me etiketimin, paketimin dhe kërkesën për deklarim të produktit e cila obligon shitësin të tregojë origjinën e produktit </w:t>
      </w:r>
      <w:r w:rsidR="00B531EE" w:rsidRPr="00A6284F">
        <w:rPr>
          <w:rFonts w:eastAsia="Times New Roman"/>
          <w:color w:val="000000"/>
          <w:sz w:val="24"/>
          <w:lang w:val="sq-AL"/>
        </w:rPr>
        <w:t xml:space="preserve">përmes </w:t>
      </w:r>
      <w:r w:rsidRPr="00A6284F">
        <w:rPr>
          <w:rFonts w:eastAsia="Times New Roman"/>
          <w:color w:val="000000"/>
          <w:sz w:val="24"/>
          <w:lang w:val="sq-AL"/>
        </w:rPr>
        <w:t>flamuri</w:t>
      </w:r>
      <w:r w:rsidR="00B531EE" w:rsidRPr="00A6284F">
        <w:rPr>
          <w:rFonts w:eastAsia="Times New Roman"/>
          <w:color w:val="000000"/>
          <w:sz w:val="24"/>
          <w:lang w:val="sq-AL"/>
        </w:rPr>
        <w:t>t</w:t>
      </w:r>
      <w:r w:rsidRPr="00A6284F">
        <w:rPr>
          <w:rFonts w:eastAsia="Times New Roman"/>
          <w:color w:val="000000"/>
          <w:sz w:val="24"/>
          <w:lang w:val="sq-AL"/>
        </w:rPr>
        <w:t xml:space="preserve"> </w:t>
      </w:r>
      <w:r w:rsidR="00B531EE" w:rsidRPr="00A6284F">
        <w:rPr>
          <w:rFonts w:eastAsia="Times New Roman"/>
          <w:color w:val="000000"/>
          <w:sz w:val="24"/>
          <w:lang w:val="sq-AL"/>
        </w:rPr>
        <w:t xml:space="preserve">të </w:t>
      </w:r>
      <w:r w:rsidRPr="00A6284F">
        <w:rPr>
          <w:rFonts w:eastAsia="Times New Roman"/>
          <w:color w:val="000000"/>
          <w:sz w:val="24"/>
          <w:lang w:val="sq-AL"/>
        </w:rPr>
        <w:t xml:space="preserve">vendit të origjinës. Gjithsej 11 pjesë të legjislacionit sekondar duhet të miratohen brenda një viti </w:t>
      </w:r>
      <w:r w:rsidR="00B531EE" w:rsidRPr="00A6284F">
        <w:rPr>
          <w:rFonts w:eastAsia="Times New Roman"/>
          <w:color w:val="000000"/>
          <w:sz w:val="24"/>
          <w:lang w:val="sq-AL"/>
        </w:rPr>
        <w:t>pas</w:t>
      </w:r>
      <w:r w:rsidRPr="00A6284F">
        <w:rPr>
          <w:rFonts w:eastAsia="Times New Roman"/>
          <w:color w:val="000000"/>
          <w:sz w:val="24"/>
          <w:lang w:val="sq-AL"/>
        </w:rPr>
        <w:t xml:space="preserve"> miratimi</w:t>
      </w:r>
      <w:r w:rsidR="00B531EE" w:rsidRPr="00A6284F">
        <w:rPr>
          <w:rFonts w:eastAsia="Times New Roman"/>
          <w:color w:val="000000"/>
          <w:sz w:val="24"/>
          <w:lang w:val="sq-AL"/>
        </w:rPr>
        <w:t>t</w:t>
      </w:r>
      <w:r w:rsidRPr="00A6284F">
        <w:rPr>
          <w:rFonts w:eastAsia="Times New Roman"/>
          <w:color w:val="000000"/>
          <w:sz w:val="24"/>
          <w:lang w:val="sq-AL"/>
        </w:rPr>
        <w:t xml:space="preserve"> </w:t>
      </w:r>
      <w:r w:rsidR="00B531EE" w:rsidRPr="00A6284F">
        <w:rPr>
          <w:rFonts w:eastAsia="Times New Roman"/>
          <w:color w:val="000000"/>
          <w:sz w:val="24"/>
          <w:lang w:val="sq-AL"/>
        </w:rPr>
        <w:t xml:space="preserve">të </w:t>
      </w:r>
      <w:r w:rsidRPr="00A6284F">
        <w:rPr>
          <w:rFonts w:eastAsia="Times New Roman"/>
          <w:color w:val="000000"/>
          <w:sz w:val="24"/>
          <w:lang w:val="sq-AL"/>
        </w:rPr>
        <w:t xml:space="preserve">ligjit në mënyrë që </w:t>
      </w:r>
      <w:r w:rsidR="00B531EE" w:rsidRPr="00A6284F">
        <w:rPr>
          <w:rFonts w:eastAsia="Times New Roman"/>
          <w:color w:val="000000"/>
          <w:sz w:val="24"/>
          <w:lang w:val="sq-AL"/>
        </w:rPr>
        <w:t xml:space="preserve">i njëjti </w:t>
      </w:r>
      <w:r w:rsidRPr="00A6284F">
        <w:rPr>
          <w:rFonts w:eastAsia="Times New Roman"/>
          <w:color w:val="000000"/>
          <w:sz w:val="24"/>
          <w:lang w:val="sq-AL"/>
        </w:rPr>
        <w:t>të je</w:t>
      </w:r>
      <w:r w:rsidR="00B531EE" w:rsidRPr="00A6284F">
        <w:rPr>
          <w:rFonts w:eastAsia="Times New Roman"/>
          <w:color w:val="000000"/>
          <w:sz w:val="24"/>
          <w:lang w:val="sq-AL"/>
        </w:rPr>
        <w:t>të i</w:t>
      </w:r>
      <w:r w:rsidRPr="00A6284F">
        <w:rPr>
          <w:rFonts w:eastAsia="Times New Roman"/>
          <w:color w:val="000000"/>
          <w:sz w:val="24"/>
          <w:lang w:val="sq-AL"/>
        </w:rPr>
        <w:t xml:space="preserve"> zbatuesh</w:t>
      </w:r>
      <w:r w:rsidR="00B531EE" w:rsidRPr="00A6284F">
        <w:rPr>
          <w:rFonts w:eastAsia="Times New Roman"/>
          <w:color w:val="000000"/>
          <w:sz w:val="24"/>
          <w:lang w:val="sq-AL"/>
        </w:rPr>
        <w:t>ë</w:t>
      </w:r>
      <w:r w:rsidRPr="00A6284F">
        <w:rPr>
          <w:rFonts w:eastAsia="Times New Roman"/>
          <w:color w:val="000000"/>
          <w:sz w:val="24"/>
          <w:lang w:val="sq-AL"/>
        </w:rPr>
        <w:t xml:space="preserve">m. Praktikat e zbatimit nuk janë specifikuar ende. Banka Qendrore duhet të zhvillojë një kornizë të plotë për kreditë </w:t>
      </w:r>
      <w:proofErr w:type="spellStart"/>
      <w:r w:rsidRPr="00A6284F">
        <w:rPr>
          <w:rFonts w:eastAsia="Times New Roman"/>
          <w:color w:val="000000"/>
          <w:sz w:val="24"/>
          <w:lang w:val="sq-AL"/>
        </w:rPr>
        <w:t>konsumatore</w:t>
      </w:r>
      <w:proofErr w:type="spellEnd"/>
      <w:r w:rsidRPr="00A6284F">
        <w:rPr>
          <w:rFonts w:eastAsia="Times New Roman"/>
          <w:color w:val="000000"/>
          <w:sz w:val="24"/>
          <w:lang w:val="sq-AL"/>
        </w:rPr>
        <w:t>.</w:t>
      </w:r>
    </w:p>
    <w:p w:rsidR="00135165" w:rsidRPr="00A6284F" w:rsidRDefault="00135165"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Ligji i ri ofron një bazë ligjore për rolin këshillues të organizatave të shoqërisë civile. Rishikimi i ankesave të konsumatorëve nuk zhvillohet siç duhet për shkak të mungesës së koordinimit ndërmjet autoriteteve të ndryshme përgjegjëse, gjë që shpie në vështirësi gjatë vlerësimit të ankesave.</w:t>
      </w:r>
    </w:p>
    <w:p w:rsidR="00135165" w:rsidRPr="00A6284F" w:rsidRDefault="00135165" w:rsidP="00135165">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sa i përket çështjeve të </w:t>
      </w:r>
      <w:r w:rsidRPr="00A6284F">
        <w:rPr>
          <w:rFonts w:eastAsia="Times New Roman"/>
          <w:b/>
          <w:color w:val="000000"/>
          <w:sz w:val="24"/>
          <w:lang w:val="sq-AL"/>
        </w:rPr>
        <w:t>sigurisë së produktit</w:t>
      </w:r>
      <w:r w:rsidRPr="00A6284F">
        <w:rPr>
          <w:rFonts w:eastAsia="Times New Roman"/>
          <w:color w:val="000000"/>
          <w:sz w:val="24"/>
          <w:lang w:val="sq-AL"/>
        </w:rPr>
        <w:t xml:space="preserve">, ligji mbi kërkesat teknike për produkte dhe vlerësim të konformitetit (miratuar në mars të vitit 2018) </w:t>
      </w:r>
      <w:r w:rsidR="004F74E8" w:rsidRPr="00A6284F">
        <w:rPr>
          <w:rFonts w:eastAsia="Times New Roman"/>
          <w:color w:val="000000"/>
          <w:sz w:val="24"/>
          <w:lang w:val="sq-AL"/>
        </w:rPr>
        <w:t>përafron m</w:t>
      </w:r>
      <w:r w:rsidRPr="00A6284F">
        <w:rPr>
          <w:rFonts w:eastAsia="Times New Roman"/>
          <w:color w:val="000000"/>
          <w:sz w:val="24"/>
          <w:lang w:val="sq-AL"/>
        </w:rPr>
        <w:t xml:space="preserve">ë tej kornizën legjislative me </w:t>
      </w:r>
      <w:r w:rsidRPr="00A6284F">
        <w:rPr>
          <w:rFonts w:eastAsia="Times New Roman"/>
          <w:i/>
          <w:color w:val="000000"/>
          <w:sz w:val="24"/>
          <w:lang w:val="sq-AL"/>
        </w:rPr>
        <w:t>acquis</w:t>
      </w:r>
      <w:r w:rsidRPr="00A6284F">
        <w:rPr>
          <w:rFonts w:eastAsia="Times New Roman"/>
          <w:color w:val="000000"/>
          <w:sz w:val="24"/>
          <w:lang w:val="sq-AL"/>
        </w:rPr>
        <w:t xml:space="preserve"> për </w:t>
      </w:r>
      <w:r w:rsidR="004F74E8" w:rsidRPr="00A6284F">
        <w:rPr>
          <w:rFonts w:eastAsia="Times New Roman"/>
          <w:color w:val="000000"/>
          <w:sz w:val="24"/>
          <w:lang w:val="sq-AL"/>
        </w:rPr>
        <w:t>reklamimin</w:t>
      </w:r>
      <w:r w:rsidRPr="00A6284F">
        <w:rPr>
          <w:rFonts w:eastAsia="Times New Roman"/>
          <w:color w:val="000000"/>
          <w:sz w:val="24"/>
          <w:lang w:val="sq-AL"/>
        </w:rPr>
        <w:t xml:space="preserve"> e produkteve dhe është </w:t>
      </w:r>
      <w:r w:rsidR="004F74E8" w:rsidRPr="00A6284F">
        <w:rPr>
          <w:rFonts w:eastAsia="Times New Roman"/>
          <w:color w:val="000000"/>
          <w:sz w:val="24"/>
          <w:lang w:val="sq-AL"/>
        </w:rPr>
        <w:t>dizajnuar q</w:t>
      </w:r>
      <w:r w:rsidRPr="00A6284F">
        <w:rPr>
          <w:rFonts w:eastAsia="Times New Roman"/>
          <w:color w:val="000000"/>
          <w:sz w:val="24"/>
          <w:lang w:val="sq-AL"/>
        </w:rPr>
        <w:t xml:space="preserve">ë </w:t>
      </w:r>
      <w:r w:rsidR="004F74E8" w:rsidRPr="00A6284F">
        <w:rPr>
          <w:rFonts w:eastAsia="Times New Roman"/>
          <w:color w:val="000000"/>
          <w:sz w:val="24"/>
          <w:lang w:val="sq-AL"/>
        </w:rPr>
        <w:t xml:space="preserve">të </w:t>
      </w:r>
      <w:r w:rsidRPr="00A6284F">
        <w:rPr>
          <w:rFonts w:eastAsia="Times New Roman"/>
          <w:color w:val="000000"/>
          <w:sz w:val="24"/>
          <w:lang w:val="sq-AL"/>
        </w:rPr>
        <w:t>përafr</w:t>
      </w:r>
      <w:r w:rsidR="004F74E8" w:rsidRPr="00A6284F">
        <w:rPr>
          <w:rFonts w:eastAsia="Times New Roman"/>
          <w:color w:val="000000"/>
          <w:sz w:val="24"/>
          <w:lang w:val="sq-AL"/>
        </w:rPr>
        <w:t xml:space="preserve">ohet </w:t>
      </w:r>
      <w:r w:rsidRPr="00A6284F">
        <w:rPr>
          <w:rFonts w:eastAsia="Times New Roman"/>
          <w:color w:val="000000"/>
          <w:sz w:val="24"/>
          <w:lang w:val="sq-AL"/>
        </w:rPr>
        <w:t xml:space="preserve">plotësisht me </w:t>
      </w:r>
      <w:r w:rsidRPr="00A6284F">
        <w:rPr>
          <w:rFonts w:eastAsia="Times New Roman"/>
          <w:i/>
          <w:color w:val="000000"/>
          <w:sz w:val="24"/>
          <w:lang w:val="sq-AL"/>
        </w:rPr>
        <w:t>acquis</w:t>
      </w:r>
      <w:r w:rsidRPr="00A6284F">
        <w:rPr>
          <w:rFonts w:eastAsia="Times New Roman"/>
          <w:color w:val="000000"/>
          <w:sz w:val="24"/>
          <w:lang w:val="sq-AL"/>
        </w:rPr>
        <w:t xml:space="preserve"> në fushën e mbikëqyrjes së tregut. </w:t>
      </w:r>
      <w:r w:rsidR="004F74E8" w:rsidRPr="00A6284F">
        <w:rPr>
          <w:rFonts w:eastAsia="Times New Roman"/>
          <w:color w:val="000000"/>
          <w:sz w:val="24"/>
          <w:lang w:val="sq-AL"/>
        </w:rPr>
        <w:t xml:space="preserve">Ai vendos </w:t>
      </w:r>
      <w:r w:rsidRPr="00A6284F">
        <w:rPr>
          <w:rFonts w:eastAsia="Times New Roman"/>
          <w:color w:val="000000"/>
          <w:sz w:val="24"/>
          <w:lang w:val="sq-AL"/>
        </w:rPr>
        <w:t>një sistem më transparent dhe efikas për mbikëqyrjen dhe kontrollin e tregut.</w:t>
      </w:r>
    </w:p>
    <w:p w:rsidR="00135165" w:rsidRPr="00A6284F" w:rsidRDefault="00135165" w:rsidP="00135165">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janë vërejtur zhvillime në </w:t>
      </w:r>
      <w:r w:rsidRPr="00A6284F">
        <w:rPr>
          <w:rFonts w:eastAsia="Times New Roman"/>
          <w:b/>
          <w:color w:val="000000"/>
          <w:sz w:val="24"/>
          <w:lang w:val="sq-AL"/>
        </w:rPr>
        <w:t xml:space="preserve">çështjet </w:t>
      </w:r>
      <w:r w:rsidR="000009E2" w:rsidRPr="00A6284F">
        <w:rPr>
          <w:rFonts w:eastAsia="Times New Roman"/>
          <w:b/>
          <w:color w:val="000000"/>
          <w:sz w:val="24"/>
          <w:lang w:val="sq-AL"/>
        </w:rPr>
        <w:t xml:space="preserve">që nuk </w:t>
      </w:r>
      <w:r w:rsidRPr="00A6284F">
        <w:rPr>
          <w:rFonts w:eastAsia="Times New Roman"/>
          <w:b/>
          <w:color w:val="000000"/>
          <w:sz w:val="24"/>
          <w:lang w:val="sq-AL"/>
        </w:rPr>
        <w:t>ndërlidh</w:t>
      </w:r>
      <w:r w:rsidR="000009E2" w:rsidRPr="00A6284F">
        <w:rPr>
          <w:rFonts w:eastAsia="Times New Roman"/>
          <w:b/>
          <w:color w:val="000000"/>
          <w:sz w:val="24"/>
          <w:lang w:val="sq-AL"/>
        </w:rPr>
        <w:t xml:space="preserve">en me </w:t>
      </w:r>
      <w:r w:rsidRPr="00A6284F">
        <w:rPr>
          <w:rFonts w:eastAsia="Times New Roman"/>
          <w:b/>
          <w:color w:val="000000"/>
          <w:sz w:val="24"/>
          <w:lang w:val="sq-AL"/>
        </w:rPr>
        <w:t>sigurinë</w:t>
      </w:r>
      <w:r w:rsidRPr="00A6284F">
        <w:rPr>
          <w:rFonts w:eastAsia="Times New Roman"/>
          <w:color w:val="000000"/>
          <w:sz w:val="24"/>
          <w:lang w:val="sq-AL"/>
        </w:rPr>
        <w:t xml:space="preserve">. </w:t>
      </w:r>
      <w:r w:rsidR="000009E2" w:rsidRPr="00A6284F">
        <w:rPr>
          <w:rFonts w:eastAsia="Times New Roman"/>
          <w:color w:val="000000"/>
          <w:sz w:val="24"/>
          <w:lang w:val="sq-AL"/>
        </w:rPr>
        <w:t>Megjithëse</w:t>
      </w:r>
      <w:r w:rsidRPr="00A6284F">
        <w:rPr>
          <w:rFonts w:eastAsia="Times New Roman"/>
          <w:color w:val="000000"/>
          <w:sz w:val="24"/>
          <w:lang w:val="sq-AL"/>
        </w:rPr>
        <w:t xml:space="preserve"> Ligji për Mbrojtjen e Konsumatorit adreson interesin ekonomik të konsumatorëve, ai nuk zbatohet siç duhet për shkak të mungesës së stafit në </w:t>
      </w:r>
      <w:r w:rsidR="000009E2" w:rsidRPr="00A6284F">
        <w:rPr>
          <w:rFonts w:eastAsia="Times New Roman"/>
          <w:color w:val="000000"/>
          <w:sz w:val="24"/>
          <w:lang w:val="sq-AL"/>
        </w:rPr>
        <w:t>D</w:t>
      </w:r>
      <w:r w:rsidRPr="00A6284F">
        <w:rPr>
          <w:rFonts w:eastAsia="Times New Roman"/>
          <w:color w:val="000000"/>
          <w:sz w:val="24"/>
          <w:lang w:val="sq-AL"/>
        </w:rPr>
        <w:t xml:space="preserve">epartamentin për mbrojtje të konsumatorit </w:t>
      </w:r>
      <w:r w:rsidR="000009E2" w:rsidRPr="00A6284F">
        <w:rPr>
          <w:rFonts w:eastAsia="Times New Roman"/>
          <w:color w:val="000000"/>
          <w:sz w:val="24"/>
          <w:lang w:val="sq-AL"/>
        </w:rPr>
        <w:t xml:space="preserve">si </w:t>
      </w:r>
      <w:r w:rsidRPr="00A6284F">
        <w:rPr>
          <w:rFonts w:eastAsia="Times New Roman"/>
          <w:color w:val="000000"/>
          <w:sz w:val="24"/>
          <w:lang w:val="sq-AL"/>
        </w:rPr>
        <w:t xml:space="preserve">dhe për shkak të organizatave të dobëta </w:t>
      </w:r>
      <w:r w:rsidR="000009E2" w:rsidRPr="00A6284F">
        <w:rPr>
          <w:rFonts w:eastAsia="Times New Roman"/>
          <w:color w:val="000000"/>
          <w:sz w:val="24"/>
          <w:lang w:val="sq-AL"/>
        </w:rPr>
        <w:t>t</w:t>
      </w:r>
      <w:r w:rsidRPr="00A6284F">
        <w:rPr>
          <w:rFonts w:eastAsia="Times New Roman"/>
          <w:color w:val="000000"/>
          <w:sz w:val="24"/>
          <w:lang w:val="sq-AL"/>
        </w:rPr>
        <w:t>ë konsumatorë</w:t>
      </w:r>
      <w:r w:rsidR="000009E2" w:rsidRPr="00A6284F">
        <w:rPr>
          <w:rFonts w:eastAsia="Times New Roman"/>
          <w:color w:val="000000"/>
          <w:sz w:val="24"/>
          <w:lang w:val="sq-AL"/>
        </w:rPr>
        <w:t>ve</w:t>
      </w:r>
      <w:r w:rsidRPr="00A6284F">
        <w:rPr>
          <w:rFonts w:eastAsia="Times New Roman"/>
          <w:color w:val="000000"/>
          <w:sz w:val="24"/>
          <w:lang w:val="sq-AL"/>
        </w:rPr>
        <w:t>.</w:t>
      </w:r>
    </w:p>
    <w:p w:rsidR="00135165" w:rsidRPr="00A6284F" w:rsidRDefault="000009E2" w:rsidP="00135165">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Tek</w:t>
      </w:r>
      <w:r w:rsidR="00135165" w:rsidRPr="00A6284F">
        <w:rPr>
          <w:rFonts w:eastAsia="Times New Roman"/>
          <w:color w:val="000000"/>
          <w:sz w:val="24"/>
          <w:lang w:val="sq-AL"/>
        </w:rPr>
        <w:t xml:space="preserve"> politik</w:t>
      </w:r>
      <w:r w:rsidRPr="00A6284F">
        <w:rPr>
          <w:rFonts w:eastAsia="Times New Roman"/>
          <w:color w:val="000000"/>
          <w:sz w:val="24"/>
          <w:lang w:val="sq-AL"/>
        </w:rPr>
        <w:t>a</w:t>
      </w:r>
      <w:r w:rsidR="00135165" w:rsidRPr="00A6284F">
        <w:rPr>
          <w:rFonts w:eastAsia="Times New Roman"/>
          <w:color w:val="000000"/>
          <w:sz w:val="24"/>
          <w:lang w:val="sq-AL"/>
        </w:rPr>
        <w:t xml:space="preserve"> e </w:t>
      </w:r>
      <w:r w:rsidR="00135165" w:rsidRPr="00A6284F">
        <w:rPr>
          <w:rFonts w:eastAsia="Times New Roman"/>
          <w:b/>
          <w:color w:val="000000"/>
          <w:sz w:val="24"/>
          <w:lang w:val="sq-AL"/>
        </w:rPr>
        <w:t>shëndetit publik</w:t>
      </w:r>
      <w:r w:rsidR="00135165" w:rsidRPr="00A6284F">
        <w:rPr>
          <w:rFonts w:eastAsia="Times New Roman"/>
          <w:color w:val="000000"/>
          <w:sz w:val="24"/>
          <w:lang w:val="sq-AL"/>
        </w:rPr>
        <w:t>, Ligji për Sigurime Shëndetësore ende nuk është ndryshuar</w:t>
      </w:r>
      <w:r w:rsidRPr="00A6284F">
        <w:rPr>
          <w:rFonts w:eastAsia="Times New Roman"/>
          <w:color w:val="000000"/>
          <w:sz w:val="24"/>
          <w:lang w:val="sq-AL"/>
        </w:rPr>
        <w:t>. Z</w:t>
      </w:r>
      <w:r w:rsidR="00135165" w:rsidRPr="00A6284F">
        <w:rPr>
          <w:rFonts w:eastAsia="Times New Roman"/>
          <w:color w:val="000000"/>
          <w:sz w:val="24"/>
          <w:lang w:val="sq-AL"/>
        </w:rPr>
        <w:t xml:space="preserve">batimi i strategjisë së komunikimit në mbështetje të ligjit është vonuar. Kështu, fillimi i mbledhjes së </w:t>
      </w:r>
      <w:proofErr w:type="spellStart"/>
      <w:r w:rsidR="00135165" w:rsidRPr="00A6284F">
        <w:rPr>
          <w:rFonts w:eastAsia="Times New Roman"/>
          <w:color w:val="000000"/>
          <w:sz w:val="24"/>
          <w:lang w:val="sq-AL"/>
        </w:rPr>
        <w:t>premiumeve</w:t>
      </w:r>
      <w:proofErr w:type="spellEnd"/>
      <w:r w:rsidR="00135165" w:rsidRPr="00A6284F">
        <w:rPr>
          <w:rFonts w:eastAsia="Times New Roman"/>
          <w:color w:val="000000"/>
          <w:sz w:val="24"/>
          <w:lang w:val="sq-AL"/>
        </w:rPr>
        <w:t xml:space="preserve"> është </w:t>
      </w:r>
      <w:r w:rsidRPr="00A6284F">
        <w:rPr>
          <w:rFonts w:eastAsia="Times New Roman"/>
          <w:color w:val="000000"/>
          <w:sz w:val="24"/>
          <w:lang w:val="sq-AL"/>
        </w:rPr>
        <w:t>shtyrë</w:t>
      </w:r>
      <w:r w:rsidR="00135165" w:rsidRPr="00A6284F">
        <w:rPr>
          <w:rFonts w:eastAsia="Times New Roman"/>
          <w:color w:val="000000"/>
          <w:sz w:val="24"/>
          <w:lang w:val="sq-AL"/>
        </w:rPr>
        <w:t xml:space="preserve"> </w:t>
      </w:r>
      <w:r w:rsidRPr="00A6284F">
        <w:rPr>
          <w:rFonts w:eastAsia="Times New Roman"/>
          <w:color w:val="000000"/>
          <w:sz w:val="24"/>
          <w:lang w:val="sq-AL"/>
        </w:rPr>
        <w:t xml:space="preserve">edhe </w:t>
      </w:r>
      <w:r w:rsidR="00135165" w:rsidRPr="00A6284F">
        <w:rPr>
          <w:rFonts w:eastAsia="Times New Roman"/>
          <w:color w:val="000000"/>
          <w:sz w:val="24"/>
          <w:lang w:val="sq-AL"/>
        </w:rPr>
        <w:t>më tej.</w:t>
      </w:r>
    </w:p>
    <w:p w:rsidR="00135165" w:rsidRPr="00A6284F" w:rsidRDefault="00135165" w:rsidP="00135165">
      <w:pPr>
        <w:spacing w:before="118" w:after="6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nëntor të vitit 2018 është miratuar raporti i parë gjashtëmujor i monitorimit dhe vlerësimit për zbatimin e planit të veprimit 2017-2021 lidhur me </w:t>
      </w:r>
      <w:r w:rsidRPr="00A6284F">
        <w:rPr>
          <w:rFonts w:eastAsia="Times New Roman"/>
          <w:b/>
          <w:color w:val="000000"/>
          <w:sz w:val="24"/>
          <w:lang w:val="sq-AL"/>
        </w:rPr>
        <w:t>strategjinë sektoriale të shëndetësisë</w:t>
      </w:r>
      <w:r w:rsidRPr="00A6284F">
        <w:rPr>
          <w:rFonts w:eastAsia="Times New Roman"/>
          <w:color w:val="000000"/>
          <w:sz w:val="24"/>
          <w:lang w:val="sq-AL"/>
        </w:rPr>
        <w:t xml:space="preserve">. Nuk </w:t>
      </w:r>
      <w:r w:rsidR="000009E2" w:rsidRPr="00A6284F">
        <w:rPr>
          <w:rFonts w:eastAsia="Times New Roman"/>
          <w:color w:val="000000"/>
          <w:sz w:val="24"/>
          <w:lang w:val="sq-AL"/>
        </w:rPr>
        <w:t xml:space="preserve">është shënuar </w:t>
      </w:r>
      <w:r w:rsidRPr="00A6284F">
        <w:rPr>
          <w:rFonts w:eastAsia="Times New Roman"/>
          <w:color w:val="000000"/>
          <w:sz w:val="24"/>
          <w:lang w:val="sq-AL"/>
        </w:rPr>
        <w:t xml:space="preserve">progres në fushat e identifikuara si të mangëta në strategjinë sektoriale të shëndetësisë: nivel i ulët i produktivitetit </w:t>
      </w:r>
      <w:r w:rsidR="000009E2" w:rsidRPr="00A6284F">
        <w:rPr>
          <w:rFonts w:eastAsia="Times New Roman"/>
          <w:color w:val="000000"/>
          <w:sz w:val="24"/>
          <w:lang w:val="sq-AL"/>
        </w:rPr>
        <w:t>t</w:t>
      </w:r>
      <w:r w:rsidRPr="00A6284F">
        <w:rPr>
          <w:rFonts w:eastAsia="Times New Roman"/>
          <w:color w:val="000000"/>
          <w:sz w:val="24"/>
          <w:lang w:val="sq-AL"/>
        </w:rPr>
        <w:t>ë institucione</w:t>
      </w:r>
      <w:r w:rsidR="000009E2" w:rsidRPr="00A6284F">
        <w:rPr>
          <w:rFonts w:eastAsia="Times New Roman"/>
          <w:color w:val="000000"/>
          <w:sz w:val="24"/>
          <w:lang w:val="sq-AL"/>
        </w:rPr>
        <w:t>ve</w:t>
      </w:r>
      <w:r w:rsidRPr="00A6284F">
        <w:rPr>
          <w:rFonts w:eastAsia="Times New Roman"/>
          <w:color w:val="000000"/>
          <w:sz w:val="24"/>
          <w:lang w:val="sq-AL"/>
        </w:rPr>
        <w:t xml:space="preserve"> shëndetësore, munges</w:t>
      </w:r>
      <w:r w:rsidR="000009E2" w:rsidRPr="00A6284F">
        <w:rPr>
          <w:rFonts w:eastAsia="Times New Roman"/>
          <w:color w:val="000000"/>
          <w:sz w:val="24"/>
          <w:lang w:val="sq-AL"/>
        </w:rPr>
        <w:t>a</w:t>
      </w:r>
      <w:r w:rsidRPr="00A6284F">
        <w:rPr>
          <w:rFonts w:eastAsia="Times New Roman"/>
          <w:color w:val="000000"/>
          <w:sz w:val="24"/>
          <w:lang w:val="sq-AL"/>
        </w:rPr>
        <w:t xml:space="preserve"> e të dhënave të besueshme dhe munges</w:t>
      </w:r>
      <w:r w:rsidR="000009E2" w:rsidRPr="00A6284F">
        <w:rPr>
          <w:rFonts w:eastAsia="Times New Roman"/>
          <w:color w:val="000000"/>
          <w:sz w:val="24"/>
          <w:lang w:val="sq-AL"/>
        </w:rPr>
        <w:t>a</w:t>
      </w:r>
      <w:r w:rsidRPr="00A6284F">
        <w:rPr>
          <w:rFonts w:eastAsia="Times New Roman"/>
          <w:color w:val="000000"/>
          <w:sz w:val="24"/>
          <w:lang w:val="sq-AL"/>
        </w:rPr>
        <w:t xml:space="preserve"> e fondeve adekuate për monitorim. Rreth 20% e popullsisë nuk ka qasje në shërbime shëndetësore për shkak të varfërisë së skajshme. Shumë grupe të cenuara ndikohen në mënyrë jo</w:t>
      </w:r>
      <w:r w:rsidR="000009E2" w:rsidRPr="00A6284F">
        <w:rPr>
          <w:rFonts w:eastAsia="Times New Roman"/>
          <w:color w:val="000000"/>
          <w:sz w:val="24"/>
          <w:lang w:val="sq-AL"/>
        </w:rPr>
        <w:t>-</w:t>
      </w:r>
      <w:r w:rsidRPr="00A6284F">
        <w:rPr>
          <w:rFonts w:eastAsia="Times New Roman"/>
          <w:color w:val="000000"/>
          <w:sz w:val="24"/>
          <w:lang w:val="sq-AL"/>
        </w:rPr>
        <w:t>proporcionale për shkak të nivelit të lartë të shpenzimeve private (vlerësohet në 40% të kostos së përgjithshme mjekësore).</w:t>
      </w:r>
    </w:p>
    <w:p w:rsidR="00135165" w:rsidRPr="00A6284F" w:rsidRDefault="00135165" w:rsidP="00135165">
      <w:pPr>
        <w:spacing w:before="118" w:after="619" w:line="276" w:lineRule="exact"/>
        <w:rPr>
          <w:lang w:val="sq-AL"/>
        </w:rPr>
        <w:sectPr w:rsidR="00135165" w:rsidRPr="00A6284F">
          <w:pgSz w:w="11909" w:h="16838"/>
          <w:pgMar w:top="1400" w:right="1274" w:bottom="562" w:left="1275" w:header="720" w:footer="720" w:gutter="0"/>
          <w:cols w:space="720"/>
        </w:sectPr>
      </w:pPr>
    </w:p>
    <w:p w:rsidR="00135165" w:rsidRPr="00A6284F" w:rsidRDefault="00135165" w:rsidP="00135165">
      <w:pPr>
        <w:spacing w:before="13" w:line="249" w:lineRule="exact"/>
        <w:jc w:val="center"/>
        <w:textAlignment w:val="baseline"/>
        <w:rPr>
          <w:rFonts w:eastAsia="Times New Roman"/>
          <w:color w:val="000000"/>
          <w:spacing w:val="41"/>
          <w:lang w:val="sq-AL"/>
        </w:rPr>
      </w:pPr>
      <w:r w:rsidRPr="00A6284F">
        <w:rPr>
          <w:rFonts w:eastAsia="Times New Roman"/>
          <w:color w:val="000000"/>
          <w:spacing w:val="41"/>
          <w:lang w:val="sq-AL"/>
        </w:rPr>
        <w:lastRenderedPageBreak/>
        <w:t>69</w:t>
      </w:r>
    </w:p>
    <w:p w:rsidR="00135165" w:rsidRPr="00A6284F" w:rsidRDefault="00135165" w:rsidP="00135165">
      <w:pPr>
        <w:rPr>
          <w:lang w:val="sq-AL"/>
        </w:rPr>
        <w:sectPr w:rsidR="00135165" w:rsidRPr="00A6284F">
          <w:type w:val="continuous"/>
          <w:pgSz w:w="11909" w:h="16838"/>
          <w:pgMar w:top="1400" w:right="1277" w:bottom="562" w:left="1272" w:header="720" w:footer="720" w:gutter="0"/>
          <w:cols w:space="720"/>
        </w:sectPr>
      </w:pPr>
    </w:p>
    <w:p w:rsidR="00135165" w:rsidRPr="00A6284F" w:rsidRDefault="00135165" w:rsidP="00135165">
      <w:pPr>
        <w:spacing w:before="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lastRenderedPageBreak/>
        <w:t>Shpenzimet publike për shëndetin duhet të rriten edhe më tej. Në janar të vitit 2019 është vlerësuar se janë mbuluar 60%</w:t>
      </w:r>
      <w:r w:rsidR="006631A2" w:rsidRPr="00A6284F">
        <w:rPr>
          <w:rFonts w:eastAsia="Times New Roman"/>
          <w:color w:val="000000"/>
          <w:sz w:val="24"/>
          <w:lang w:val="sq-AL"/>
        </w:rPr>
        <w:t xml:space="preserve"> e nevojave vjetore të kujdesit shëndetësor publik,</w:t>
      </w:r>
      <w:r w:rsidRPr="00A6284F">
        <w:rPr>
          <w:rFonts w:eastAsia="Times New Roman"/>
          <w:color w:val="000000"/>
          <w:sz w:val="24"/>
          <w:lang w:val="sq-AL"/>
        </w:rPr>
        <w:t xml:space="preserve"> krahas</w:t>
      </w:r>
      <w:r w:rsidR="006631A2" w:rsidRPr="00A6284F">
        <w:rPr>
          <w:rFonts w:eastAsia="Times New Roman"/>
          <w:color w:val="000000"/>
          <w:sz w:val="24"/>
          <w:lang w:val="sq-AL"/>
        </w:rPr>
        <w:t xml:space="preserve">uar </w:t>
      </w:r>
      <w:r w:rsidRPr="00A6284F">
        <w:rPr>
          <w:rFonts w:eastAsia="Times New Roman"/>
          <w:color w:val="000000"/>
          <w:sz w:val="24"/>
          <w:lang w:val="sq-AL"/>
        </w:rPr>
        <w:t xml:space="preserve">me 40% në vitin 2016. Fondet </w:t>
      </w:r>
      <w:r w:rsidR="006631A2" w:rsidRPr="00A6284F">
        <w:rPr>
          <w:rFonts w:eastAsia="Times New Roman"/>
          <w:color w:val="000000"/>
          <w:sz w:val="24"/>
          <w:lang w:val="sq-AL"/>
        </w:rPr>
        <w:t xml:space="preserve">e </w:t>
      </w:r>
      <w:proofErr w:type="spellStart"/>
      <w:r w:rsidRPr="00A6284F">
        <w:rPr>
          <w:rFonts w:eastAsia="Times New Roman"/>
          <w:color w:val="000000"/>
          <w:sz w:val="24"/>
          <w:lang w:val="sq-AL"/>
        </w:rPr>
        <w:t>alokuara</w:t>
      </w:r>
      <w:proofErr w:type="spellEnd"/>
      <w:r w:rsidRPr="00A6284F">
        <w:rPr>
          <w:rFonts w:eastAsia="Times New Roman"/>
          <w:color w:val="000000"/>
          <w:sz w:val="24"/>
          <w:lang w:val="sq-AL"/>
        </w:rPr>
        <w:t xml:space="preserve"> përdoren kryesisht për të mbuluar kostot fikse, duke lënë më pak për kostot </w:t>
      </w:r>
      <w:proofErr w:type="spellStart"/>
      <w:r w:rsidRPr="00A6284F">
        <w:rPr>
          <w:rFonts w:eastAsia="Times New Roman"/>
          <w:color w:val="000000"/>
          <w:sz w:val="24"/>
          <w:lang w:val="sq-AL"/>
        </w:rPr>
        <w:t>direkte</w:t>
      </w:r>
      <w:proofErr w:type="spellEnd"/>
      <w:r w:rsidRPr="00A6284F">
        <w:rPr>
          <w:rFonts w:eastAsia="Times New Roman"/>
          <w:color w:val="000000"/>
          <w:sz w:val="24"/>
          <w:lang w:val="sq-AL"/>
        </w:rPr>
        <w:t xml:space="preserve"> të pacientëve (</w:t>
      </w:r>
      <w:proofErr w:type="spellStart"/>
      <w:r w:rsidRPr="00A6284F">
        <w:rPr>
          <w:rFonts w:eastAsia="Times New Roman"/>
          <w:color w:val="000000"/>
          <w:sz w:val="24"/>
          <w:lang w:val="sq-AL"/>
        </w:rPr>
        <w:t>diagnostifikimi</w:t>
      </w:r>
      <w:proofErr w:type="spellEnd"/>
      <w:r w:rsidRPr="00A6284F">
        <w:rPr>
          <w:rFonts w:eastAsia="Times New Roman"/>
          <w:color w:val="000000"/>
          <w:sz w:val="24"/>
          <w:lang w:val="sq-AL"/>
        </w:rPr>
        <w:t>, trajtimi dhe parandalimi). Financimi i shëndetësisë vazhdon të bazohet kryesisht në shpenzime historike. Llogaria institucionale nuk është rritur dhe nuk ka stimuj të qartë për të rritur produktivitetin, efikasitetin dhe cilësinë në sektorin e shëndetësisë.</w:t>
      </w:r>
    </w:p>
    <w:p w:rsidR="00135165" w:rsidRPr="00A6284F" w:rsidRDefault="00135165" w:rsidP="00135165">
      <w:pPr>
        <w:spacing w:before="118" w:line="277"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Ligji gjithëpërfshirës për kontrollin e </w:t>
      </w:r>
      <w:r w:rsidRPr="00A6284F">
        <w:rPr>
          <w:rFonts w:eastAsia="Times New Roman"/>
          <w:b/>
          <w:color w:val="000000"/>
          <w:sz w:val="24"/>
          <w:lang w:val="sq-AL"/>
        </w:rPr>
        <w:t>duhanit</w:t>
      </w:r>
      <w:r w:rsidRPr="00A6284F">
        <w:rPr>
          <w:rFonts w:eastAsia="Times New Roman"/>
          <w:color w:val="000000"/>
          <w:sz w:val="24"/>
          <w:lang w:val="sq-AL"/>
        </w:rPr>
        <w:t xml:space="preserve"> </w:t>
      </w:r>
      <w:r w:rsidR="006631A2" w:rsidRPr="00A6284F">
        <w:rPr>
          <w:rFonts w:eastAsia="Times New Roman"/>
          <w:color w:val="000000"/>
          <w:sz w:val="24"/>
          <w:lang w:val="sq-AL"/>
        </w:rPr>
        <w:t xml:space="preserve">ende </w:t>
      </w:r>
      <w:r w:rsidRPr="00A6284F">
        <w:rPr>
          <w:rFonts w:eastAsia="Times New Roman"/>
          <w:color w:val="000000"/>
          <w:sz w:val="24"/>
          <w:lang w:val="sq-AL"/>
        </w:rPr>
        <w:t>nuk zbatohet për shkak të mungesës së vullnetit politik dhe performancës së dobët të autoriteteve zbatuese.</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Lidhur me </w:t>
      </w:r>
      <w:r w:rsidRPr="00A6284F">
        <w:rPr>
          <w:rFonts w:eastAsia="Times New Roman"/>
          <w:b/>
          <w:color w:val="000000"/>
          <w:sz w:val="24"/>
          <w:lang w:val="sq-AL"/>
        </w:rPr>
        <w:t>gjakun, indet, qelizat dhe organet</w:t>
      </w:r>
      <w:r w:rsidRPr="00A6284F">
        <w:rPr>
          <w:rFonts w:eastAsia="Times New Roman"/>
          <w:color w:val="000000"/>
          <w:sz w:val="24"/>
          <w:lang w:val="sq-AL"/>
        </w:rPr>
        <w:t xml:space="preserve">, në gusht të vitit 2018 është miratuar Ligji për Gjak dhe Përbërës të Gjakut por sikurse Ligji për </w:t>
      </w:r>
      <w:proofErr w:type="spellStart"/>
      <w:r w:rsidRPr="00A6284F">
        <w:rPr>
          <w:rFonts w:eastAsia="Times New Roman"/>
          <w:color w:val="000000"/>
          <w:sz w:val="24"/>
          <w:lang w:val="sq-AL"/>
        </w:rPr>
        <w:t>Transplantin</w:t>
      </w:r>
      <w:proofErr w:type="spellEnd"/>
      <w:r w:rsidRPr="00A6284F">
        <w:rPr>
          <w:rFonts w:eastAsia="Times New Roman"/>
          <w:color w:val="000000"/>
          <w:sz w:val="24"/>
          <w:lang w:val="sq-AL"/>
        </w:rPr>
        <w:t xml:space="preserve"> e Indeve dhe Qelizave i miratuar në vitin 2014,</w:t>
      </w:r>
      <w:r w:rsidR="006631A2" w:rsidRPr="00A6284F">
        <w:rPr>
          <w:rFonts w:eastAsia="Times New Roman"/>
          <w:color w:val="000000"/>
          <w:sz w:val="24"/>
          <w:lang w:val="sq-AL"/>
        </w:rPr>
        <w:t xml:space="preserve"> edhe ai</w:t>
      </w:r>
      <w:r w:rsidRPr="00A6284F">
        <w:rPr>
          <w:rFonts w:eastAsia="Times New Roman"/>
          <w:color w:val="000000"/>
          <w:sz w:val="24"/>
          <w:lang w:val="sq-AL"/>
        </w:rPr>
        <w:t xml:space="preserve"> është </w:t>
      </w:r>
      <w:r w:rsidR="006631A2" w:rsidRPr="00A6284F">
        <w:rPr>
          <w:rFonts w:eastAsia="Times New Roman"/>
          <w:color w:val="000000"/>
          <w:sz w:val="24"/>
          <w:lang w:val="sq-AL"/>
        </w:rPr>
        <w:t xml:space="preserve">vetëm </w:t>
      </w:r>
      <w:r w:rsidRPr="00A6284F">
        <w:rPr>
          <w:rFonts w:eastAsia="Times New Roman"/>
          <w:color w:val="000000"/>
          <w:sz w:val="24"/>
          <w:lang w:val="sq-AL"/>
        </w:rPr>
        <w:t>pjesërisht</w:t>
      </w:r>
      <w:r w:rsidR="006631A2" w:rsidRPr="00A6284F">
        <w:rPr>
          <w:rFonts w:eastAsia="Times New Roman"/>
          <w:color w:val="000000"/>
          <w:sz w:val="24"/>
          <w:lang w:val="sq-AL"/>
        </w:rPr>
        <w:t xml:space="preserve"> i përafruar </w:t>
      </w:r>
      <w:r w:rsidRPr="00A6284F">
        <w:rPr>
          <w:rFonts w:eastAsia="Times New Roman"/>
          <w:color w:val="000000"/>
          <w:sz w:val="24"/>
          <w:lang w:val="sq-AL"/>
        </w:rPr>
        <w:t xml:space="preserve">me </w:t>
      </w:r>
      <w:r w:rsidRPr="00A6284F">
        <w:rPr>
          <w:rFonts w:eastAsia="Times New Roman"/>
          <w:i/>
          <w:color w:val="000000"/>
          <w:sz w:val="24"/>
          <w:lang w:val="sq-AL"/>
        </w:rPr>
        <w:t>acquis</w:t>
      </w:r>
      <w:r w:rsidRPr="00A6284F">
        <w:rPr>
          <w:rFonts w:eastAsia="Times New Roman"/>
          <w:color w:val="000000"/>
          <w:sz w:val="24"/>
          <w:lang w:val="sq-AL"/>
        </w:rPr>
        <w:t xml:space="preserve">. </w:t>
      </w:r>
      <w:r w:rsidR="006631A2" w:rsidRPr="00A6284F">
        <w:rPr>
          <w:rFonts w:eastAsia="Times New Roman"/>
          <w:color w:val="000000"/>
          <w:sz w:val="24"/>
          <w:lang w:val="sq-AL"/>
        </w:rPr>
        <w:t xml:space="preserve">Përafrimi </w:t>
      </w:r>
      <w:r w:rsidRPr="00A6284F">
        <w:rPr>
          <w:rFonts w:eastAsia="Times New Roman"/>
          <w:color w:val="000000"/>
          <w:sz w:val="24"/>
          <w:lang w:val="sq-AL"/>
        </w:rPr>
        <w:t>i mëtejshëm do të varet n</w:t>
      </w:r>
      <w:r w:rsidR="006631A2" w:rsidRPr="00A6284F">
        <w:rPr>
          <w:rFonts w:eastAsia="Times New Roman"/>
          <w:color w:val="000000"/>
          <w:sz w:val="24"/>
          <w:lang w:val="sq-AL"/>
        </w:rPr>
        <w:t>ga</w:t>
      </w:r>
      <w:r w:rsidRPr="00A6284F">
        <w:rPr>
          <w:rFonts w:eastAsia="Times New Roman"/>
          <w:color w:val="000000"/>
          <w:sz w:val="24"/>
          <w:lang w:val="sq-AL"/>
        </w:rPr>
        <w:t xml:space="preserve"> alokimi </w:t>
      </w:r>
      <w:r w:rsidR="006631A2" w:rsidRPr="00A6284F">
        <w:rPr>
          <w:rFonts w:eastAsia="Times New Roman"/>
          <w:color w:val="000000"/>
          <w:sz w:val="24"/>
          <w:lang w:val="sq-AL"/>
        </w:rPr>
        <w:t>i</w:t>
      </w:r>
      <w:r w:rsidRPr="00A6284F">
        <w:rPr>
          <w:rFonts w:eastAsia="Times New Roman"/>
          <w:color w:val="000000"/>
          <w:sz w:val="24"/>
          <w:lang w:val="sq-AL"/>
        </w:rPr>
        <w:t xml:space="preserve"> burimeve të nevojshme njerëzore dhe financiare si dhe kapaciteti administrativ dhe monitorues.</w:t>
      </w:r>
    </w:p>
    <w:p w:rsidR="00135165" w:rsidRPr="00A6284F" w:rsidRDefault="00135165" w:rsidP="00135165">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Në fushën e </w:t>
      </w:r>
      <w:r w:rsidRPr="00A6284F">
        <w:rPr>
          <w:rFonts w:eastAsia="Times New Roman"/>
          <w:b/>
          <w:color w:val="000000"/>
          <w:sz w:val="24"/>
          <w:lang w:val="sq-AL"/>
        </w:rPr>
        <w:t>kërcënimeve serioze shëndetësore ndërkufitare, duke përfshirë sëmundjet ngjitëse</w:t>
      </w:r>
      <w:r w:rsidRPr="00A6284F">
        <w:rPr>
          <w:rFonts w:eastAsia="Times New Roman"/>
          <w:color w:val="000000"/>
          <w:sz w:val="24"/>
          <w:lang w:val="sq-AL"/>
        </w:rPr>
        <w:t xml:space="preserve">, nuk ka progres në harmonizimin me </w:t>
      </w:r>
      <w:r w:rsidRPr="00A6284F">
        <w:rPr>
          <w:rFonts w:eastAsia="Times New Roman"/>
          <w:i/>
          <w:color w:val="000000"/>
          <w:sz w:val="24"/>
          <w:lang w:val="sq-AL"/>
        </w:rPr>
        <w:t>acquis</w:t>
      </w:r>
      <w:r w:rsidRPr="00A6284F">
        <w:rPr>
          <w:rFonts w:eastAsia="Times New Roman"/>
          <w:color w:val="000000"/>
          <w:sz w:val="24"/>
          <w:lang w:val="sq-AL"/>
        </w:rPr>
        <w:t xml:space="preserve">. Imunizimi është më i ulët në krahasim me vitin e kaluar. Gjithashtu, normat e vaksinimit në mesin e fëmijëve të moshës shkollore raportohen të jenë ndërmjet 95% dhe 98%. Gjithashtu, nuk është miratuar asnjë plan i përditësuar i veprimit lidhur me rezistencën </w:t>
      </w:r>
      <w:proofErr w:type="spellStart"/>
      <w:r w:rsidRPr="00A6284F">
        <w:rPr>
          <w:rFonts w:eastAsia="Times New Roman"/>
          <w:color w:val="000000"/>
          <w:sz w:val="24"/>
          <w:lang w:val="sq-AL"/>
        </w:rPr>
        <w:t>antimikrobike</w:t>
      </w:r>
      <w:proofErr w:type="spellEnd"/>
      <w:r w:rsidRPr="00A6284F">
        <w:rPr>
          <w:rFonts w:eastAsia="Times New Roman"/>
          <w:color w:val="000000"/>
          <w:sz w:val="24"/>
          <w:lang w:val="sq-AL"/>
        </w:rPr>
        <w:t xml:space="preserve"> dhe nuk është përmirësuar kontrolli i përshkrimeve të antibiotikëve për të parandaluar rezistencën </w:t>
      </w:r>
      <w:proofErr w:type="spellStart"/>
      <w:r w:rsidRPr="00A6284F">
        <w:rPr>
          <w:rFonts w:eastAsia="Times New Roman"/>
          <w:color w:val="000000"/>
          <w:sz w:val="24"/>
          <w:lang w:val="sq-AL"/>
        </w:rPr>
        <w:t>antimikrobike</w:t>
      </w:r>
      <w:proofErr w:type="spellEnd"/>
      <w:r w:rsidRPr="00A6284F">
        <w:rPr>
          <w:rFonts w:eastAsia="Times New Roman"/>
          <w:color w:val="000000"/>
          <w:sz w:val="24"/>
          <w:lang w:val="sq-AL"/>
        </w:rPr>
        <w:t>. Ne tetor të vitit 2018</w:t>
      </w:r>
      <w:r w:rsidR="008B5CA6" w:rsidRPr="00A6284F">
        <w:rPr>
          <w:rFonts w:eastAsia="Times New Roman"/>
          <w:color w:val="000000"/>
          <w:sz w:val="24"/>
          <w:lang w:val="sq-AL"/>
        </w:rPr>
        <w:t>,</w:t>
      </w:r>
      <w:r w:rsidRPr="00A6284F">
        <w:rPr>
          <w:rFonts w:eastAsia="Times New Roman"/>
          <w:color w:val="000000"/>
          <w:sz w:val="24"/>
          <w:lang w:val="sq-AL"/>
        </w:rPr>
        <w:t xml:space="preserve"> Qendra Evropiane për Parandalimin dhe Kontrollin e Sëmundjeve ka realizuar një mision vlerësues të ekspertëve në Kosovë në fushën e sëmundjeve ngjitëse nga i cili del se ka zbatim të dobët të legjislacionit primar dhe mungon legjislacioni sekondar.</w:t>
      </w:r>
    </w:p>
    <w:p w:rsidR="00135165" w:rsidRPr="00A6284F" w:rsidRDefault="008B5CA6" w:rsidP="00135165">
      <w:pPr>
        <w:spacing w:before="120"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Legjislacioni i Kosovës nuk është përafruar me </w:t>
      </w:r>
      <w:r w:rsidRPr="00A6284F">
        <w:rPr>
          <w:rFonts w:eastAsia="Times New Roman"/>
          <w:i/>
          <w:color w:val="000000"/>
          <w:spacing w:val="1"/>
          <w:sz w:val="24"/>
          <w:lang w:val="sq-AL"/>
        </w:rPr>
        <w:t xml:space="preserve">acquis-in e </w:t>
      </w:r>
      <w:r w:rsidRPr="00A6284F">
        <w:rPr>
          <w:rFonts w:eastAsia="Times New Roman"/>
          <w:color w:val="000000"/>
          <w:spacing w:val="1"/>
          <w:sz w:val="24"/>
          <w:lang w:val="sq-AL"/>
        </w:rPr>
        <w:t>BE-së</w:t>
      </w:r>
      <w:r w:rsidRPr="00A6284F">
        <w:rPr>
          <w:rFonts w:eastAsia="Times New Roman"/>
          <w:i/>
          <w:color w:val="000000"/>
          <w:spacing w:val="1"/>
          <w:sz w:val="24"/>
          <w:lang w:val="sq-AL"/>
        </w:rPr>
        <w:t xml:space="preserve"> s</w:t>
      </w:r>
      <w:r w:rsidR="00135165" w:rsidRPr="00A6284F">
        <w:rPr>
          <w:rFonts w:eastAsia="Times New Roman"/>
          <w:color w:val="000000"/>
          <w:spacing w:val="1"/>
          <w:sz w:val="24"/>
          <w:lang w:val="sq-AL"/>
        </w:rPr>
        <w:t xml:space="preserve">a i përket të </w:t>
      </w:r>
      <w:r w:rsidR="00135165" w:rsidRPr="00A6284F">
        <w:rPr>
          <w:rFonts w:eastAsia="Times New Roman"/>
          <w:b/>
          <w:color w:val="000000"/>
          <w:spacing w:val="1"/>
          <w:sz w:val="24"/>
          <w:lang w:val="sq-AL"/>
        </w:rPr>
        <w:t xml:space="preserve">drejtave të pacientëve në </w:t>
      </w:r>
      <w:r w:rsidRPr="00A6284F">
        <w:rPr>
          <w:rFonts w:eastAsia="Times New Roman"/>
          <w:b/>
          <w:color w:val="000000"/>
          <w:spacing w:val="1"/>
          <w:sz w:val="24"/>
          <w:lang w:val="sq-AL"/>
        </w:rPr>
        <w:t>shëndetësinë</w:t>
      </w:r>
      <w:r w:rsidR="00135165" w:rsidRPr="00A6284F">
        <w:rPr>
          <w:rFonts w:eastAsia="Times New Roman"/>
          <w:b/>
          <w:color w:val="000000"/>
          <w:spacing w:val="1"/>
          <w:sz w:val="24"/>
          <w:lang w:val="sq-AL"/>
        </w:rPr>
        <w:t xml:space="preserve"> ndërkufitare</w:t>
      </w:r>
      <w:r w:rsidR="00135165" w:rsidRPr="00A6284F">
        <w:rPr>
          <w:rFonts w:eastAsia="Times New Roman"/>
          <w:i/>
          <w:color w:val="000000"/>
          <w:spacing w:val="1"/>
          <w:sz w:val="24"/>
          <w:lang w:val="sq-AL"/>
        </w:rPr>
        <w:t>.</w:t>
      </w:r>
      <w:r w:rsidR="00135165" w:rsidRPr="00A6284F">
        <w:rPr>
          <w:rFonts w:eastAsia="Times New Roman"/>
          <w:color w:val="000000"/>
          <w:spacing w:val="1"/>
          <w:sz w:val="24"/>
          <w:lang w:val="sq-AL"/>
        </w:rPr>
        <w:t xml:space="preserve"> Ministria e Shëndetësisë ka shtyrë zhvillimin e mëtejshëm dhe regjistrimin në të gjitha institucionet e Sistemeve Informative </w:t>
      </w:r>
      <w:r w:rsidR="00135165" w:rsidRPr="00A6284F">
        <w:rPr>
          <w:rFonts w:eastAsia="Times New Roman"/>
          <w:b/>
          <w:color w:val="000000"/>
          <w:spacing w:val="1"/>
          <w:sz w:val="24"/>
          <w:lang w:val="sq-AL"/>
        </w:rPr>
        <w:t xml:space="preserve">Elektronike </w:t>
      </w:r>
      <w:r w:rsidR="00135165" w:rsidRPr="00A6284F">
        <w:rPr>
          <w:rFonts w:eastAsia="Times New Roman"/>
          <w:color w:val="000000"/>
          <w:spacing w:val="1"/>
          <w:sz w:val="24"/>
          <w:lang w:val="sq-AL"/>
        </w:rPr>
        <w:t>të Shëndetit (</w:t>
      </w:r>
      <w:proofErr w:type="spellStart"/>
      <w:r w:rsidR="00135165" w:rsidRPr="00A6284F">
        <w:rPr>
          <w:rFonts w:eastAsia="Times New Roman"/>
          <w:color w:val="000000"/>
          <w:spacing w:val="1"/>
          <w:sz w:val="24"/>
          <w:lang w:val="sq-AL"/>
        </w:rPr>
        <w:t>eSISH</w:t>
      </w:r>
      <w:proofErr w:type="spellEnd"/>
      <w:r w:rsidR="00135165" w:rsidRPr="00A6284F">
        <w:rPr>
          <w:rFonts w:eastAsia="Times New Roman"/>
          <w:color w:val="000000"/>
          <w:spacing w:val="1"/>
          <w:sz w:val="24"/>
          <w:lang w:val="sq-AL"/>
        </w:rPr>
        <w:t xml:space="preserve">) në bazë të Treguesve themelorë Evropianë të Shëndetit, i cili përfshin të dhënat për pranimin, lirimet dhe transferimet e pacientëve. Funksionet tjera (barnatoret, patologjia, radiologjia, transfuzioni i gjakut, vaksinimi dhe intervenimet tjera) duhen shtuar në sistem dhe </w:t>
      </w:r>
      <w:proofErr w:type="spellStart"/>
      <w:r w:rsidR="00135165" w:rsidRPr="00A6284F">
        <w:rPr>
          <w:rFonts w:eastAsia="Times New Roman"/>
          <w:color w:val="000000"/>
          <w:spacing w:val="1"/>
          <w:sz w:val="24"/>
          <w:lang w:val="sq-AL"/>
        </w:rPr>
        <w:t>mbulueshmëria</w:t>
      </w:r>
      <w:proofErr w:type="spellEnd"/>
      <w:r w:rsidR="00135165" w:rsidRPr="00A6284F">
        <w:rPr>
          <w:rFonts w:eastAsia="Times New Roman"/>
          <w:color w:val="000000"/>
          <w:spacing w:val="1"/>
          <w:sz w:val="24"/>
          <w:lang w:val="sq-AL"/>
        </w:rPr>
        <w:t xml:space="preserve"> duhet të zgjerohet për të mbështetur politikën shëndetësore të bazuar në evidenca. Qytetarët e Kosovës mund të përfitojnë nga burimet e posaçme nga Fondi i Sigurimeve Shëndetësore për shërbime shëndetësore jashtë vendit atëherë kur shërbimet shëndetësore të specializuara nuk janë në dispozicion në Kosovë. Kosova ka nënshkruar marrëveshje me Shqipërinë, Kroacinë dhe Turqinë për zbatimin</w:t>
      </w:r>
      <w:r w:rsidR="00CA200E" w:rsidRPr="00A6284F">
        <w:rPr>
          <w:rFonts w:eastAsia="Times New Roman"/>
          <w:color w:val="000000"/>
          <w:spacing w:val="1"/>
          <w:sz w:val="24"/>
          <w:lang w:val="sq-AL"/>
        </w:rPr>
        <w:t xml:space="preserve"> </w:t>
      </w:r>
      <w:r w:rsidR="00135165" w:rsidRPr="00A6284F">
        <w:rPr>
          <w:rFonts w:eastAsia="Times New Roman"/>
          <w:color w:val="000000"/>
          <w:spacing w:val="1"/>
          <w:sz w:val="24"/>
          <w:lang w:val="sq-AL"/>
        </w:rPr>
        <w:t>e shërbimeve të caktuara mjekësore të cilat tani janë të qasshme për qytetarët. Megjithatë, fondet në dispozicion (6 milion euro) mbulojnë vetëm 45% e nevojave të popullsisë.</w:t>
      </w:r>
    </w:p>
    <w:p w:rsidR="00135165" w:rsidRPr="00A6284F" w:rsidRDefault="00135165" w:rsidP="00135165">
      <w:pPr>
        <w:spacing w:before="117" w:line="278" w:lineRule="exact"/>
        <w:ind w:left="72" w:right="144"/>
        <w:jc w:val="both"/>
        <w:textAlignment w:val="baseline"/>
        <w:rPr>
          <w:rFonts w:eastAsia="Times New Roman"/>
          <w:b/>
          <w:color w:val="000000"/>
          <w:sz w:val="24"/>
          <w:lang w:val="sq-AL"/>
        </w:rPr>
      </w:pPr>
      <w:r w:rsidRPr="00A6284F">
        <w:rPr>
          <w:rFonts w:eastAsia="Times New Roman"/>
          <w:color w:val="000000"/>
          <w:sz w:val="24"/>
          <w:lang w:val="sq-AL"/>
        </w:rPr>
        <w:t xml:space="preserve">Nuk ka progres në harmonizimin e legjislacionit të Kosovës për </w:t>
      </w:r>
      <w:r w:rsidRPr="00A6284F">
        <w:rPr>
          <w:rFonts w:eastAsia="Times New Roman"/>
          <w:b/>
          <w:color w:val="000000"/>
          <w:sz w:val="24"/>
          <w:lang w:val="sq-AL"/>
        </w:rPr>
        <w:t>përdorim e barnave për njerëz dhe veterinari</w:t>
      </w:r>
      <w:r w:rsidRPr="00A6284F">
        <w:rPr>
          <w:rFonts w:eastAsia="Times New Roman"/>
          <w:b/>
          <w:i/>
          <w:color w:val="000000"/>
          <w:sz w:val="24"/>
          <w:lang w:val="sq-AL"/>
        </w:rPr>
        <w:t>.</w:t>
      </w:r>
    </w:p>
    <w:p w:rsidR="00135165" w:rsidRPr="00A6284F" w:rsidRDefault="00135165" w:rsidP="00135165">
      <w:pPr>
        <w:spacing w:before="119" w:line="276"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Promovimi shëndetësor</w:t>
      </w:r>
      <w:r w:rsidRPr="00A6284F">
        <w:rPr>
          <w:rFonts w:eastAsia="Times New Roman"/>
          <w:color w:val="000000"/>
          <w:sz w:val="24"/>
          <w:lang w:val="sq-AL"/>
        </w:rPr>
        <w:t xml:space="preserve"> në lidhje me </w:t>
      </w:r>
      <w:r w:rsidRPr="00A6284F">
        <w:rPr>
          <w:rFonts w:eastAsia="Times New Roman"/>
          <w:b/>
          <w:color w:val="000000"/>
          <w:sz w:val="24"/>
          <w:lang w:val="sq-AL"/>
        </w:rPr>
        <w:t>sëmundjet jo-ngjitëse</w:t>
      </w:r>
      <w:r w:rsidRPr="00A6284F">
        <w:rPr>
          <w:rFonts w:eastAsia="Times New Roman"/>
          <w:color w:val="000000"/>
          <w:sz w:val="24"/>
          <w:lang w:val="sq-AL"/>
        </w:rPr>
        <w:t xml:space="preserve"> mbetet i dobët. Në vitin 2018 është përgatitur një strategji mbi promovimin dhe edukimin shëndetësor dhe pritet të miratohet në vitin 2019. Sa i përket </w:t>
      </w:r>
      <w:r w:rsidR="001D57ED" w:rsidRPr="00A6284F">
        <w:rPr>
          <w:rFonts w:eastAsia="Times New Roman"/>
          <w:b/>
          <w:color w:val="000000"/>
          <w:sz w:val="24"/>
          <w:lang w:val="sq-AL"/>
        </w:rPr>
        <w:t>kontrollit (</w:t>
      </w:r>
      <w:proofErr w:type="spellStart"/>
      <w:r w:rsidR="001D57ED" w:rsidRPr="00A6284F">
        <w:rPr>
          <w:rFonts w:eastAsia="Times New Roman"/>
          <w:b/>
          <w:color w:val="000000"/>
          <w:sz w:val="24"/>
          <w:lang w:val="sq-AL"/>
        </w:rPr>
        <w:t>skriningut</w:t>
      </w:r>
      <w:proofErr w:type="spellEnd"/>
      <w:r w:rsidR="001D57ED" w:rsidRPr="00A6284F">
        <w:rPr>
          <w:rFonts w:eastAsia="Times New Roman"/>
          <w:b/>
          <w:color w:val="000000"/>
          <w:sz w:val="24"/>
          <w:lang w:val="sq-AL"/>
        </w:rPr>
        <w:t>)</w:t>
      </w:r>
      <w:r w:rsidRPr="00A6284F">
        <w:rPr>
          <w:rFonts w:eastAsia="Times New Roman"/>
          <w:b/>
          <w:color w:val="000000"/>
          <w:sz w:val="24"/>
          <w:lang w:val="sq-AL"/>
        </w:rPr>
        <w:t xml:space="preserve"> për kancer</w:t>
      </w:r>
      <w:r w:rsidRPr="00A6284F">
        <w:rPr>
          <w:rFonts w:eastAsia="Times New Roman"/>
          <w:color w:val="000000"/>
          <w:sz w:val="24"/>
          <w:lang w:val="sq-AL"/>
        </w:rPr>
        <w:t xml:space="preserve">, është krijuar një program 2014-2020 në lidhje me kancerin. Regjistrimi i vdekjeve nga kanceri është i paplotësuar për shkak të hapësirave në kornizën ligjore dhe mangësive në procedurat administrative në sistemit e regjistrimit civil. Financimi për </w:t>
      </w:r>
      <w:r w:rsidR="00264450" w:rsidRPr="00A6284F">
        <w:rPr>
          <w:rFonts w:eastAsia="Times New Roman"/>
          <w:color w:val="000000"/>
          <w:sz w:val="24"/>
          <w:lang w:val="sq-AL"/>
        </w:rPr>
        <w:t>kontroll</w:t>
      </w:r>
      <w:r w:rsidRPr="00A6284F">
        <w:rPr>
          <w:rFonts w:eastAsia="Times New Roman"/>
          <w:color w:val="000000"/>
          <w:sz w:val="24"/>
          <w:lang w:val="sq-AL"/>
        </w:rPr>
        <w:t xml:space="preserve"> sistematik të kancerit nuk është i përshtatshëm dhe ka mungesë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të besueshme lidhur me sëmundjet </w:t>
      </w:r>
      <w:proofErr w:type="spellStart"/>
      <w:r w:rsidRPr="00A6284F">
        <w:rPr>
          <w:rFonts w:eastAsia="Times New Roman"/>
          <w:color w:val="000000"/>
          <w:sz w:val="24"/>
          <w:lang w:val="sq-AL"/>
        </w:rPr>
        <w:t>kancerogjene</w:t>
      </w:r>
      <w:proofErr w:type="spellEnd"/>
      <w:r w:rsidRPr="00A6284F">
        <w:rPr>
          <w:rFonts w:eastAsia="Times New Roman"/>
          <w:color w:val="000000"/>
          <w:sz w:val="24"/>
          <w:lang w:val="sq-AL"/>
        </w:rPr>
        <w:t>.</w:t>
      </w:r>
    </w:p>
    <w:p w:rsidR="00135165" w:rsidRPr="00A6284F" w:rsidRDefault="00135165" w:rsidP="00135165">
      <w:pPr>
        <w:spacing w:before="118" w:line="277"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Nuk ka legjislacion specifik mbi </w:t>
      </w:r>
      <w:proofErr w:type="spellStart"/>
      <w:r w:rsidRPr="00A6284F">
        <w:rPr>
          <w:rFonts w:eastAsia="Times New Roman"/>
          <w:b/>
          <w:color w:val="000000"/>
          <w:sz w:val="24"/>
          <w:lang w:val="sq-AL"/>
        </w:rPr>
        <w:t>ushqyeshmërinë</w:t>
      </w:r>
      <w:proofErr w:type="spellEnd"/>
      <w:r w:rsidRPr="00A6284F">
        <w:rPr>
          <w:rFonts w:eastAsia="Times New Roman"/>
          <w:b/>
          <w:color w:val="000000"/>
          <w:sz w:val="24"/>
          <w:lang w:val="sq-AL"/>
        </w:rPr>
        <w:t xml:space="preserve"> dhe aktivitetin fizik</w:t>
      </w:r>
      <w:r w:rsidRPr="00A6284F">
        <w:rPr>
          <w:rFonts w:eastAsia="Times New Roman"/>
          <w:color w:val="000000"/>
          <w:sz w:val="24"/>
          <w:lang w:val="sq-AL"/>
        </w:rPr>
        <w:t xml:space="preserve">. Plani i veprimit për </w:t>
      </w:r>
      <w:proofErr w:type="spellStart"/>
      <w:r w:rsidRPr="00A6284F">
        <w:rPr>
          <w:rFonts w:eastAsia="Times New Roman"/>
          <w:color w:val="000000"/>
          <w:sz w:val="24"/>
          <w:lang w:val="sq-AL"/>
        </w:rPr>
        <w:t>ushqyeshmërinë</w:t>
      </w:r>
      <w:proofErr w:type="spellEnd"/>
      <w:r w:rsidRPr="00A6284F">
        <w:rPr>
          <w:rFonts w:eastAsia="Times New Roman"/>
          <w:color w:val="000000"/>
          <w:sz w:val="24"/>
          <w:lang w:val="sq-AL"/>
        </w:rPr>
        <w:t xml:space="preserve"> është rishikuar dhe pritet të miratohet nga qeveria.</w:t>
      </w:r>
    </w:p>
    <w:p w:rsidR="00135165" w:rsidRPr="00A6284F" w:rsidRDefault="00135165" w:rsidP="00135165">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Nuk ka progres në adresimin e </w:t>
      </w:r>
      <w:r w:rsidRPr="00A6284F">
        <w:rPr>
          <w:rFonts w:eastAsia="Times New Roman"/>
          <w:b/>
          <w:color w:val="000000"/>
          <w:sz w:val="24"/>
          <w:lang w:val="sq-AL"/>
        </w:rPr>
        <w:t>pabarazive shëndetësore</w:t>
      </w:r>
      <w:r w:rsidRPr="00A6284F">
        <w:rPr>
          <w:rFonts w:eastAsia="Times New Roman"/>
          <w:color w:val="000000"/>
          <w:sz w:val="24"/>
          <w:lang w:val="sq-AL"/>
        </w:rPr>
        <w:t xml:space="preserve">. Kosova nuk ofron sigurim universal shëndetësor dhe shpenzimet nga xhepi për shërbime shëndetësore mbeten të larta. Vlerësohet që rreth një e treta e popullsisë nuk ka qasje të lehtë në shërbime shëndetësore, ose kanë qasje </w:t>
      </w:r>
      <w:r w:rsidRPr="00A6284F">
        <w:rPr>
          <w:rFonts w:eastAsia="Times New Roman"/>
          <w:color w:val="000000"/>
          <w:sz w:val="24"/>
          <w:lang w:val="sq-AL"/>
        </w:rPr>
        <w:lastRenderedPageBreak/>
        <w:t xml:space="preserve">të kufizuar për shkak të mungesës së fondeve. Rreth 18% e popullsisë nuk kërkojnë shërbime mjekësore në rast të sëmundjeve për arsye ekonomike. Komunitetet Roma dhe Ashkali mbeten një shqetësim për sa i përket </w:t>
      </w:r>
      <w:proofErr w:type="spellStart"/>
      <w:r w:rsidRPr="00A6284F">
        <w:rPr>
          <w:rFonts w:eastAsia="Times New Roman"/>
          <w:color w:val="000000"/>
          <w:sz w:val="24"/>
          <w:lang w:val="sq-AL"/>
        </w:rPr>
        <w:t>imunizimiz</w:t>
      </w:r>
      <w:proofErr w:type="spellEnd"/>
      <w:r w:rsidRPr="00A6284F">
        <w:rPr>
          <w:rFonts w:eastAsia="Times New Roman"/>
          <w:color w:val="000000"/>
          <w:sz w:val="24"/>
          <w:lang w:val="sq-AL"/>
        </w:rPr>
        <w:t>. Shpërndarja e informacionit për shërbimet publike dhe rastet e diskriminimit nuk janë përmirësuar dhe si pasojë ka ndikim negativ në qasjen në shërbime shëndetësore.</w:t>
      </w:r>
    </w:p>
    <w:p w:rsidR="00135165" w:rsidRPr="00A6284F" w:rsidRDefault="00135165" w:rsidP="00135165">
      <w:pPr>
        <w:spacing w:before="126" w:after="104" w:line="274" w:lineRule="exact"/>
        <w:ind w:left="144"/>
        <w:textAlignment w:val="baseline"/>
        <w:rPr>
          <w:rFonts w:eastAsia="Times New Roman"/>
          <w:b/>
          <w:color w:val="000000"/>
          <w:spacing w:val="8"/>
          <w:sz w:val="24"/>
          <w:lang w:val="sq-AL"/>
        </w:rPr>
      </w:pPr>
      <w:r w:rsidRPr="00A6284F">
        <w:rPr>
          <w:rFonts w:eastAsia="Times New Roman"/>
          <w:b/>
          <w:color w:val="000000"/>
          <w:spacing w:val="8"/>
          <w:sz w:val="24"/>
          <w:lang w:val="sq-AL"/>
        </w:rPr>
        <w:t>6.13 Arsimi dhe kultura</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135165" w:rsidRPr="00A6284F" w:rsidTr="007E58F5">
        <w:trPr>
          <w:trHeight w:hRule="exact" w:val="424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135165" w:rsidRPr="00A6284F" w:rsidRDefault="00135165" w:rsidP="007E58F5">
            <w:pPr>
              <w:spacing w:before="24" w:line="275" w:lineRule="exact"/>
              <w:ind w:left="144" w:right="144"/>
              <w:textAlignment w:val="baseline"/>
              <w:rPr>
                <w:rFonts w:eastAsia="Times New Roman"/>
                <w:color w:val="000000"/>
                <w:sz w:val="24"/>
                <w:lang w:val="sq-AL"/>
              </w:rPr>
            </w:pPr>
            <w:r w:rsidRPr="00A6284F">
              <w:rPr>
                <w:rFonts w:eastAsia="Times New Roman"/>
                <w:color w:val="000000"/>
                <w:sz w:val="24"/>
                <w:lang w:val="sq-AL"/>
              </w:rPr>
              <w:t xml:space="preserve">Kosova është në </w:t>
            </w:r>
            <w:r w:rsidRPr="00A6284F">
              <w:rPr>
                <w:rFonts w:eastAsia="Times New Roman"/>
                <w:b/>
                <w:color w:val="000000"/>
                <w:sz w:val="24"/>
                <w:lang w:val="sq-AL"/>
              </w:rPr>
              <w:t>fazë të hershme</w:t>
            </w:r>
            <w:r w:rsidRPr="00A6284F">
              <w:rPr>
                <w:rFonts w:eastAsia="Times New Roman"/>
                <w:color w:val="000000"/>
                <w:sz w:val="24"/>
                <w:lang w:val="sq-AL"/>
              </w:rPr>
              <w:t xml:space="preserve"> të përgatitjes për arsimin dhe kulturën.</w:t>
            </w:r>
            <w:r w:rsidR="00264450" w:rsidRPr="00A6284F">
              <w:rPr>
                <w:rFonts w:eastAsia="Times New Roman"/>
                <w:color w:val="000000"/>
                <w:sz w:val="24"/>
                <w:lang w:val="sq-AL"/>
              </w:rPr>
              <w:t xml:space="preserve"> </w:t>
            </w:r>
            <w:r w:rsidRPr="00A6284F">
              <w:rPr>
                <w:rFonts w:eastAsia="Times New Roman"/>
                <w:color w:val="000000"/>
                <w:sz w:val="24"/>
                <w:lang w:val="sq-AL"/>
              </w:rPr>
              <w:t xml:space="preserve">Ka pasur </w:t>
            </w:r>
            <w:r w:rsidRPr="00A6284F">
              <w:rPr>
                <w:rFonts w:eastAsia="Times New Roman"/>
                <w:b/>
                <w:color w:val="000000"/>
                <w:sz w:val="24"/>
                <w:lang w:val="sq-AL"/>
              </w:rPr>
              <w:t>progres të kufizuar</w:t>
            </w:r>
            <w:r w:rsidRPr="00A6284F">
              <w:rPr>
                <w:rFonts w:eastAsia="Times New Roman"/>
                <w:color w:val="000000"/>
                <w:sz w:val="24"/>
                <w:lang w:val="sq-AL"/>
              </w:rPr>
              <w:t xml:space="preserve"> në vitin e kaluar dhe cilësia e arsimit duhet të përmirësohet dukshëm. </w:t>
            </w:r>
          </w:p>
          <w:p w:rsidR="00135165" w:rsidRPr="00A6284F" w:rsidRDefault="00135165" w:rsidP="007E58F5">
            <w:pPr>
              <w:spacing w:before="122" w:line="275" w:lineRule="exact"/>
              <w:ind w:left="144" w:right="144"/>
              <w:textAlignment w:val="baseline"/>
              <w:rPr>
                <w:rFonts w:eastAsia="Times New Roman"/>
                <w:color w:val="000000"/>
                <w:sz w:val="24"/>
                <w:lang w:val="sq-AL"/>
              </w:rPr>
            </w:pPr>
            <w:r w:rsidRPr="00A6284F">
              <w:rPr>
                <w:rFonts w:eastAsia="Times New Roman"/>
                <w:color w:val="000000"/>
                <w:sz w:val="24"/>
                <w:lang w:val="sq-AL"/>
              </w:rPr>
              <w:t>Pasi që nuk janë adresuar rekomandimet e raportit, në vitin e ardhshëm Kosova duhet, në veçanti:</w:t>
            </w:r>
          </w:p>
          <w:p w:rsidR="00135165" w:rsidRPr="00A6284F" w:rsidRDefault="00135165" w:rsidP="007E58F5">
            <w:pPr>
              <w:spacing w:before="140" w:line="275" w:lineRule="exact"/>
              <w:ind w:left="504" w:right="144" w:hanging="360"/>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ligj të ri të arsimit të lartë, i cili siguron autonominë dhe funksionim të pavarur të institucioneve të arsimit të lartë dhe mekanizma të sigurimit të cilësisë, bazuar në standardet më të mira;</w:t>
            </w:r>
          </w:p>
          <w:p w:rsidR="00135165" w:rsidRPr="00A6284F" w:rsidRDefault="00135165" w:rsidP="007E58F5">
            <w:pPr>
              <w:spacing w:before="143" w:line="275" w:lineRule="exact"/>
              <w:ind w:left="144"/>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përmirësojë qasjen në arsim cilësor për regjistrim në parashkollorë dhe grupet e </w:t>
            </w:r>
            <w:r w:rsidR="00264450" w:rsidRPr="00A6284F">
              <w:rPr>
                <w:rFonts w:eastAsia="Times New Roman"/>
                <w:color w:val="000000"/>
                <w:spacing w:val="1"/>
                <w:sz w:val="24"/>
                <w:lang w:val="sq-AL"/>
              </w:rPr>
              <w:t>cenueshme</w:t>
            </w:r>
            <w:r w:rsidRPr="00A6284F">
              <w:rPr>
                <w:rFonts w:eastAsia="Times New Roman"/>
                <w:color w:val="000000"/>
                <w:spacing w:val="1"/>
                <w:sz w:val="24"/>
                <w:lang w:val="sq-AL"/>
              </w:rPr>
              <w:t>;</w:t>
            </w:r>
          </w:p>
          <w:p w:rsidR="00135165" w:rsidRPr="00A6284F" w:rsidRDefault="00135165" w:rsidP="007E58F5">
            <w:pPr>
              <w:spacing w:before="136" w:line="275" w:lineRule="exact"/>
              <w:ind w:left="504" w:right="144" w:hanging="360"/>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finalizojë zbatimin e kornizës së re </w:t>
            </w:r>
            <w:proofErr w:type="spellStart"/>
            <w:r w:rsidRPr="00A6284F">
              <w:rPr>
                <w:rFonts w:eastAsia="Times New Roman"/>
                <w:color w:val="000000"/>
                <w:sz w:val="24"/>
                <w:lang w:val="sq-AL"/>
              </w:rPr>
              <w:t>kurrikulare</w:t>
            </w:r>
            <w:proofErr w:type="spellEnd"/>
            <w:r w:rsidRPr="00A6284F">
              <w:rPr>
                <w:rFonts w:eastAsia="Times New Roman"/>
                <w:color w:val="000000"/>
                <w:sz w:val="24"/>
                <w:lang w:val="sq-AL"/>
              </w:rPr>
              <w:t xml:space="preserve"> për arsimin primar dhe sekondar;</w:t>
            </w:r>
          </w:p>
          <w:p w:rsidR="00135165" w:rsidRPr="00A6284F" w:rsidRDefault="00135165" w:rsidP="007E58F5">
            <w:pPr>
              <w:spacing w:before="134" w:line="274" w:lineRule="exact"/>
              <w:ind w:left="144"/>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të rrisë ofrimin e arsimit dhe aftësimit profesional për profesionet në kërkesë.</w:t>
            </w:r>
          </w:p>
        </w:tc>
      </w:tr>
    </w:tbl>
    <w:p w:rsidR="00135165" w:rsidRPr="00A6284F" w:rsidRDefault="00135165" w:rsidP="00135165">
      <w:pPr>
        <w:spacing w:after="102" w:line="20" w:lineRule="exact"/>
        <w:rPr>
          <w:lang w:val="sq-AL"/>
        </w:rPr>
      </w:pPr>
    </w:p>
    <w:p w:rsidR="00135165" w:rsidRPr="00A6284F" w:rsidRDefault="00135165" w:rsidP="00135165">
      <w:pPr>
        <w:spacing w:line="274"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sa i përket </w:t>
      </w:r>
      <w:r w:rsidRPr="00A6284F">
        <w:rPr>
          <w:rFonts w:eastAsia="Times New Roman"/>
          <w:b/>
          <w:color w:val="000000"/>
          <w:sz w:val="24"/>
          <w:lang w:val="sq-AL"/>
        </w:rPr>
        <w:t>arsimit dhe aftësimit</w:t>
      </w:r>
      <w:r w:rsidRPr="00A6284F">
        <w:rPr>
          <w:rFonts w:eastAsia="Times New Roman"/>
          <w:color w:val="000000"/>
          <w:sz w:val="24"/>
          <w:lang w:val="sq-AL"/>
        </w:rPr>
        <w:t xml:space="preserve">, niveli i shpenzimeve publike në arsim (4.7% të BPV-së) duhet të menaxhohet në mënyrë më efikase për të ofruar arsim cilësor për një numër konsiderueshëm të madh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rinjve.</w:t>
      </w:r>
    </w:p>
    <w:p w:rsidR="00135165" w:rsidRPr="00A6284F" w:rsidRDefault="00135165" w:rsidP="00135165">
      <w:pPr>
        <w:spacing w:before="133"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Normat e regjistrimit në </w:t>
      </w:r>
      <w:r w:rsidRPr="00A6284F">
        <w:rPr>
          <w:rFonts w:eastAsia="Times New Roman"/>
          <w:b/>
          <w:color w:val="000000"/>
          <w:sz w:val="24"/>
          <w:lang w:val="sq-AL"/>
        </w:rPr>
        <w:t>arsimin fillor dhe të mesëm të ulët</w:t>
      </w:r>
      <w:r w:rsidRPr="00A6284F">
        <w:rPr>
          <w:rFonts w:eastAsia="Times New Roman"/>
          <w:color w:val="000000"/>
          <w:sz w:val="24"/>
          <w:lang w:val="sq-AL"/>
        </w:rPr>
        <w:t xml:space="preserve"> janë gati universale (95.6%) dhe regjistrimet në arsim të mesëm të lartë qëndrojnë tek 85%.Numri i fëmijëve në mosha 0-5 vjeç që ndjekin institucione të licencuara </w:t>
      </w:r>
      <w:r w:rsidRPr="00A6284F">
        <w:rPr>
          <w:rFonts w:eastAsia="Times New Roman"/>
          <w:b/>
          <w:color w:val="000000"/>
          <w:sz w:val="24"/>
          <w:lang w:val="sq-AL"/>
        </w:rPr>
        <w:t>parashkollore</w:t>
      </w:r>
      <w:r w:rsidRPr="00A6284F">
        <w:rPr>
          <w:rFonts w:eastAsia="Times New Roman"/>
          <w:color w:val="000000"/>
          <w:sz w:val="24"/>
          <w:lang w:val="sq-AL"/>
        </w:rPr>
        <w:t xml:space="preserve"> mbetet mjaft i ulët (4.9%), rreth 19.1% janë të regjistruar në nivelin parashkollorë dhe </w:t>
      </w:r>
      <w:proofErr w:type="spellStart"/>
      <w:r w:rsidRPr="00A6284F">
        <w:rPr>
          <w:rFonts w:eastAsia="Times New Roman"/>
          <w:color w:val="000000"/>
          <w:sz w:val="24"/>
          <w:lang w:val="sq-AL"/>
        </w:rPr>
        <w:t>parafillorë</w:t>
      </w:r>
      <w:proofErr w:type="spellEnd"/>
      <w:r w:rsidRPr="00A6284F">
        <w:rPr>
          <w:rFonts w:eastAsia="Times New Roman"/>
          <w:color w:val="000000"/>
          <w:sz w:val="24"/>
          <w:lang w:val="sq-AL"/>
        </w:rPr>
        <w:t xml:space="preserve"> (0-6 vjeç), ndërsa 92.4% janë të regjistruar në nivelin </w:t>
      </w:r>
      <w:proofErr w:type="spellStart"/>
      <w:r w:rsidRPr="00A6284F">
        <w:rPr>
          <w:rFonts w:eastAsia="Times New Roman"/>
          <w:color w:val="000000"/>
          <w:sz w:val="24"/>
          <w:lang w:val="sq-AL"/>
        </w:rPr>
        <w:t>parafillor</w:t>
      </w:r>
      <w:proofErr w:type="spellEnd"/>
      <w:r w:rsidRPr="00A6284F">
        <w:rPr>
          <w:rFonts w:eastAsia="Times New Roman"/>
          <w:color w:val="000000"/>
          <w:sz w:val="24"/>
          <w:lang w:val="sq-AL"/>
        </w:rPr>
        <w:t xml:space="preserve"> (5-6 vjeç). Kosova ka vazhduar të investoj në mjediset publike për kujdesin e fëmijëve mirëpo shkalla e regjistrimit nuk është rritur. Shumë fëmijë janë regjistruar në qendra private të kujdesit, përfshirë institucionet private parashkollore, në veçanti në kryeqytet. Shkalla e regjistrimit ende mbetet shumë e ulët në krahasim me objektivat e vitit 2020 për arsim dhe aftësim prej 95%. Të dhënat e ofruara deri më tani nga institucionet nuk janë të besueshme, nuk janë lehtësisht të qasshme dhe nuk përfshijnë një numër të madh të institucioneve private parashkollore. Përqindja e studentëve në </w:t>
      </w:r>
      <w:r w:rsidRPr="00A6284F">
        <w:rPr>
          <w:rFonts w:eastAsia="Times New Roman"/>
          <w:b/>
          <w:color w:val="000000"/>
          <w:sz w:val="24"/>
          <w:lang w:val="sq-AL"/>
        </w:rPr>
        <w:t xml:space="preserve">arsimin e lartë </w:t>
      </w:r>
      <w:r w:rsidRPr="00A6284F">
        <w:rPr>
          <w:rFonts w:eastAsia="Times New Roman"/>
          <w:color w:val="000000"/>
          <w:sz w:val="24"/>
          <w:lang w:val="sq-AL"/>
        </w:rPr>
        <w:t>është pothuajse dyfishi i mesatares së BE-së. Sidoqoftë, shkalla e diplomimit është e ulët. Papunësia në mesin e të diplomuarve universitar mbetet ende relativisht e lartë, megjithëse ka rënë më shumë se 20% në tremujorin e fundit të vitit 2018, që pasqyron mospërputhjet mes programeve të arsimit të lartë dhe nevojave të tregut të punës. Agjencia e Akreditimit për arsim të lartë merr parasysh standardet dhe udhëzimet evropiane të vitit 2015 si dhe aty i bazon politikat e saj të brendshme.</w:t>
      </w:r>
    </w:p>
    <w:p w:rsidR="00135165" w:rsidRPr="00A6284F" w:rsidRDefault="00135165" w:rsidP="00135165">
      <w:pPr>
        <w:spacing w:before="129"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janar të vitit 2018, Kuvendi i Kosovës ka udhëzuar Ministrinë e Arsimit të ndërmerr të gjitha masat e nevojshme për </w:t>
      </w:r>
      <w:proofErr w:type="spellStart"/>
      <w:r w:rsidRPr="00A6284F">
        <w:rPr>
          <w:rFonts w:eastAsia="Times New Roman"/>
          <w:color w:val="000000"/>
          <w:sz w:val="24"/>
          <w:lang w:val="sq-AL"/>
        </w:rPr>
        <w:t>ripranimin</w:t>
      </w:r>
      <w:proofErr w:type="spellEnd"/>
      <w:r w:rsidRPr="00A6284F">
        <w:rPr>
          <w:rFonts w:eastAsia="Times New Roman"/>
          <w:color w:val="000000"/>
          <w:sz w:val="24"/>
          <w:lang w:val="sq-AL"/>
        </w:rPr>
        <w:t xml:space="preserve"> e Agjencisë në Regjistrin Evropian të Sigurimit të Cilësisë për Arsim të Lartë prej të cilës është përjashtuar që nga shtatori i vitit 2017 për shkak të ndërhyrjeve politike. Në qershor të vitit 2018, Ministri i Arsimit ka emëruar një bord të ri të Agjencisë, pas hapjes së një konkursi dhe miratimit nga Kuvendi. Progresi për sigurimin e </w:t>
      </w:r>
      <w:proofErr w:type="spellStart"/>
      <w:r w:rsidRPr="00A6284F">
        <w:rPr>
          <w:rFonts w:eastAsia="Times New Roman"/>
          <w:color w:val="000000"/>
          <w:sz w:val="24"/>
          <w:lang w:val="sq-AL"/>
        </w:rPr>
        <w:t>ripranimit</w:t>
      </w:r>
      <w:proofErr w:type="spellEnd"/>
      <w:r w:rsidRPr="00A6284F">
        <w:rPr>
          <w:rFonts w:eastAsia="Times New Roman"/>
          <w:color w:val="000000"/>
          <w:sz w:val="24"/>
          <w:lang w:val="sq-AL"/>
        </w:rPr>
        <w:t xml:space="preserve"> të Agjencisë në Regjistrin Evropian të Sigurimit të Cilësisë për Arsim të Lartë është planifikuar të adresohet në gjysmën e parë të vitit 2019.</w:t>
      </w:r>
    </w:p>
    <w:p w:rsidR="00E0616C" w:rsidRPr="00A6284F" w:rsidRDefault="00135165" w:rsidP="00135165">
      <w:pPr>
        <w:spacing w:before="126"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Korniza </w:t>
      </w:r>
      <w:r w:rsidR="00DF39DC" w:rsidRPr="00A6284F">
        <w:rPr>
          <w:rFonts w:eastAsia="Times New Roman"/>
          <w:color w:val="000000"/>
          <w:sz w:val="24"/>
          <w:lang w:val="sq-AL"/>
        </w:rPr>
        <w:t>Kombëtare</w:t>
      </w:r>
      <w:r w:rsidRPr="00A6284F">
        <w:rPr>
          <w:rFonts w:eastAsia="Times New Roman"/>
          <w:color w:val="000000"/>
          <w:sz w:val="24"/>
          <w:lang w:val="sq-AL"/>
        </w:rPr>
        <w:t xml:space="preserve"> e Kualifikimeve bazohet në Kornizën Evropiane të Kualifikimeve. Arsimi (veçanërisht arsimi i lartë) mbetet sektor me rrezikshmëri të lartë për korrupsion dhe ndikim </w:t>
      </w:r>
      <w:r w:rsidRPr="00A6284F">
        <w:rPr>
          <w:rFonts w:eastAsia="Times New Roman"/>
          <w:color w:val="000000"/>
          <w:sz w:val="24"/>
          <w:lang w:val="sq-AL"/>
        </w:rPr>
        <w:lastRenderedPageBreak/>
        <w:t xml:space="preserve">politik. Media dhe organizatat e shoqërisë civile vazhdimisht i ekspozojnë rastet e plagjiaturave dhe promovimeve akademike bazuar në ndikimin politik dhe nepotizmin në vend të meritave, shpesh duke përfshirë profesorët që janë në pozita të larta drejtuese. Mungesa e transparencës në rekrutimin e mësuesve dhe stafit </w:t>
      </w:r>
      <w:proofErr w:type="spellStart"/>
      <w:r w:rsidRPr="00A6284F">
        <w:rPr>
          <w:rFonts w:eastAsia="Times New Roman"/>
          <w:color w:val="000000"/>
          <w:sz w:val="24"/>
          <w:lang w:val="sq-AL"/>
        </w:rPr>
        <w:t>menaxhues</w:t>
      </w:r>
      <w:proofErr w:type="spellEnd"/>
      <w:r w:rsidRPr="00A6284F">
        <w:rPr>
          <w:rFonts w:eastAsia="Times New Roman"/>
          <w:color w:val="000000"/>
          <w:sz w:val="24"/>
          <w:lang w:val="sq-AL"/>
        </w:rPr>
        <w:t xml:space="preserve"> mbetet problem në të gjitha institucionet arsimore</w:t>
      </w:r>
      <w:r w:rsidR="009E4C9A" w:rsidRPr="00A6284F">
        <w:rPr>
          <w:rFonts w:eastAsia="Times New Roman"/>
          <w:color w:val="000000"/>
          <w:sz w:val="24"/>
          <w:lang w:val="sq-AL"/>
        </w:rPr>
        <w:t>.</w:t>
      </w:r>
    </w:p>
    <w:p w:rsidR="00DF39DC" w:rsidRPr="00A6284F" w:rsidRDefault="00DF39DC" w:rsidP="00AE7BB1">
      <w:pPr>
        <w:spacing w:before="18" w:line="276" w:lineRule="exact"/>
        <w:ind w:left="144" w:right="144"/>
        <w:jc w:val="both"/>
        <w:textAlignment w:val="baseline"/>
        <w:rPr>
          <w:rFonts w:eastAsia="Times New Roman"/>
          <w:color w:val="000000"/>
          <w:sz w:val="24"/>
          <w:lang w:val="sq-AL"/>
        </w:rPr>
      </w:pPr>
    </w:p>
    <w:p w:rsidR="00AE7BB1" w:rsidRPr="00A6284F" w:rsidRDefault="00AE7BB1" w:rsidP="00AE7BB1">
      <w:pPr>
        <w:spacing w:before="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Qeveria ka miratuar projektligjin mbi arsimin e lartë i cili duhet të miratohet nga Kuvendi. Ligji për Inspektoratin e Arsimit u miratua në korrik të vitit 2018. Lidhur me përmbushjen e objektivave të Planit Strategjik të Arsimit të Kosovës 2017-2021 nuk është bërë progres i mjaftueshëm dhe qeveria ndau vetëm gjysmën e resurseve të nevojshme për zbatimin e tij. Një rishikim funksional identifikoi problemet në strukturën dhe kapacitetet e Ministrisë së Arsimit të cilat e pengojnë atë të zhvillohet edhe më tej me reformat e shumta që nevojiten. Struktura e re organizative është miratuar, por zbatimi i saj ende nuk është kryer.</w:t>
      </w:r>
    </w:p>
    <w:p w:rsidR="00AE7BB1" w:rsidRPr="00A6284F" w:rsidRDefault="00AE7BB1" w:rsidP="00AE7BB1">
      <w:pPr>
        <w:spacing w:before="126"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Qeveria duhet të </w:t>
      </w:r>
      <w:proofErr w:type="spellStart"/>
      <w:r w:rsidRPr="00A6284F">
        <w:rPr>
          <w:rFonts w:eastAsia="Times New Roman"/>
          <w:color w:val="000000"/>
          <w:sz w:val="24"/>
          <w:lang w:val="sq-AL"/>
        </w:rPr>
        <w:t>implementojë</w:t>
      </w:r>
      <w:proofErr w:type="spellEnd"/>
      <w:r w:rsidRPr="00A6284F">
        <w:rPr>
          <w:rFonts w:eastAsia="Times New Roman"/>
          <w:color w:val="000000"/>
          <w:sz w:val="24"/>
          <w:lang w:val="sq-AL"/>
        </w:rPr>
        <w:t xml:space="preserve"> strategjinë për sigurimin e cilësisë si dhe të krijojë mekanizmat e sigurimit të cilësisë në nivel komunal. Implementimi i reformës </w:t>
      </w:r>
      <w:proofErr w:type="spellStart"/>
      <w:r w:rsidRPr="00A6284F">
        <w:rPr>
          <w:rFonts w:eastAsia="Times New Roman"/>
          <w:color w:val="000000"/>
          <w:sz w:val="24"/>
          <w:lang w:val="sq-AL"/>
        </w:rPr>
        <w:t>kurrikulare</w:t>
      </w:r>
      <w:proofErr w:type="spellEnd"/>
      <w:r w:rsidRPr="00A6284F">
        <w:rPr>
          <w:rFonts w:eastAsia="Times New Roman"/>
          <w:color w:val="000000"/>
          <w:sz w:val="24"/>
          <w:lang w:val="sq-AL"/>
        </w:rPr>
        <w:t xml:space="preserve"> dëmtohet nga mungesa e stafit mësimdhënës të kualifikuar, materialeve dhe mjeteve mësimore, si dhe një sistemi të pazhvilluar të vlerësimit të nxënësve. Kosova duhet të forcojë sistemin e tyre të trajnimit me qëllim të përmirësimit të cilësisë së arsimit para dhe gjatë shërbimit. Cilësia e arsimit vazhdon të jetë sfidë në të gjitha nivelet.</w:t>
      </w:r>
    </w:p>
    <w:p w:rsidR="00AE7BB1" w:rsidRPr="00A6284F" w:rsidRDefault="00AE7BB1" w:rsidP="00AE7BB1">
      <w:pPr>
        <w:spacing w:before="126"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Rreth gjysma e të gjithë nxënësve në shkollimin e mesëm të lartë zgjedhin </w:t>
      </w:r>
      <w:r w:rsidRPr="00A6284F">
        <w:rPr>
          <w:rFonts w:eastAsia="Times New Roman"/>
          <w:b/>
          <w:color w:val="000000"/>
          <w:sz w:val="24"/>
          <w:lang w:val="sq-AL"/>
        </w:rPr>
        <w:t>arsimin profesional</w:t>
      </w:r>
      <w:r w:rsidRPr="00A6284F">
        <w:rPr>
          <w:rFonts w:eastAsia="Times New Roman"/>
          <w:color w:val="000000"/>
          <w:sz w:val="24"/>
          <w:lang w:val="sq-AL"/>
        </w:rPr>
        <w:t>. Programet e arsimit dhe aftësimit profesional (AAP) nuk kanë kurse praktike dhe aplikative, ku vetëm disa janë akredituar nga Autoriteti Shtetëror i Kualifikimeve. Përgjithësisht, lidhja me tregun e punës mbetet e dobët. Kosova duhet të rrisë cilësinë e programeve AAP bashkë me kualifikimet duke zhvilluar profile të reja që përputhen me nevojat e tregut të punës dhe përfshihen në sektorin privat.</w:t>
      </w:r>
    </w:p>
    <w:p w:rsidR="00AE7BB1" w:rsidRPr="00A6284F" w:rsidRDefault="00AE7BB1" w:rsidP="00AE7BB1">
      <w:pPr>
        <w:spacing w:before="124"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Kërkohen më shumë përpjekje për të ofruar qasje në arsim cilësor për fëmijët me aftësi të kufizuara. Grupi (</w:t>
      </w:r>
      <w:proofErr w:type="spellStart"/>
      <w:r w:rsidRPr="00A6284F">
        <w:rPr>
          <w:rFonts w:eastAsia="Times New Roman"/>
          <w:color w:val="000000"/>
          <w:sz w:val="24"/>
          <w:lang w:val="sq-AL"/>
        </w:rPr>
        <w:t>kohorti</w:t>
      </w:r>
      <w:proofErr w:type="spellEnd"/>
      <w:r w:rsidRPr="00A6284F">
        <w:rPr>
          <w:rFonts w:eastAsia="Times New Roman"/>
          <w:color w:val="000000"/>
          <w:sz w:val="24"/>
          <w:lang w:val="sq-AL"/>
        </w:rPr>
        <w:t>) i parë i përbërë nga 54 asistentë për fëmijë/studentë me nevoja të veçanta kanë diplomuar në qershor të vitit 2018. Aktualisht janë vetëm 83 mësues ndihmës për fëmijët me aftësi të kufizuara; ata angazhohen dhe paguhen nga familjet, në vend se kjo të bëhej nga sistemi arsimor.</w:t>
      </w:r>
    </w:p>
    <w:p w:rsidR="00AE7BB1" w:rsidRPr="00A6284F" w:rsidRDefault="00AE7BB1" w:rsidP="00AE7BB1">
      <w:pPr>
        <w:spacing w:before="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Gjithashtu, duhen marrë masa për të adresuar shkallën e lartë të braktisjes së shkollave nga fëmijët romë dhe </w:t>
      </w:r>
      <w:proofErr w:type="spellStart"/>
      <w:r w:rsidRPr="00A6284F">
        <w:rPr>
          <w:rFonts w:eastAsia="Times New Roman"/>
          <w:color w:val="000000"/>
          <w:sz w:val="24"/>
          <w:lang w:val="sq-AL"/>
        </w:rPr>
        <w:t>ashkalinj</w:t>
      </w:r>
      <w:proofErr w:type="spellEnd"/>
      <w:r w:rsidRPr="00A6284F">
        <w:rPr>
          <w:rFonts w:eastAsia="Times New Roman"/>
          <w:color w:val="000000"/>
          <w:sz w:val="24"/>
          <w:lang w:val="sq-AL"/>
        </w:rPr>
        <w:t>, duke përfshirë mbështetjen dhe lehtësimin e punës së Qendrave Mësimore.</w:t>
      </w:r>
    </w:p>
    <w:p w:rsidR="00AE7BB1" w:rsidRPr="00A6284F" w:rsidRDefault="00AE7BB1" w:rsidP="00AE7BB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Që nga janari i vitit 2018, Kosovës i është mundësuar pjesëmarrja në të gjithë aktivitetet e Programit </w:t>
      </w:r>
      <w:proofErr w:type="spellStart"/>
      <w:r w:rsidRPr="00A6284F">
        <w:rPr>
          <w:rFonts w:eastAsia="Times New Roman"/>
          <w:color w:val="000000"/>
          <w:sz w:val="24"/>
          <w:lang w:val="sq-AL"/>
        </w:rPr>
        <w:t>Erasmus</w:t>
      </w:r>
      <w:proofErr w:type="spellEnd"/>
      <w:r w:rsidRPr="00A6284F">
        <w:rPr>
          <w:rFonts w:eastAsia="Times New Roman"/>
          <w:color w:val="000000"/>
          <w:sz w:val="24"/>
          <w:lang w:val="sq-AL"/>
        </w:rPr>
        <w:t xml:space="preserve"> +, si dhe bashkimi në platforma e rrjete. Që nga viti 2015, gati 2000 studentë dhe staf janë përfshirë në shkëmbime. Institucionet nga Kosova kanë marrë pjesë në 20 projekte për ngritjen e kapaciteteve në fushën e arsimit të lartë, katër prej tyre si partnerë koordinues.</w:t>
      </w:r>
    </w:p>
    <w:p w:rsidR="00AE7BB1" w:rsidRPr="00A6284F" w:rsidRDefault="00AE7BB1" w:rsidP="00AE7BB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Kosova</w:t>
      </w:r>
      <w:r w:rsidR="006724C9" w:rsidRPr="00A6284F">
        <w:rPr>
          <w:rFonts w:eastAsia="Times New Roman"/>
          <w:color w:val="000000"/>
          <w:spacing w:val="1"/>
          <w:sz w:val="24"/>
          <w:lang w:val="sq-AL"/>
        </w:rPr>
        <w:t xml:space="preserve"> </w:t>
      </w:r>
      <w:r w:rsidRPr="00A6284F">
        <w:rPr>
          <w:rFonts w:eastAsia="Times New Roman"/>
          <w:color w:val="000000"/>
          <w:spacing w:val="1"/>
          <w:sz w:val="24"/>
          <w:lang w:val="sq-AL"/>
        </w:rPr>
        <w:t>ka marrë pjesë në OECD PISA në vitin 2018, rezultatet e të cilit do të botohen në dhjetor të vitit 2019. Kosova</w:t>
      </w:r>
      <w:r w:rsidR="006724C9" w:rsidRPr="00A6284F">
        <w:rPr>
          <w:rFonts w:eastAsia="Times New Roman"/>
          <w:color w:val="000000"/>
          <w:spacing w:val="1"/>
          <w:sz w:val="24"/>
          <w:lang w:val="sq-AL"/>
        </w:rPr>
        <w:t xml:space="preserve"> </w:t>
      </w:r>
      <w:r w:rsidRPr="00A6284F">
        <w:rPr>
          <w:rFonts w:eastAsia="Times New Roman"/>
          <w:color w:val="000000"/>
          <w:spacing w:val="1"/>
          <w:sz w:val="24"/>
          <w:lang w:val="sq-AL"/>
        </w:rPr>
        <w:t>do të marrë pjesë gjithashtu në vlerësimet ndërkombëtare Trendët në Studimin Ndërkombëtar të matematikës dhe shkencës 2019 dhe Progresi në Studimin Ndërkombëtar për Shkrim dhe Lexim 2021.</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kultura</w:t>
      </w:r>
      <w:r w:rsidRPr="00A6284F">
        <w:rPr>
          <w:rFonts w:eastAsia="Times New Roman"/>
          <w:color w:val="000000"/>
          <w:sz w:val="24"/>
          <w:lang w:val="sq-AL"/>
        </w:rPr>
        <w:t>, Kosova duhet të vazhdojë punën për</w:t>
      </w:r>
      <w:r w:rsidR="006724C9" w:rsidRPr="00A6284F">
        <w:rPr>
          <w:rFonts w:eastAsia="Times New Roman"/>
          <w:color w:val="000000"/>
          <w:sz w:val="24"/>
          <w:lang w:val="sq-AL"/>
        </w:rPr>
        <w:t xml:space="preserve"> </w:t>
      </w:r>
      <w:r w:rsidRPr="00A6284F">
        <w:rPr>
          <w:rFonts w:eastAsia="Times New Roman"/>
          <w:color w:val="000000"/>
          <w:sz w:val="24"/>
          <w:lang w:val="sq-AL"/>
        </w:rPr>
        <w:t>të arritur standardet e Konventës</w:t>
      </w:r>
      <w:r w:rsidR="006724C9" w:rsidRPr="00A6284F">
        <w:rPr>
          <w:rFonts w:eastAsia="Times New Roman"/>
          <w:color w:val="000000"/>
          <w:sz w:val="24"/>
          <w:lang w:val="sq-AL"/>
        </w:rPr>
        <w:t xml:space="preserve"> </w:t>
      </w:r>
      <w:r w:rsidRPr="00A6284F">
        <w:rPr>
          <w:rFonts w:eastAsia="Times New Roman"/>
          <w:color w:val="000000"/>
          <w:sz w:val="24"/>
          <w:lang w:val="sq-AL"/>
        </w:rPr>
        <w:t xml:space="preserve">së UNESCO-s të vitit 2005 për Mbrojtjen dhe Promovimin e </w:t>
      </w:r>
      <w:proofErr w:type="spellStart"/>
      <w:r w:rsidRPr="00A6284F">
        <w:rPr>
          <w:rFonts w:eastAsia="Times New Roman"/>
          <w:color w:val="000000"/>
          <w:sz w:val="24"/>
          <w:lang w:val="sq-AL"/>
        </w:rPr>
        <w:t>Diversitetit</w:t>
      </w:r>
      <w:proofErr w:type="spellEnd"/>
      <w:r w:rsidRPr="00A6284F">
        <w:rPr>
          <w:rFonts w:eastAsia="Times New Roman"/>
          <w:color w:val="000000"/>
          <w:sz w:val="24"/>
          <w:lang w:val="sq-AL"/>
        </w:rPr>
        <w:t xml:space="preserve"> të Shprehjeve Kulturore, si dhe të krijojë një vazhdimësi të praktikave të mira. Në vitin 2018, Kosova iu bashkua Evropës Kreative si partner në nën-programin e kulturës.</w:t>
      </w:r>
    </w:p>
    <w:p w:rsidR="00AE7BB1" w:rsidRPr="00A6284F" w:rsidRDefault="00AE7BB1" w:rsidP="00AE7BB1">
      <w:pPr>
        <w:spacing w:before="116" w:line="278"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rinia</w:t>
      </w:r>
      <w:r w:rsidRPr="00A6284F">
        <w:rPr>
          <w:rFonts w:eastAsia="Times New Roman"/>
          <w:color w:val="000000"/>
          <w:sz w:val="24"/>
          <w:lang w:val="sq-AL"/>
        </w:rPr>
        <w:t>, dega lokale e Zyrës Rajonale të Bashkëpunimit (RYCO) vazhdon punën e saj dhe ka marrë pjesë ose ka organizuar më shumë se 30 ngjarje në vitin 2018.</w:t>
      </w:r>
    </w:p>
    <w:p w:rsidR="00AE7BB1" w:rsidRPr="00A6284F" w:rsidRDefault="00AE7BB1" w:rsidP="00AE7BB1">
      <w:pPr>
        <w:spacing w:before="116" w:line="278"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herë të parë Kosova ka marrë pjesë në Javën evropiane të </w:t>
      </w:r>
      <w:r w:rsidRPr="00A6284F">
        <w:rPr>
          <w:rFonts w:eastAsia="Times New Roman"/>
          <w:b/>
          <w:color w:val="000000"/>
          <w:sz w:val="24"/>
          <w:lang w:val="sq-AL"/>
        </w:rPr>
        <w:t>Sporteve</w:t>
      </w:r>
      <w:r w:rsidR="006724C9" w:rsidRPr="00A6284F">
        <w:rPr>
          <w:rFonts w:eastAsia="Times New Roman"/>
          <w:b/>
          <w:color w:val="000000"/>
          <w:sz w:val="24"/>
          <w:lang w:val="sq-AL"/>
        </w:rPr>
        <w:t xml:space="preserve"> </w:t>
      </w:r>
      <w:r w:rsidRPr="00A6284F">
        <w:rPr>
          <w:rFonts w:eastAsia="Times New Roman"/>
          <w:color w:val="000000"/>
          <w:sz w:val="24"/>
          <w:lang w:val="sq-AL"/>
        </w:rPr>
        <w:t>duke organizuar një numër të madh të aktiviteteve sportive.</w:t>
      </w:r>
    </w:p>
    <w:tbl>
      <w:tblPr>
        <w:tblpPr w:leftFromText="180" w:rightFromText="180" w:vertAnchor="page" w:horzAnchor="margin" w:tblpY="2021"/>
        <w:tblW w:w="0" w:type="auto"/>
        <w:tblLayout w:type="fixed"/>
        <w:tblCellMar>
          <w:left w:w="0" w:type="dxa"/>
          <w:right w:w="0" w:type="dxa"/>
        </w:tblCellMar>
        <w:tblLook w:val="0000" w:firstRow="0" w:lastRow="0" w:firstColumn="0" w:lastColumn="0" w:noHBand="0" w:noVBand="0"/>
      </w:tblPr>
      <w:tblGrid>
        <w:gridCol w:w="9360"/>
      </w:tblGrid>
      <w:tr w:rsidR="006724C9" w:rsidRPr="00A6284F" w:rsidTr="001815AC">
        <w:trPr>
          <w:trHeight w:hRule="exact" w:val="327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6724C9" w:rsidRPr="00A6284F" w:rsidRDefault="006724C9" w:rsidP="006724C9">
            <w:pPr>
              <w:spacing w:before="37" w:line="276" w:lineRule="exact"/>
              <w:ind w:left="144"/>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në </w:t>
            </w:r>
            <w:r w:rsidRPr="00A6284F">
              <w:rPr>
                <w:rFonts w:eastAsia="Times New Roman"/>
                <w:b/>
                <w:color w:val="000000"/>
                <w:sz w:val="24"/>
                <w:lang w:val="sq-AL"/>
              </w:rPr>
              <w:t>fazë të hershme të përgatitje</w:t>
            </w:r>
            <w:r w:rsidR="001815AC" w:rsidRPr="00A6284F">
              <w:rPr>
                <w:rFonts w:eastAsia="Times New Roman"/>
                <w:b/>
                <w:color w:val="000000"/>
                <w:sz w:val="24"/>
                <w:lang w:val="sq-AL"/>
              </w:rPr>
              <w:t xml:space="preserve">ve </w:t>
            </w:r>
            <w:r w:rsidRPr="00A6284F">
              <w:rPr>
                <w:rFonts w:eastAsia="Times New Roman"/>
                <w:color w:val="000000"/>
                <w:sz w:val="24"/>
                <w:lang w:val="sq-AL"/>
              </w:rPr>
              <w:t>për shkencë dhe hulumtime. Në fushën e inovacioneve është arritur progres i kufizuar.</w:t>
            </w:r>
          </w:p>
          <w:p w:rsidR="006724C9" w:rsidRPr="00A6284F" w:rsidRDefault="001815AC" w:rsidP="006724C9">
            <w:pPr>
              <w:spacing w:before="37" w:line="276" w:lineRule="exact"/>
              <w:ind w:left="144"/>
              <w:textAlignment w:val="baseline"/>
              <w:rPr>
                <w:rFonts w:eastAsia="Times New Roman"/>
                <w:color w:val="000000"/>
                <w:sz w:val="24"/>
                <w:lang w:val="sq-AL"/>
              </w:rPr>
            </w:pPr>
            <w:r w:rsidRPr="00A6284F">
              <w:rPr>
                <w:rFonts w:eastAsia="Times New Roman"/>
                <w:color w:val="000000"/>
                <w:sz w:val="24"/>
                <w:lang w:val="sq-AL"/>
              </w:rPr>
              <w:t>Gjatë</w:t>
            </w:r>
            <w:r w:rsidR="006724C9" w:rsidRPr="00A6284F">
              <w:rPr>
                <w:rFonts w:eastAsia="Times New Roman"/>
                <w:color w:val="000000"/>
                <w:sz w:val="24"/>
                <w:lang w:val="sq-AL"/>
              </w:rPr>
              <w:t xml:space="preserve"> viti</w:t>
            </w:r>
            <w:r w:rsidRPr="00A6284F">
              <w:rPr>
                <w:rFonts w:eastAsia="Times New Roman"/>
                <w:color w:val="000000"/>
                <w:sz w:val="24"/>
                <w:lang w:val="sq-AL"/>
              </w:rPr>
              <w:t>t</w:t>
            </w:r>
            <w:r w:rsidR="006724C9" w:rsidRPr="00A6284F">
              <w:rPr>
                <w:rFonts w:eastAsia="Times New Roman"/>
                <w:color w:val="000000"/>
                <w:sz w:val="24"/>
                <w:lang w:val="sq-AL"/>
              </w:rPr>
              <w:t xml:space="preserve"> vijues, Kosova duhet që </w:t>
            </w:r>
            <w:r w:rsidR="00D327DA" w:rsidRPr="00A6284F">
              <w:rPr>
                <w:rFonts w:eastAsia="Times New Roman"/>
                <w:color w:val="000000"/>
                <w:sz w:val="24"/>
                <w:lang w:val="sq-AL"/>
              </w:rPr>
              <w:t>posaçërisht:</w:t>
            </w:r>
          </w:p>
          <w:p w:rsidR="006724C9" w:rsidRPr="00A6284F" w:rsidRDefault="006724C9" w:rsidP="001815AC">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sigurojë shpenzime më të larta qeveritare në hulumtime dhe të përpiqet të nxisë investimet nga sektori privat duke përfunduar Strategjinë e specializimit të mençur;</w:t>
            </w:r>
          </w:p>
          <w:p w:rsidR="006724C9" w:rsidRPr="00A6284F" w:rsidRDefault="006724C9" w:rsidP="001815AC">
            <w:pPr>
              <w:spacing w:before="146" w:line="271" w:lineRule="exact"/>
              <w:ind w:left="144"/>
              <w:jc w:val="both"/>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fokusojë përpjekjet për rritjen e pjesëmarrjes në Programin e BE-së </w:t>
            </w:r>
            <w:r w:rsidR="001815AC" w:rsidRPr="00A6284F">
              <w:rPr>
                <w:rFonts w:eastAsia="Times New Roman"/>
                <w:color w:val="000000"/>
                <w:spacing w:val="1"/>
                <w:sz w:val="24"/>
                <w:lang w:val="sq-AL"/>
              </w:rPr>
              <w:t>Horizonti</w:t>
            </w:r>
            <w:r w:rsidRPr="00A6284F">
              <w:rPr>
                <w:rFonts w:eastAsia="Times New Roman"/>
                <w:color w:val="000000"/>
                <w:spacing w:val="1"/>
                <w:sz w:val="24"/>
                <w:lang w:val="sq-AL"/>
              </w:rPr>
              <w:t xml:space="preserve"> 2020;</w:t>
            </w:r>
          </w:p>
          <w:p w:rsidR="006724C9" w:rsidRPr="00A6284F" w:rsidRDefault="006724C9" w:rsidP="001815AC">
            <w:pPr>
              <w:spacing w:before="135" w:after="11"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sigurojë të dhëna statistikore për numrat e hulumtuesve, përqindjen e BPV-së së shpenzuar në hulumtime dhe inovacion, dhe performancën që lidhet me prioritetet e Zonës Evropiane të Kërkimeve.</w:t>
            </w:r>
          </w:p>
        </w:tc>
      </w:tr>
    </w:tbl>
    <w:p w:rsidR="00AE7BB1" w:rsidRPr="00A6284F" w:rsidRDefault="00AE7BB1" w:rsidP="00AE7BB1">
      <w:pPr>
        <w:spacing w:before="126" w:after="111" w:line="272" w:lineRule="exact"/>
        <w:ind w:left="144"/>
        <w:textAlignment w:val="baseline"/>
        <w:rPr>
          <w:rFonts w:eastAsia="Times New Roman"/>
          <w:b/>
          <w:color w:val="000000"/>
          <w:spacing w:val="8"/>
          <w:sz w:val="24"/>
          <w:lang w:val="sq-AL"/>
        </w:rPr>
      </w:pPr>
      <w:r w:rsidRPr="00A6284F">
        <w:rPr>
          <w:rFonts w:eastAsia="Times New Roman"/>
          <w:b/>
          <w:color w:val="000000"/>
          <w:spacing w:val="8"/>
          <w:sz w:val="24"/>
          <w:lang w:val="sq-AL"/>
        </w:rPr>
        <w:t>6.14 Shkenca dhe hulumtimet</w:t>
      </w:r>
    </w:p>
    <w:p w:rsidR="006724C9" w:rsidRPr="00A6284F" w:rsidRDefault="006724C9" w:rsidP="00AE7BB1">
      <w:pPr>
        <w:rPr>
          <w:lang w:val="sq-AL"/>
        </w:rPr>
      </w:pPr>
    </w:p>
    <w:p w:rsidR="00AE7BB1" w:rsidRPr="00A6284F" w:rsidRDefault="00AE7BB1" w:rsidP="00AE7BB1">
      <w:pPr>
        <w:spacing w:before="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bërë përpjekje </w:t>
      </w:r>
      <w:r w:rsidR="009B647C" w:rsidRPr="00A6284F">
        <w:rPr>
          <w:rFonts w:eastAsia="Times New Roman"/>
          <w:color w:val="000000"/>
          <w:sz w:val="24"/>
          <w:lang w:val="sq-AL"/>
        </w:rPr>
        <w:t>q</w:t>
      </w:r>
      <w:r w:rsidRPr="00A6284F">
        <w:rPr>
          <w:rFonts w:eastAsia="Times New Roman"/>
          <w:color w:val="000000"/>
          <w:sz w:val="24"/>
          <w:lang w:val="sq-AL"/>
        </w:rPr>
        <w:t>ë të zhvill</w:t>
      </w:r>
      <w:r w:rsidR="009B647C" w:rsidRPr="00A6284F">
        <w:rPr>
          <w:rFonts w:eastAsia="Times New Roman"/>
          <w:color w:val="000000"/>
          <w:sz w:val="24"/>
          <w:lang w:val="sq-AL"/>
        </w:rPr>
        <w:t xml:space="preserve">oj </w:t>
      </w:r>
      <w:r w:rsidRPr="00A6284F">
        <w:rPr>
          <w:rFonts w:eastAsia="Times New Roman"/>
          <w:b/>
          <w:color w:val="000000"/>
          <w:sz w:val="24"/>
          <w:lang w:val="sq-AL"/>
        </w:rPr>
        <w:t>politikën e saj të hulumtimit dhe inovacionit</w:t>
      </w:r>
      <w:r w:rsidRPr="00A6284F">
        <w:rPr>
          <w:rFonts w:eastAsia="Times New Roman"/>
          <w:color w:val="000000"/>
          <w:sz w:val="24"/>
          <w:lang w:val="sq-AL"/>
        </w:rPr>
        <w:t xml:space="preserve">. Megjithatë, Ligji për Veprimtaritë Hulumtuese Shkencore nuk është duke u zbatuar siç duhet, për shkak të mungesës së fondeve. Shpenzimet qeveritare në hulumtim janë vetëm 0.1% të BPV-së. Kosova ka bërë ca përpjekje për të shpenzuar këtë shumë të kufizuar në mënyrë më efikase (p.sh. ndërtimi i sallave për ligjërata dhe </w:t>
      </w:r>
      <w:proofErr w:type="spellStart"/>
      <w:r w:rsidRPr="00A6284F">
        <w:rPr>
          <w:rFonts w:eastAsia="Times New Roman"/>
          <w:color w:val="000000"/>
          <w:sz w:val="24"/>
          <w:lang w:val="sq-AL"/>
        </w:rPr>
        <w:t>laboratore</w:t>
      </w:r>
      <w:proofErr w:type="spellEnd"/>
      <w:r w:rsidRPr="00A6284F">
        <w:rPr>
          <w:rFonts w:eastAsia="Times New Roman"/>
          <w:color w:val="000000"/>
          <w:sz w:val="24"/>
          <w:lang w:val="sq-AL"/>
        </w:rPr>
        <w:t xml:space="preserve"> që trajtojnë plagjiaturën). Në vitin 2018, 1.1 milion euro </w:t>
      </w:r>
      <w:r w:rsidR="009B647C" w:rsidRPr="00A6284F">
        <w:rPr>
          <w:rFonts w:eastAsia="Times New Roman"/>
          <w:color w:val="000000"/>
          <w:sz w:val="24"/>
          <w:lang w:val="sq-AL"/>
        </w:rPr>
        <w:t>jan</w:t>
      </w:r>
      <w:r w:rsidRPr="00A6284F">
        <w:rPr>
          <w:rFonts w:eastAsia="Times New Roman"/>
          <w:color w:val="000000"/>
          <w:sz w:val="24"/>
          <w:lang w:val="sq-AL"/>
        </w:rPr>
        <w:t>ë ndarë për laboratorë dhe pajisje specifike në dy qendra rajonale të inovacionit. Në arsimin e lartë, cilësia e programeve post-</w:t>
      </w:r>
      <w:proofErr w:type="spellStart"/>
      <w:r w:rsidRPr="00A6284F">
        <w:rPr>
          <w:rFonts w:eastAsia="Times New Roman"/>
          <w:color w:val="000000"/>
          <w:sz w:val="24"/>
          <w:lang w:val="sq-AL"/>
        </w:rPr>
        <w:t>diplomike</w:t>
      </w:r>
      <w:proofErr w:type="spellEnd"/>
      <w:r w:rsidRPr="00A6284F">
        <w:rPr>
          <w:rFonts w:eastAsia="Times New Roman"/>
          <w:color w:val="000000"/>
          <w:sz w:val="24"/>
          <w:lang w:val="sq-AL"/>
        </w:rPr>
        <w:t xml:space="preserve"> që përgatisin për karrierë hulumtimesh janë me cilësi të dobët, ku edhe institucionet private edhe ato publike të arsimit të lartë kanë kritere tejet të pabarazueshme për ngritje në detyrë në bazë të hulumtimeve dhe botimeve shkencore. Pasi që Strategjia e fundit për hulumtime ka skaduar në vitin 2016, Kosova nuk ka zhvilluar synime të reja strategjike për të mbështetur zhvillimin e aktiviteteve të hulumtimit. Ministria e re për Inovacion e Ndërmarrësi duhet të zhvillojë kapacitetet e saj administrative dhe të miratojë një strategji inovacioni të lidhur me Strategjinë për specializimin e mençur në bashkërendim të afërt me ministritë tjera.</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ka pasur progres në integrimin në </w:t>
      </w:r>
      <w:r w:rsidRPr="00A6284F">
        <w:rPr>
          <w:rFonts w:eastAsia="Times New Roman"/>
          <w:b/>
          <w:color w:val="000000"/>
          <w:sz w:val="24"/>
          <w:lang w:val="sq-AL"/>
        </w:rPr>
        <w:t xml:space="preserve">Zonën Evropiane të Hulumtimeve. </w:t>
      </w:r>
      <w:r w:rsidRPr="00A6284F">
        <w:rPr>
          <w:rFonts w:eastAsia="Times New Roman"/>
          <w:color w:val="000000"/>
          <w:sz w:val="24"/>
          <w:lang w:val="sq-AL"/>
        </w:rPr>
        <w:t>Kosova duhet të dorëzojë statistika të besueshme për të monitoruar progresin në këtë fushë.</w:t>
      </w:r>
    </w:p>
    <w:p w:rsidR="00AE7BB1" w:rsidRPr="00A6284F" w:rsidRDefault="00AE7BB1" w:rsidP="00AE7BB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programet kornizë</w:t>
      </w:r>
      <w:r w:rsidRPr="00A6284F">
        <w:rPr>
          <w:rFonts w:eastAsia="Times New Roman"/>
          <w:color w:val="000000"/>
          <w:spacing w:val="-1"/>
          <w:sz w:val="24"/>
          <w:lang w:val="sq-AL"/>
        </w:rPr>
        <w:t xml:space="preserve">, Kosova merr pjesë në programin e hulumtimit dhe inovacionit të Horizontit 2020 të BE-së (H2020) si palë e tretë. Deri më tani ka marrë pjesë në 11 projekte të Horizontit 2020 (10 në vitin 2017 dhe 1 në vitin 2018). Niveli i pjesëmarrjes në Horizont 2020 mbetet nën potencialin e Kosovës. Kosova tashmë ka marrë disa veprime fillestare për të përmirësuar performancën e saj </w:t>
      </w:r>
      <w:r w:rsidR="009B647C" w:rsidRPr="00A6284F">
        <w:rPr>
          <w:rFonts w:eastAsia="Times New Roman"/>
          <w:color w:val="000000"/>
          <w:spacing w:val="-1"/>
          <w:sz w:val="24"/>
          <w:lang w:val="sq-AL"/>
        </w:rPr>
        <w:t>n</w:t>
      </w:r>
      <w:r w:rsidRPr="00A6284F">
        <w:rPr>
          <w:rFonts w:eastAsia="Times New Roman"/>
          <w:color w:val="000000"/>
          <w:spacing w:val="-1"/>
          <w:sz w:val="24"/>
          <w:lang w:val="sq-AL"/>
        </w:rPr>
        <w:t>ë Horizont 2020 veçan</w:t>
      </w:r>
      <w:r w:rsidR="009B647C" w:rsidRPr="00A6284F">
        <w:rPr>
          <w:rFonts w:eastAsia="Times New Roman"/>
          <w:color w:val="000000"/>
          <w:spacing w:val="-1"/>
          <w:sz w:val="24"/>
          <w:lang w:val="sq-AL"/>
        </w:rPr>
        <w:t>ërisht</w:t>
      </w:r>
      <w:r w:rsidRPr="00A6284F">
        <w:rPr>
          <w:rFonts w:eastAsia="Times New Roman"/>
          <w:color w:val="000000"/>
          <w:spacing w:val="-1"/>
          <w:sz w:val="24"/>
          <w:lang w:val="sq-AL"/>
        </w:rPr>
        <w:t xml:space="preserve"> përmes lidhjes më të mirë të hulumtuesve, </w:t>
      </w:r>
      <w:r w:rsidR="009B647C" w:rsidRPr="00A6284F">
        <w:rPr>
          <w:rFonts w:eastAsia="Times New Roman"/>
          <w:color w:val="000000"/>
          <w:spacing w:val="-1"/>
          <w:sz w:val="24"/>
          <w:lang w:val="sq-AL"/>
        </w:rPr>
        <w:t xml:space="preserve">përmirësimit të rrjetet </w:t>
      </w:r>
      <w:r w:rsidRPr="00A6284F">
        <w:rPr>
          <w:rFonts w:eastAsia="Times New Roman"/>
          <w:color w:val="000000"/>
          <w:spacing w:val="-1"/>
          <w:sz w:val="24"/>
          <w:lang w:val="sq-AL"/>
        </w:rPr>
        <w:t xml:space="preserve">Pikës </w:t>
      </w:r>
      <w:r w:rsidR="00964E87" w:rsidRPr="00A6284F">
        <w:rPr>
          <w:rFonts w:eastAsia="Times New Roman"/>
          <w:color w:val="000000"/>
          <w:spacing w:val="-1"/>
          <w:sz w:val="24"/>
          <w:lang w:val="sq-AL"/>
        </w:rPr>
        <w:t xml:space="preserve">Kombëtare </w:t>
      </w:r>
      <w:r w:rsidRPr="00A6284F">
        <w:rPr>
          <w:rFonts w:eastAsia="Times New Roman"/>
          <w:color w:val="000000"/>
          <w:spacing w:val="-1"/>
          <w:sz w:val="24"/>
          <w:lang w:val="sq-AL"/>
        </w:rPr>
        <w:t xml:space="preserve">të </w:t>
      </w:r>
      <w:r w:rsidR="00964E87" w:rsidRPr="00A6284F">
        <w:rPr>
          <w:rFonts w:eastAsia="Times New Roman"/>
          <w:color w:val="000000"/>
          <w:spacing w:val="-1"/>
          <w:sz w:val="24"/>
          <w:lang w:val="sq-AL"/>
        </w:rPr>
        <w:t>Kontaktit</w:t>
      </w:r>
      <w:r w:rsidRPr="00A6284F">
        <w:rPr>
          <w:rFonts w:eastAsia="Times New Roman"/>
          <w:color w:val="000000"/>
          <w:spacing w:val="-1"/>
          <w:sz w:val="24"/>
          <w:lang w:val="sq-AL"/>
        </w:rPr>
        <w:t xml:space="preserve">, shkëmbimit të praktikave më të mira dhe </w:t>
      </w:r>
      <w:proofErr w:type="spellStart"/>
      <w:r w:rsidRPr="00A6284F">
        <w:rPr>
          <w:rFonts w:eastAsia="Times New Roman"/>
          <w:color w:val="000000"/>
          <w:spacing w:val="-1"/>
          <w:sz w:val="24"/>
          <w:lang w:val="sq-AL"/>
        </w:rPr>
        <w:t>mentorimit</w:t>
      </w:r>
      <w:proofErr w:type="spellEnd"/>
      <w:r w:rsidRPr="00A6284F">
        <w:rPr>
          <w:rFonts w:eastAsia="Times New Roman"/>
          <w:color w:val="000000"/>
          <w:spacing w:val="-1"/>
          <w:sz w:val="24"/>
          <w:lang w:val="sq-AL"/>
        </w:rPr>
        <w:t xml:space="preserve"> dhe vende të tjera. Kosova duhet të vazhdojë dhe t’i forcojë më tej këto përpjekje.</w:t>
      </w:r>
    </w:p>
    <w:p w:rsidR="00AE7BB1" w:rsidRPr="00A6284F" w:rsidRDefault="00AE7BB1" w:rsidP="00AE7BB1">
      <w:pPr>
        <w:spacing w:before="131" w:after="100" w:line="274" w:lineRule="exact"/>
        <w:ind w:left="144"/>
        <w:textAlignment w:val="baseline"/>
        <w:rPr>
          <w:rFonts w:eastAsia="Times New Roman"/>
          <w:b/>
          <w:color w:val="000000"/>
          <w:spacing w:val="12"/>
          <w:sz w:val="24"/>
          <w:lang w:val="sq-AL"/>
        </w:rPr>
      </w:pPr>
      <w:r w:rsidRPr="00A6284F">
        <w:rPr>
          <w:rFonts w:eastAsia="Times New Roman"/>
          <w:b/>
          <w:color w:val="000000"/>
          <w:spacing w:val="12"/>
          <w:sz w:val="24"/>
          <w:lang w:val="sq-AL"/>
        </w:rPr>
        <w:t>6.15 Çështjet tregtare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961D0E">
        <w:trPr>
          <w:trHeight w:hRule="exact" w:val="4547"/>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në </w:t>
            </w:r>
            <w:r w:rsidRPr="00A6284F">
              <w:rPr>
                <w:rFonts w:eastAsia="Times New Roman"/>
                <w:b/>
                <w:color w:val="000000"/>
                <w:sz w:val="24"/>
                <w:lang w:val="sq-AL"/>
              </w:rPr>
              <w:t>fazë të hershme të përgatitjes</w:t>
            </w:r>
            <w:r w:rsidRPr="00A6284F">
              <w:rPr>
                <w:rFonts w:eastAsia="Times New Roman"/>
                <w:color w:val="000000"/>
                <w:sz w:val="24"/>
                <w:lang w:val="sq-AL"/>
              </w:rPr>
              <w:t xml:space="preserve"> në këtë fushë, me pak progres gjatë vitit të kaluar në lidhje me marrëdhëniet tregtare me BE-në. Megjithatë, vendimi i saj për të vendosur taksën prej 100% në mallrat me origjinë nga Serbia dhe Bosnje</w:t>
            </w:r>
            <w:r w:rsidR="00264450" w:rsidRPr="00A6284F">
              <w:rPr>
                <w:rFonts w:eastAsia="Times New Roman"/>
                <w:color w:val="000000"/>
                <w:sz w:val="24"/>
                <w:lang w:val="sq-AL"/>
              </w:rPr>
              <w:t xml:space="preserve"> </w:t>
            </w:r>
            <w:r w:rsidRPr="00A6284F">
              <w:rPr>
                <w:rFonts w:eastAsia="Times New Roman"/>
                <w:color w:val="000000"/>
                <w:sz w:val="24"/>
                <w:lang w:val="sq-AL"/>
              </w:rPr>
              <w:t>e Hercegovina përbën shkelje të Marrëveshjes së Evropës qendrore për tregti të lirë (CEFTA) dhe pengon zhvillimin e zonës ekonomike</w:t>
            </w:r>
            <w:r w:rsidR="00264450" w:rsidRPr="00A6284F">
              <w:rPr>
                <w:rFonts w:eastAsia="Times New Roman"/>
                <w:color w:val="000000"/>
                <w:sz w:val="24"/>
                <w:lang w:val="sq-AL"/>
              </w:rPr>
              <w:t xml:space="preserve"> </w:t>
            </w:r>
            <w:r w:rsidRPr="00A6284F">
              <w:rPr>
                <w:rFonts w:eastAsia="Times New Roman"/>
                <w:color w:val="000000"/>
                <w:sz w:val="24"/>
                <w:lang w:val="sq-AL"/>
              </w:rPr>
              <w:t>rajonale (REA) në Ballkanin perëndimor. BE-ja ka bërë thirrje vazhdimisht për tërheqjen e kësaj mase, e cila është ekonomikisht</w:t>
            </w:r>
            <w:r w:rsidR="00264450" w:rsidRPr="00A6284F">
              <w:rPr>
                <w:rFonts w:eastAsia="Times New Roman"/>
                <w:color w:val="000000"/>
                <w:sz w:val="24"/>
                <w:lang w:val="sq-AL"/>
              </w:rPr>
              <w:t xml:space="preserve"> </w:t>
            </w:r>
            <w:r w:rsidRPr="00A6284F">
              <w:rPr>
                <w:rFonts w:eastAsia="Times New Roman"/>
                <w:color w:val="000000"/>
                <w:sz w:val="24"/>
                <w:lang w:val="sq-AL"/>
              </w:rPr>
              <w:t>kundër produktive.</w:t>
            </w:r>
          </w:p>
          <w:p w:rsidR="00AE7BB1" w:rsidRPr="00A6284F" w:rsidRDefault="00AE7BB1" w:rsidP="007E58F5">
            <w:pPr>
              <w:spacing w:before="118" w:line="276" w:lineRule="exact"/>
              <w:ind w:left="144"/>
              <w:textAlignment w:val="baseline"/>
              <w:rPr>
                <w:rFonts w:eastAsia="Times New Roman"/>
                <w:color w:val="000000"/>
                <w:sz w:val="24"/>
                <w:lang w:val="sq-AL"/>
              </w:rPr>
            </w:pPr>
            <w:r w:rsidRPr="00A6284F">
              <w:rPr>
                <w:rFonts w:eastAsia="Times New Roman"/>
                <w:color w:val="000000"/>
                <w:sz w:val="24"/>
                <w:lang w:val="sq-AL"/>
              </w:rPr>
              <w:t>Në vitin vijues, Kosova duhet që posaçërisht:</w:t>
            </w:r>
          </w:p>
          <w:p w:rsidR="00AE7BB1" w:rsidRPr="00A6284F" w:rsidRDefault="00AE7BB1"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zbatojë veprime në kuadër të planit shumëvjeçar të veprimit për zhvillimin e një Zone Ekonomike Rajonale. Në veçanti të ratifikojë dhe të zbatojë Protokollin shtesë 5 të CEFTA-s për lehtësimin e tregtisë, të miratojë dhe të zbatojë Protokollin shtesë 6 për tregtinë në shërbime dhe të negociojë Protokollin shtesë 7 për zgjidhjen e mosmarrëveshjeve;</w:t>
            </w:r>
          </w:p>
          <w:p w:rsidR="00AE7BB1" w:rsidRPr="00A6284F" w:rsidRDefault="00AE7BB1" w:rsidP="007E58F5">
            <w:pPr>
              <w:spacing w:before="139" w:after="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përforcojë kapacitetin administrativ të Ministrisë së Tregtisë, sidomos në kuptimin e zotimeve rajonale në fushën e tregtisë.</w:t>
            </w:r>
          </w:p>
        </w:tc>
      </w:tr>
    </w:tbl>
    <w:p w:rsidR="00AE7BB1" w:rsidRPr="00A6284F" w:rsidRDefault="00AE7BB1" w:rsidP="00AE7BB1">
      <w:pPr>
        <w:rPr>
          <w:lang w:val="sq-AL"/>
        </w:rPr>
        <w:sectPr w:rsidR="00AE7BB1" w:rsidRPr="00A6284F">
          <w:pgSz w:w="11909" w:h="16838"/>
          <w:pgMar w:top="1400" w:right="1274" w:bottom="562" w:left="1275" w:header="720" w:footer="720" w:gutter="0"/>
          <w:cols w:space="720"/>
        </w:sectPr>
      </w:pPr>
    </w:p>
    <w:p w:rsidR="00961D0E" w:rsidRPr="00A6284F" w:rsidRDefault="00961D0E" w:rsidP="00AE7BB1">
      <w:pPr>
        <w:spacing w:before="19" w:line="276" w:lineRule="exact"/>
        <w:ind w:left="144" w:right="144"/>
        <w:jc w:val="both"/>
        <w:textAlignment w:val="baseline"/>
        <w:rPr>
          <w:rFonts w:eastAsia="Times New Roman"/>
          <w:color w:val="000000"/>
          <w:sz w:val="24"/>
          <w:lang w:val="sq-AL"/>
        </w:rPr>
      </w:pPr>
    </w:p>
    <w:p w:rsidR="00AE7BB1" w:rsidRPr="00A6284F" w:rsidRDefault="00AE7BB1" w:rsidP="00AE7BB1">
      <w:pPr>
        <w:spacing w:before="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 është në fazë të hershme të përgatitjes për aplikim për status të vëzhguesit në OBT. Memorandumi për Regjimin e Tregtisë së Huaj është përgatitur për miratim nga autoritetet. Në korrik 2018 është miratuar Ligji i ri për masat mbrojtëse në importe, me qëllim të harmonizimit me rregullat e OBT-së.</w:t>
      </w:r>
    </w:p>
    <w:p w:rsidR="00AE7BB1" w:rsidRPr="00A6284F" w:rsidRDefault="00AE7BB1" w:rsidP="00AE7BB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Pak progres është arritur sa i përket zonës së lirë tregtare me BE-në, por Kosova do të mund të përmirësonte mundësitë për eksportuesit e saj, me përdorimin e plotë të preferencave tregtare të ofruara në MSA. Kosova ka hequr detyrimet doganore për një numër linjash tarifore, duke përfshirë produktet industriale, bujqësore dhe peshkatarisë. Detyrimet e mbetura do të tkurren në mënyrë progresive deri në vitin 2025. Përderisa vëllimi i përgjithshëm i tregtisë me BE-në ka vazhduar të rritet dhe janë mbajtur trendët pozitiv në eksportin e shërbimeve në vitin 2018, deficiti i përgjithshëm tregtar me BE-në ka vazhduar të rritet.</w:t>
      </w:r>
    </w:p>
    <w:p w:rsidR="00AE7BB1" w:rsidRPr="00A6284F" w:rsidRDefault="00AE7BB1" w:rsidP="00AE7BB1">
      <w:pPr>
        <w:spacing w:before="122"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Kosova ka vazhduar zbatimin e planit shumë-vjeçar të veprimit për zhvillimin e REA-</w:t>
      </w:r>
      <w:r w:rsidR="00027723" w:rsidRPr="00A6284F">
        <w:rPr>
          <w:rFonts w:eastAsia="Times New Roman"/>
          <w:color w:val="000000"/>
          <w:spacing w:val="1"/>
          <w:sz w:val="24"/>
          <w:lang w:val="sq-AL"/>
        </w:rPr>
        <w:t xml:space="preserve">së </w:t>
      </w:r>
      <w:r w:rsidRPr="00A6284F">
        <w:rPr>
          <w:rFonts w:eastAsia="Times New Roman"/>
          <w:color w:val="000000"/>
          <w:spacing w:val="1"/>
          <w:sz w:val="24"/>
          <w:lang w:val="sq-AL"/>
        </w:rPr>
        <w:t xml:space="preserve">në Ballkanin perëndimor, që ka për qëllim thellimin dhe zgjerimin e integrimit ekonomik në rajon, në bazë të rregullave dhe standardeve të BE-së. Në pjesën e parë të vitit 2018, autoritetet kosovare kanë luajtur një rol aktiv dhe konstruktiv brenda CEFTA-s, gjë që i ka ndihmuar palët të arrijnë një marrëveshje teknike për njohjen e ndërsjellët të operatorëve të autorizuar ekonomik, dhe për funksionimin e sekretariatit të CEFTA-s. Megjithatë, në korrik ka futur (dhe pastaj ka tërhequr) masa të pa justifikuara mbrojtëse në importet e produkteve të qumështit dhe frutave e perimeve. Gjithashtu, në nëntor Kosova ka vendosur taksën </w:t>
      </w:r>
      <w:r w:rsidR="00027723" w:rsidRPr="00A6284F">
        <w:rPr>
          <w:rFonts w:eastAsia="Times New Roman"/>
          <w:color w:val="000000"/>
          <w:spacing w:val="1"/>
          <w:sz w:val="24"/>
          <w:lang w:val="sq-AL"/>
        </w:rPr>
        <w:t xml:space="preserve">prej </w:t>
      </w:r>
      <w:r w:rsidRPr="00A6284F">
        <w:rPr>
          <w:rFonts w:eastAsia="Times New Roman"/>
          <w:color w:val="000000"/>
          <w:spacing w:val="1"/>
          <w:sz w:val="24"/>
          <w:lang w:val="sq-AL"/>
        </w:rPr>
        <w:t>100% n</w:t>
      </w:r>
      <w:r w:rsidR="00027723" w:rsidRPr="00A6284F">
        <w:rPr>
          <w:rFonts w:eastAsia="Times New Roman"/>
          <w:color w:val="000000"/>
          <w:spacing w:val="1"/>
          <w:sz w:val="24"/>
          <w:lang w:val="sq-AL"/>
        </w:rPr>
        <w:t>daj</w:t>
      </w:r>
      <w:r w:rsidRPr="00A6284F">
        <w:rPr>
          <w:rFonts w:eastAsia="Times New Roman"/>
          <w:color w:val="000000"/>
          <w:spacing w:val="1"/>
          <w:sz w:val="24"/>
          <w:lang w:val="sq-AL"/>
        </w:rPr>
        <w:t xml:space="preserve"> mallra</w:t>
      </w:r>
      <w:r w:rsidR="00027723" w:rsidRPr="00A6284F">
        <w:rPr>
          <w:rFonts w:eastAsia="Times New Roman"/>
          <w:color w:val="000000"/>
          <w:spacing w:val="1"/>
          <w:sz w:val="24"/>
          <w:lang w:val="sq-AL"/>
        </w:rPr>
        <w:t>ve</w:t>
      </w:r>
      <w:r w:rsidRPr="00A6284F">
        <w:rPr>
          <w:rFonts w:eastAsia="Times New Roman"/>
          <w:color w:val="000000"/>
          <w:spacing w:val="1"/>
          <w:sz w:val="24"/>
          <w:lang w:val="sq-AL"/>
        </w:rPr>
        <w:t xml:space="preserve"> </w:t>
      </w:r>
      <w:r w:rsidR="00027723" w:rsidRPr="00A6284F">
        <w:rPr>
          <w:rFonts w:eastAsia="Times New Roman"/>
          <w:color w:val="000000"/>
          <w:spacing w:val="1"/>
          <w:sz w:val="24"/>
          <w:lang w:val="sq-AL"/>
        </w:rPr>
        <w:t xml:space="preserve">të importuara </w:t>
      </w:r>
      <w:r w:rsidRPr="00A6284F">
        <w:rPr>
          <w:rFonts w:eastAsia="Times New Roman"/>
          <w:color w:val="000000"/>
          <w:spacing w:val="1"/>
          <w:sz w:val="24"/>
          <w:lang w:val="sq-AL"/>
        </w:rPr>
        <w:t xml:space="preserve">me origjinë nga Serbia dhe Bosnje e Hercegovina, duke </w:t>
      </w:r>
      <w:r w:rsidR="00027723" w:rsidRPr="00A6284F">
        <w:rPr>
          <w:rFonts w:eastAsia="Times New Roman"/>
          <w:color w:val="000000"/>
          <w:spacing w:val="1"/>
          <w:sz w:val="24"/>
          <w:lang w:val="sq-AL"/>
        </w:rPr>
        <w:t>u thirrur në</w:t>
      </w:r>
      <w:r w:rsidRPr="00A6284F">
        <w:rPr>
          <w:rFonts w:eastAsia="Times New Roman"/>
          <w:color w:val="000000"/>
          <w:spacing w:val="1"/>
          <w:sz w:val="24"/>
          <w:lang w:val="sq-AL"/>
        </w:rPr>
        <w:t xml:space="preserve"> ankesat politike dhe tregtare. Masa shkon kundër detyrimeve të Kosovës sipas CEFTA-s dhe minon objektivat e bashkëpunimit rajonal duke përfshirë REA-</w:t>
      </w:r>
      <w:r w:rsidR="00027723" w:rsidRPr="00A6284F">
        <w:rPr>
          <w:rFonts w:eastAsia="Times New Roman"/>
          <w:color w:val="000000"/>
          <w:spacing w:val="1"/>
          <w:sz w:val="24"/>
          <w:lang w:val="sq-AL"/>
        </w:rPr>
        <w:t>në.</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mbetet pala e vetme e CEFTA-s që nuk ka ratifikuar Protokollin shtesë 5 (lehtësimi i tregtisë). Së bashku me anëtarët tjerë të CEFTA-s duhet të miratojë Protokollin shtesë 6 (tregtia në shërbime). Ajo duhet gjithashtu të caktojë një </w:t>
      </w:r>
      <w:proofErr w:type="spellStart"/>
      <w:r w:rsidRPr="00A6284F">
        <w:rPr>
          <w:rFonts w:eastAsia="Times New Roman"/>
          <w:color w:val="000000"/>
          <w:sz w:val="24"/>
          <w:lang w:val="sq-AL"/>
        </w:rPr>
        <w:t>negociator</w:t>
      </w:r>
      <w:proofErr w:type="spellEnd"/>
      <w:r w:rsidRPr="00A6284F">
        <w:rPr>
          <w:rFonts w:eastAsia="Times New Roman"/>
          <w:color w:val="000000"/>
          <w:sz w:val="24"/>
          <w:lang w:val="sq-AL"/>
        </w:rPr>
        <w:t xml:space="preserve"> dhe të miratojë mandatin për negocimin e Protokollit shtesë 7 (mekanizmi për zgjidhjen e mosmarrëveshjeve). Qeveria ka miratuar iniciativën për nënshkrimin e Deklaratës së përbashkët për bashkëpunim me vendet e Marrëveshjes për Tregti të Lirë në Evropën Qendrore (EFTA).</w:t>
      </w:r>
    </w:p>
    <w:p w:rsidR="00027723" w:rsidRPr="00A6284F" w:rsidRDefault="00027723" w:rsidP="00AE7BB1">
      <w:pPr>
        <w:spacing w:before="127" w:after="100" w:line="274" w:lineRule="exact"/>
        <w:ind w:left="144"/>
        <w:textAlignment w:val="baseline"/>
        <w:rPr>
          <w:rFonts w:eastAsia="Times New Roman"/>
          <w:b/>
          <w:color w:val="000000"/>
          <w:spacing w:val="6"/>
          <w:sz w:val="24"/>
          <w:lang w:val="sq-AL"/>
        </w:rPr>
      </w:pPr>
    </w:p>
    <w:p w:rsidR="00027723" w:rsidRPr="00A6284F" w:rsidRDefault="00027723" w:rsidP="00AE7BB1">
      <w:pPr>
        <w:spacing w:before="127" w:after="100" w:line="274" w:lineRule="exact"/>
        <w:ind w:left="144"/>
        <w:textAlignment w:val="baseline"/>
        <w:rPr>
          <w:rFonts w:eastAsia="Times New Roman"/>
          <w:b/>
          <w:color w:val="000000"/>
          <w:spacing w:val="6"/>
          <w:sz w:val="24"/>
          <w:lang w:val="sq-AL"/>
        </w:rPr>
      </w:pPr>
    </w:p>
    <w:p w:rsidR="00027723" w:rsidRPr="00A6284F" w:rsidRDefault="00027723" w:rsidP="00AE7BB1">
      <w:pPr>
        <w:spacing w:before="127" w:after="100" w:line="274" w:lineRule="exact"/>
        <w:ind w:left="144"/>
        <w:textAlignment w:val="baseline"/>
        <w:rPr>
          <w:rFonts w:eastAsia="Times New Roman"/>
          <w:b/>
          <w:color w:val="000000"/>
          <w:spacing w:val="6"/>
          <w:sz w:val="24"/>
          <w:lang w:val="sq-AL"/>
        </w:rPr>
      </w:pPr>
    </w:p>
    <w:p w:rsidR="00027723" w:rsidRPr="00A6284F" w:rsidRDefault="00027723" w:rsidP="00AE7BB1">
      <w:pPr>
        <w:spacing w:before="127" w:after="100" w:line="274" w:lineRule="exact"/>
        <w:ind w:left="144"/>
        <w:textAlignment w:val="baseline"/>
        <w:rPr>
          <w:rFonts w:eastAsia="Times New Roman"/>
          <w:b/>
          <w:color w:val="000000"/>
          <w:spacing w:val="6"/>
          <w:sz w:val="24"/>
          <w:lang w:val="sq-AL"/>
        </w:rPr>
      </w:pPr>
    </w:p>
    <w:p w:rsidR="00AE7BB1" w:rsidRPr="00A6284F" w:rsidRDefault="00AE7BB1" w:rsidP="00AE7BB1">
      <w:pPr>
        <w:spacing w:before="127" w:after="100" w:line="274" w:lineRule="exact"/>
        <w:ind w:left="144"/>
        <w:textAlignment w:val="baseline"/>
        <w:rPr>
          <w:rFonts w:eastAsia="Times New Roman"/>
          <w:b/>
          <w:color w:val="000000"/>
          <w:spacing w:val="6"/>
          <w:sz w:val="24"/>
          <w:lang w:val="sq-AL"/>
        </w:rPr>
      </w:pPr>
      <w:r w:rsidRPr="00A6284F">
        <w:rPr>
          <w:rFonts w:eastAsia="Times New Roman"/>
          <w:b/>
          <w:color w:val="000000"/>
          <w:spacing w:val="6"/>
          <w:sz w:val="24"/>
          <w:lang w:val="sq-AL"/>
        </w:rPr>
        <w:t xml:space="preserve">6.16 Politika e ndërmarrjeve dhe ajo industriale </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7E58F5">
        <w:trPr>
          <w:trHeight w:hRule="exact" w:val="4183"/>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2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është </w:t>
            </w:r>
            <w:r w:rsidRPr="00A6284F">
              <w:rPr>
                <w:rFonts w:eastAsia="Times New Roman"/>
                <w:b/>
                <w:color w:val="000000"/>
                <w:sz w:val="24"/>
                <w:lang w:val="sq-AL"/>
              </w:rPr>
              <w:t>mesatarisht e përgatitur</w:t>
            </w:r>
            <w:r w:rsidRPr="00A6284F">
              <w:rPr>
                <w:rFonts w:eastAsia="Times New Roman"/>
                <w:color w:val="000000"/>
                <w:sz w:val="24"/>
                <w:lang w:val="sq-AL"/>
              </w:rPr>
              <w:t xml:space="preserve"> në këtë fushë. </w:t>
            </w:r>
            <w:r w:rsidRPr="00A6284F">
              <w:rPr>
                <w:rFonts w:eastAsia="Times New Roman"/>
                <w:b/>
                <w:color w:val="000000"/>
                <w:sz w:val="24"/>
                <w:lang w:val="sq-AL"/>
              </w:rPr>
              <w:t>Pak progres</w:t>
            </w:r>
            <w:r w:rsidRPr="00A6284F">
              <w:rPr>
                <w:rFonts w:eastAsia="Times New Roman"/>
                <w:color w:val="000000"/>
                <w:sz w:val="24"/>
                <w:lang w:val="sq-AL"/>
              </w:rPr>
              <w:t xml:space="preserve"> është arritur në përmirësimin e ambientit afarist. Janë intensifikuar përpjekjet për rishikimin dhe thjeshtësimin e legjislacionit të lidhur me biznes përmes përditësimit të Strategjisë për rregullim më të mirë. Ekziston nevoja për të zhvilluar më tutje kapacitetin administrativ dhe për të siguruar bashkërendim ndërministror më të fortë.</w:t>
            </w:r>
          </w:p>
          <w:p w:rsidR="00AE7BB1" w:rsidRPr="00A6284F" w:rsidRDefault="00AE7BB1" w:rsidP="007E58F5">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Rekomandimet nga raporti i vitit 2018 nuk janë zbatuar plotësisht. Në vitin vijues, Kosova duhet që posaçërisht:</w:t>
            </w:r>
          </w:p>
          <w:p w:rsidR="00AE7BB1" w:rsidRPr="00A6284F" w:rsidRDefault="00AE7BB1" w:rsidP="007E58F5">
            <w:pPr>
              <w:spacing w:before="13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përmirësojë marrjen e shërbimeve të mbështetjes nga NVM-të duke riformuluar skemat e siguruara nga Agjencia Kosovare për Investime dhe Përkrahje të Ndërmarrjeve (KIESA) dhe të themelojë një njësi për përkujdesje të mëtejshme të investitorëve;</w:t>
            </w:r>
          </w:p>
          <w:p w:rsidR="00AE7BB1" w:rsidRPr="00A6284F" w:rsidRDefault="00AE7BB1" w:rsidP="007E58F5">
            <w:pPr>
              <w:spacing w:before="13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vazhdojë zbatimin e rekomandimeve të dhëna në vlerësimin “Akti për biznese të vogla” (ABV) të BE-së;</w:t>
            </w:r>
          </w:p>
          <w:p w:rsidR="00AE7BB1" w:rsidRPr="00A6284F" w:rsidRDefault="00AE7BB1" w:rsidP="007E58F5">
            <w:pPr>
              <w:spacing w:before="143" w:after="124" w:line="276" w:lineRule="exact"/>
              <w:ind w:left="144"/>
              <w:textAlignment w:val="baseline"/>
              <w:rPr>
                <w:rFonts w:ascii="Arial Narrow" w:eastAsia="Arial Narrow" w:hAnsi="Arial Narrow"/>
                <w:color w:val="000000"/>
                <w:spacing w:val="1"/>
                <w:lang w:val="sq-AL"/>
              </w:rPr>
            </w:pPr>
            <w:r w:rsidRPr="00A6284F">
              <w:rPr>
                <w:rFonts w:ascii="Arial Narrow" w:eastAsia="Arial Narrow" w:hAnsi="Arial Narrow"/>
                <w:color w:val="000000"/>
                <w:spacing w:val="1"/>
                <w:lang w:val="sq-AL"/>
              </w:rPr>
              <w:t xml:space="preserve">-* </w:t>
            </w:r>
            <w:r w:rsidRPr="00A6284F">
              <w:rPr>
                <w:rFonts w:eastAsia="Times New Roman"/>
                <w:color w:val="000000"/>
                <w:spacing w:val="1"/>
                <w:sz w:val="24"/>
                <w:lang w:val="sq-AL"/>
              </w:rPr>
              <w:t xml:space="preserve">të sigurojë harmonizimin e Ligjit për Zonat Ekonomike me </w:t>
            </w:r>
            <w:r w:rsidRPr="00A6284F">
              <w:rPr>
                <w:rFonts w:eastAsia="Times New Roman"/>
                <w:i/>
                <w:color w:val="000000"/>
                <w:spacing w:val="1"/>
                <w:sz w:val="24"/>
                <w:lang w:val="sq-AL"/>
              </w:rPr>
              <w:t>Acquis-in</w:t>
            </w:r>
            <w:r w:rsidRPr="00A6284F">
              <w:rPr>
                <w:rFonts w:eastAsia="Times New Roman"/>
                <w:color w:val="000000"/>
                <w:spacing w:val="1"/>
                <w:sz w:val="24"/>
                <w:lang w:val="sq-AL"/>
              </w:rPr>
              <w:t>.</w:t>
            </w:r>
          </w:p>
        </w:tc>
      </w:tr>
    </w:tbl>
    <w:p w:rsidR="00AE7BB1" w:rsidRPr="00A6284F" w:rsidRDefault="00AE7BB1" w:rsidP="004E2041">
      <w:pPr>
        <w:spacing w:before="2" w:line="276"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parimet e politikave të ndërmarrjeve dhe atyre industriale</w:t>
      </w:r>
      <w:r w:rsidRPr="00A6284F">
        <w:rPr>
          <w:rFonts w:eastAsia="Times New Roman"/>
          <w:color w:val="000000"/>
          <w:spacing w:val="-1"/>
          <w:sz w:val="24"/>
          <w:lang w:val="sq-AL"/>
        </w:rPr>
        <w:t xml:space="preserve">, strategjia e re e zhvillimit të sektorit privat, që përfshin politikat industriale, mbetet të miratohet. Projekt-strategjia megjithatë kufizohet në sektorët në përgjegjësi të Ministrisë së Tregtisë dhe Industrisë, si dhe duhen siguruar </w:t>
      </w:r>
      <w:proofErr w:type="spellStart"/>
      <w:r w:rsidRPr="00A6284F">
        <w:rPr>
          <w:rFonts w:eastAsia="Times New Roman"/>
          <w:color w:val="000000"/>
          <w:spacing w:val="-1"/>
          <w:sz w:val="24"/>
          <w:lang w:val="sq-AL"/>
        </w:rPr>
        <w:t>sinergjitë</w:t>
      </w:r>
      <w:proofErr w:type="spellEnd"/>
      <w:r w:rsidRPr="00A6284F">
        <w:rPr>
          <w:rFonts w:eastAsia="Times New Roman"/>
          <w:color w:val="000000"/>
          <w:spacing w:val="-1"/>
          <w:sz w:val="24"/>
          <w:lang w:val="sq-AL"/>
        </w:rPr>
        <w:t xml:space="preserve"> e duhura me politikat tjera të rëndësishme, si energjia, arsimi, hulumtimet dhe zhvillimi</w:t>
      </w:r>
      <w:r w:rsidRPr="00A6284F">
        <w:rPr>
          <w:rFonts w:eastAsia="Times New Roman"/>
          <w:color w:val="000000"/>
          <w:sz w:val="24"/>
          <w:lang w:val="sq-AL"/>
        </w:rPr>
        <w:t>. Nevojitet bashkërendim më i fortë m</w:t>
      </w:r>
      <w:r w:rsidR="004E2041" w:rsidRPr="00A6284F">
        <w:rPr>
          <w:rFonts w:eastAsia="Times New Roman"/>
          <w:color w:val="000000"/>
          <w:sz w:val="24"/>
          <w:lang w:val="sq-AL"/>
        </w:rPr>
        <w:t>e</w:t>
      </w:r>
      <w:r w:rsidRPr="00A6284F">
        <w:rPr>
          <w:rFonts w:eastAsia="Times New Roman"/>
          <w:color w:val="000000"/>
          <w:sz w:val="24"/>
          <w:lang w:val="sq-AL"/>
        </w:rPr>
        <w:t>s ministrive përkatëse dhe agjencive përgjegjëse për politikat e ndërmarrjeve dhe ato industriale. Miratimi i një strategjie të inovacionit është ende në pritje. Këshilli i Kosovës për inovacion dhe ndërmarrësi është ngarkuar me koordinimin e zhvillimit të strategjisë së specializimit të</w:t>
      </w:r>
      <w:r w:rsidR="004E2041" w:rsidRPr="00A6284F">
        <w:rPr>
          <w:rFonts w:eastAsia="Times New Roman"/>
          <w:color w:val="000000"/>
          <w:sz w:val="24"/>
          <w:lang w:val="sq-AL"/>
        </w:rPr>
        <w:t xml:space="preserve"> </w:t>
      </w:r>
      <w:r w:rsidRPr="00A6284F">
        <w:rPr>
          <w:rFonts w:eastAsia="Times New Roman"/>
          <w:color w:val="000000"/>
          <w:sz w:val="24"/>
          <w:lang w:val="sq-AL"/>
        </w:rPr>
        <w:t>mençur.</w:t>
      </w:r>
    </w:p>
    <w:p w:rsidR="00AE7BB1" w:rsidRPr="00A6284F" w:rsidRDefault="00AE7BB1" w:rsidP="00AE7BB1">
      <w:pPr>
        <w:spacing w:before="114"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w:t>
      </w:r>
      <w:r w:rsidR="004E2041" w:rsidRPr="00A6284F">
        <w:rPr>
          <w:rFonts w:eastAsia="Times New Roman"/>
          <w:color w:val="000000"/>
          <w:sz w:val="24"/>
          <w:lang w:val="sq-AL"/>
        </w:rPr>
        <w:t xml:space="preserve"> </w:t>
      </w:r>
      <w:r w:rsidRPr="00A6284F">
        <w:rPr>
          <w:rFonts w:eastAsia="Times New Roman"/>
          <w:color w:val="000000"/>
          <w:sz w:val="24"/>
          <w:lang w:val="sq-AL"/>
        </w:rPr>
        <w:t>ka ndryshuar Strategjinë për rregullim më të mirë, e cila parashikon zëvendësimin e s</w:t>
      </w:r>
      <w:r w:rsidR="00AD10E2" w:rsidRPr="00A6284F">
        <w:rPr>
          <w:rFonts w:eastAsia="Times New Roman"/>
          <w:color w:val="000000"/>
          <w:sz w:val="24"/>
          <w:lang w:val="sq-AL"/>
        </w:rPr>
        <w:t>istemit aktual të “</w:t>
      </w:r>
      <w:r w:rsidRPr="00A6284F">
        <w:rPr>
          <w:rFonts w:eastAsia="Times New Roman"/>
          <w:color w:val="000000"/>
          <w:sz w:val="24"/>
          <w:lang w:val="sq-AL"/>
        </w:rPr>
        <w:t>koncept dokumenteve</w:t>
      </w:r>
      <w:r w:rsidR="00AD10E2" w:rsidRPr="00A6284F">
        <w:rPr>
          <w:rFonts w:eastAsia="Times New Roman"/>
          <w:color w:val="000000"/>
          <w:sz w:val="24"/>
          <w:lang w:val="sq-AL"/>
        </w:rPr>
        <w:t>”</w:t>
      </w:r>
      <w:r w:rsidRPr="00A6284F">
        <w:rPr>
          <w:rFonts w:eastAsia="Times New Roman"/>
          <w:color w:val="000000"/>
          <w:sz w:val="24"/>
          <w:lang w:val="sq-AL"/>
        </w:rPr>
        <w:t xml:space="preserve"> për hartimin e politikave dhe propozimeve legjislative nga një sistem i vlerësimit të ndikimit, që do t’i kushtojë rëndësi më të madhe barrëve administrative në NVM. Programi i Kosovës për reformë ekonomike përfshin një masë që ka për qëllim thjeshtësimin, bashkimin dhe shfuqizimin e licencave dhe lejeve me të cilat ballafaqohen bizneset. Politikat e përshtatura dhe masat e synuara janë të nevojshme për të adresuar sfidat me të cilat përballen ndërmarrëset e gjinisë femërore.</w:t>
      </w:r>
    </w:p>
    <w:p w:rsidR="00AE7BB1" w:rsidRPr="00A6284F" w:rsidRDefault="00AE7BB1" w:rsidP="00AE7BB1">
      <w:pPr>
        <w:spacing w:before="113"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Fondi Kosovar për Garanci Kreditore ka ndihmuar në rritjen e kërkesës për kredi në mesin e NVM-ve. Zgjerimi i Fondit dhe reformimi i legjislacionit për të zgjeruar gamën e instrumenteve alternative financiare do të përmirësonte më tej financimin e jashtëm për NVM-të. Futja e planifikuar e ligjit për </w:t>
      </w:r>
      <w:proofErr w:type="spellStart"/>
      <w:r w:rsidRPr="00A6284F">
        <w:rPr>
          <w:rFonts w:eastAsia="Times New Roman"/>
          <w:color w:val="000000"/>
          <w:sz w:val="24"/>
          <w:lang w:val="sq-AL"/>
        </w:rPr>
        <w:t>faktoringun</w:t>
      </w:r>
      <w:proofErr w:type="spellEnd"/>
      <w:r w:rsidRPr="00A6284F">
        <w:rPr>
          <w:rFonts w:eastAsia="Times New Roman"/>
          <w:color w:val="000000"/>
          <w:sz w:val="24"/>
          <w:lang w:val="sq-AL"/>
        </w:rPr>
        <w:t xml:space="preserve"> do të ndihmonte gjithashtu përmirësimin e transparencës dhe zbatimin ligjor të shërbimeve të </w:t>
      </w:r>
      <w:proofErr w:type="spellStart"/>
      <w:r w:rsidRPr="00A6284F">
        <w:rPr>
          <w:rFonts w:eastAsia="Times New Roman"/>
          <w:color w:val="000000"/>
          <w:sz w:val="24"/>
          <w:lang w:val="sq-AL"/>
        </w:rPr>
        <w:t>faktoringut</w:t>
      </w:r>
      <w:proofErr w:type="spellEnd"/>
      <w:r w:rsidRPr="00A6284F">
        <w:rPr>
          <w:rFonts w:eastAsia="Times New Roman"/>
          <w:color w:val="000000"/>
          <w:sz w:val="24"/>
          <w:lang w:val="sq-AL"/>
        </w:rPr>
        <w:t>, që është e dobishme për përmirësimin e menaxhimit të rrjedhës së parasë së NVM-ve.</w:t>
      </w:r>
    </w:p>
    <w:p w:rsidR="00AE7BB1" w:rsidRPr="00A6284F" w:rsidRDefault="00AE7BB1" w:rsidP="00AE7BB1">
      <w:pPr>
        <w:spacing w:before="117"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Ligji për zonat ekonomike, që rregullon themelimin dhe financimin e zonave ekonomike nuk është i harmonizuar me </w:t>
      </w:r>
      <w:r w:rsidRPr="00A6284F">
        <w:rPr>
          <w:rFonts w:eastAsia="Times New Roman"/>
          <w:i/>
          <w:color w:val="000000"/>
          <w:sz w:val="24"/>
          <w:lang w:val="sq-AL"/>
        </w:rPr>
        <w:t>Acquis-in</w:t>
      </w:r>
      <w:r w:rsidRPr="00A6284F">
        <w:rPr>
          <w:rFonts w:eastAsia="Times New Roman"/>
          <w:color w:val="000000"/>
          <w:sz w:val="24"/>
          <w:lang w:val="sq-AL"/>
        </w:rPr>
        <w:t>. Nuk ekzistojnë programe specifike për ristrukturim, qoftë për zhvillimin specifik të sektorit ose për modernizimin e përgjithshëm të industrisë. Ligji për të drejtat e interesit në transaksionet tregtare është në përputhje me Direktivën e BE-së për luftimin e pagesave të vonuara në transaksione tregtare.</w:t>
      </w:r>
    </w:p>
    <w:p w:rsidR="00AE7BB1" w:rsidRPr="00A6284F" w:rsidRDefault="00AE7BB1" w:rsidP="00AE7BB1">
      <w:pPr>
        <w:spacing w:before="116"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Është fuqizuar korniza ligjore për procedurat e </w:t>
      </w:r>
      <w:proofErr w:type="spellStart"/>
      <w:r w:rsidR="00AD10E2" w:rsidRPr="00A6284F">
        <w:rPr>
          <w:rFonts w:eastAsia="Times New Roman"/>
          <w:color w:val="000000"/>
          <w:sz w:val="24"/>
          <w:lang w:val="sq-AL"/>
        </w:rPr>
        <w:t>insolvencës</w:t>
      </w:r>
      <w:proofErr w:type="spellEnd"/>
      <w:r w:rsidRPr="00A6284F">
        <w:rPr>
          <w:rFonts w:eastAsia="Times New Roman"/>
          <w:color w:val="000000"/>
          <w:sz w:val="24"/>
          <w:lang w:val="sq-AL"/>
        </w:rPr>
        <w:t xml:space="preserve">. Procedurat që përfshijnë një debitor të NVM-ve </w:t>
      </w:r>
      <w:r w:rsidR="00AD10E2" w:rsidRPr="00A6284F">
        <w:rPr>
          <w:rFonts w:eastAsia="Times New Roman"/>
          <w:color w:val="000000"/>
          <w:sz w:val="24"/>
          <w:lang w:val="sq-AL"/>
        </w:rPr>
        <w:t>tani</w:t>
      </w:r>
      <w:r w:rsidRPr="00A6284F">
        <w:rPr>
          <w:rFonts w:eastAsia="Times New Roman"/>
          <w:color w:val="000000"/>
          <w:sz w:val="24"/>
          <w:lang w:val="sq-AL"/>
        </w:rPr>
        <w:t xml:space="preserve"> trajtohen si raste të riorganizimit, në të cilat kërkohet monitorim i caktuar për të ndihmuar NVM-të në planet e tyre të riorganizimit. Ende mungojnë korniza ligjore dhe infrastruktura e nevojshme për të stimuluar tregtinë elektronike.</w:t>
      </w:r>
    </w:p>
    <w:p w:rsidR="00AE7BB1" w:rsidRPr="00A6284F" w:rsidRDefault="00AE7BB1" w:rsidP="00AE7BB1">
      <w:pPr>
        <w:spacing w:before="116"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 xml:space="preserve">instrumentet e politikave të ndërmarrjeve dhe industriale, </w:t>
      </w:r>
      <w:r w:rsidRPr="00A6284F">
        <w:rPr>
          <w:rFonts w:eastAsia="Times New Roman"/>
          <w:color w:val="000000"/>
          <w:sz w:val="24"/>
          <w:lang w:val="sq-AL"/>
        </w:rPr>
        <w:t>Kosova i është bashkuar programit COSME dhe ka të drejtë për financim që nga shtatori i vitit 2018. Kanë filluar të zhvillohen masat për të rritur ndërgjegjësimin m</w:t>
      </w:r>
      <w:r w:rsidR="00AD10E2" w:rsidRPr="00A6284F">
        <w:rPr>
          <w:rFonts w:eastAsia="Times New Roman"/>
          <w:color w:val="000000"/>
          <w:sz w:val="24"/>
          <w:lang w:val="sq-AL"/>
        </w:rPr>
        <w:t>e</w:t>
      </w:r>
      <w:r w:rsidRPr="00A6284F">
        <w:rPr>
          <w:rFonts w:eastAsia="Times New Roman"/>
          <w:color w:val="000000"/>
          <w:sz w:val="24"/>
          <w:lang w:val="sq-AL"/>
        </w:rPr>
        <w:t>s akterëve të bizneseve. Në vitin 2019, planifikohet aplikimi për t’iu bashkuar Rrjetit evropian të ndërmarrjeve.</w:t>
      </w:r>
    </w:p>
    <w:p w:rsidR="00AE7BB1" w:rsidRPr="00A6284F" w:rsidRDefault="00AE7BB1" w:rsidP="00AE7BB1">
      <w:pPr>
        <w:spacing w:before="126" w:after="105" w:line="273" w:lineRule="exact"/>
        <w:ind w:left="144"/>
        <w:textAlignment w:val="baseline"/>
        <w:rPr>
          <w:rFonts w:eastAsia="Times New Roman"/>
          <w:b/>
          <w:color w:val="000000"/>
          <w:spacing w:val="14"/>
          <w:sz w:val="24"/>
          <w:lang w:val="sq-AL"/>
        </w:rPr>
      </w:pPr>
      <w:r w:rsidRPr="00A6284F">
        <w:rPr>
          <w:rFonts w:eastAsia="Times New Roman"/>
          <w:b/>
          <w:color w:val="000000"/>
          <w:spacing w:val="14"/>
          <w:sz w:val="24"/>
          <w:lang w:val="sq-AL"/>
        </w:rPr>
        <w:t xml:space="preserve">6.17 Bujqësia </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7E58F5">
        <w:trPr>
          <w:trHeight w:hRule="exact" w:val="3033"/>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18"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Kosova ka </w:t>
            </w:r>
            <w:r w:rsidRPr="00A6284F">
              <w:rPr>
                <w:rFonts w:eastAsia="Times New Roman"/>
                <w:b/>
                <w:color w:val="000000"/>
                <w:sz w:val="24"/>
                <w:lang w:val="sq-AL"/>
              </w:rPr>
              <w:t>një nivel përgatitjeje</w:t>
            </w:r>
            <w:r w:rsidRPr="00A6284F">
              <w:rPr>
                <w:rFonts w:eastAsia="Times New Roman"/>
                <w:color w:val="000000"/>
                <w:sz w:val="24"/>
                <w:lang w:val="sq-AL"/>
              </w:rPr>
              <w:t xml:space="preserve"> në fushën e bujqësisë dhe zhvillimit rural. Është bërë progres i kufizuar</w:t>
            </w:r>
            <w:r w:rsidR="00862C26" w:rsidRPr="00A6284F">
              <w:rPr>
                <w:rFonts w:eastAsia="Times New Roman"/>
                <w:color w:val="000000"/>
                <w:sz w:val="24"/>
                <w:lang w:val="sq-AL"/>
              </w:rPr>
              <w:t xml:space="preserve"> </w:t>
            </w:r>
            <w:r w:rsidRPr="00A6284F">
              <w:rPr>
                <w:rFonts w:eastAsia="Times New Roman"/>
                <w:color w:val="000000"/>
                <w:sz w:val="24"/>
                <w:lang w:val="sq-AL"/>
              </w:rPr>
              <w:t>në zbatimin e programit të bujqësisë dhe zhvillimit rural.</w:t>
            </w:r>
          </w:p>
          <w:p w:rsidR="00AE7BB1" w:rsidRPr="00A6284F" w:rsidRDefault="00AE7BB1" w:rsidP="007E58F5">
            <w:pPr>
              <w:spacing w:before="122" w:line="277" w:lineRule="exact"/>
              <w:ind w:left="144"/>
              <w:textAlignment w:val="baseline"/>
              <w:rPr>
                <w:rFonts w:eastAsia="Times New Roman"/>
                <w:color w:val="000000"/>
                <w:sz w:val="24"/>
                <w:lang w:val="sq-AL"/>
              </w:rPr>
            </w:pPr>
            <w:r w:rsidRPr="00A6284F">
              <w:rPr>
                <w:rFonts w:eastAsia="Times New Roman"/>
                <w:color w:val="000000"/>
                <w:sz w:val="24"/>
                <w:lang w:val="sq-AL"/>
              </w:rPr>
              <w:t xml:space="preserve">Në vitin vijues, Kosova duhet </w:t>
            </w:r>
            <w:r w:rsidR="00D327DA" w:rsidRPr="00A6284F">
              <w:rPr>
                <w:rFonts w:eastAsia="Times New Roman"/>
                <w:color w:val="000000"/>
                <w:sz w:val="24"/>
                <w:lang w:val="sq-AL"/>
              </w:rPr>
              <w:t>posaçërisht:</w:t>
            </w:r>
          </w:p>
          <w:p w:rsidR="00AE7BB1" w:rsidRPr="00A6284F" w:rsidRDefault="00AE7BB1" w:rsidP="007E58F5">
            <w:pPr>
              <w:spacing w:before="118" w:line="277" w:lineRule="exact"/>
              <w:ind w:left="504" w:right="144" w:hanging="360"/>
              <w:jc w:val="both"/>
              <w:textAlignment w:val="baseline"/>
              <w:rPr>
                <w:rFonts w:eastAsia="Times New Roman"/>
                <w:color w:val="000000"/>
                <w:spacing w:val="2"/>
                <w:sz w:val="25"/>
                <w:lang w:val="sq-AL"/>
              </w:rPr>
            </w:pPr>
            <w:r w:rsidRPr="00A6284F">
              <w:rPr>
                <w:rFonts w:eastAsia="Times New Roman"/>
                <w:color w:val="000000"/>
                <w:spacing w:val="2"/>
                <w:sz w:val="25"/>
                <w:lang w:val="sq-AL"/>
              </w:rPr>
              <w:t xml:space="preserve">- </w:t>
            </w:r>
            <w:r w:rsidRPr="00A6284F">
              <w:rPr>
                <w:rFonts w:eastAsia="Times New Roman"/>
                <w:color w:val="000000"/>
                <w:spacing w:val="2"/>
                <w:sz w:val="24"/>
                <w:lang w:val="sq-AL"/>
              </w:rPr>
              <w:t xml:space="preserve">të përmirësojë vlerësimin dhe monitorimin e </w:t>
            </w:r>
            <w:proofErr w:type="spellStart"/>
            <w:r w:rsidRPr="00A6284F">
              <w:rPr>
                <w:rFonts w:eastAsia="Times New Roman"/>
                <w:color w:val="000000"/>
                <w:spacing w:val="2"/>
                <w:sz w:val="24"/>
                <w:lang w:val="sq-AL"/>
              </w:rPr>
              <w:t>granteve</w:t>
            </w:r>
            <w:proofErr w:type="spellEnd"/>
            <w:r w:rsidRPr="00A6284F">
              <w:rPr>
                <w:rFonts w:eastAsia="Times New Roman"/>
                <w:color w:val="000000"/>
                <w:spacing w:val="2"/>
                <w:sz w:val="24"/>
                <w:lang w:val="sq-AL"/>
              </w:rPr>
              <w:t xml:space="preserve"> dhe pagesave të drejtpërdrejta në kuadër të programit;</w:t>
            </w:r>
          </w:p>
          <w:p w:rsidR="00AE7BB1" w:rsidRPr="00A6284F" w:rsidRDefault="00AE7BB1" w:rsidP="007E58F5">
            <w:pPr>
              <w:spacing w:before="125" w:line="277" w:lineRule="exact"/>
              <w:ind w:left="144"/>
              <w:textAlignment w:val="baseline"/>
              <w:rPr>
                <w:rFonts w:eastAsia="Times New Roman"/>
                <w:color w:val="000000"/>
                <w:spacing w:val="2"/>
                <w:sz w:val="25"/>
                <w:lang w:val="sq-AL"/>
              </w:rPr>
            </w:pPr>
            <w:r w:rsidRPr="00A6284F">
              <w:rPr>
                <w:rFonts w:eastAsia="Times New Roman"/>
                <w:color w:val="000000"/>
                <w:spacing w:val="2"/>
                <w:sz w:val="25"/>
                <w:lang w:val="sq-AL"/>
              </w:rPr>
              <w:t xml:space="preserve">- </w:t>
            </w:r>
            <w:r w:rsidRPr="00A6284F">
              <w:rPr>
                <w:rFonts w:eastAsia="Times New Roman"/>
                <w:color w:val="000000"/>
                <w:spacing w:val="2"/>
                <w:sz w:val="24"/>
                <w:lang w:val="sq-AL"/>
              </w:rPr>
              <w:t>të rishikojë dhe përditësojë programin, ashtu që investimet në këtë sektor të jenë më efikase;</w:t>
            </w:r>
          </w:p>
          <w:p w:rsidR="00AE7BB1" w:rsidRPr="00A6284F" w:rsidRDefault="00AE7BB1" w:rsidP="007E58F5">
            <w:pPr>
              <w:spacing w:before="114" w:after="14" w:line="277" w:lineRule="exact"/>
              <w:ind w:left="504" w:right="144" w:hanging="360"/>
              <w:jc w:val="both"/>
              <w:textAlignment w:val="baseline"/>
              <w:rPr>
                <w:rFonts w:eastAsia="Times New Roman"/>
                <w:color w:val="000000"/>
                <w:sz w:val="25"/>
                <w:lang w:val="sq-AL"/>
              </w:rPr>
            </w:pPr>
            <w:r w:rsidRPr="00A6284F">
              <w:rPr>
                <w:rFonts w:eastAsia="Times New Roman"/>
                <w:color w:val="000000"/>
                <w:sz w:val="25"/>
                <w:lang w:val="sq-AL"/>
              </w:rPr>
              <w:t xml:space="preserve">- </w:t>
            </w:r>
            <w:r w:rsidRPr="00A6284F">
              <w:rPr>
                <w:rFonts w:eastAsia="Times New Roman"/>
                <w:color w:val="000000"/>
                <w:sz w:val="24"/>
                <w:lang w:val="sq-AL"/>
              </w:rPr>
              <w:t>të marrë masa urgjente, efektive për të ndaluar humbjen e tokës bujqësore dhe për të zbatuar</w:t>
            </w:r>
            <w:r w:rsidR="00D327DA" w:rsidRPr="00A6284F">
              <w:rPr>
                <w:rFonts w:eastAsia="Times New Roman"/>
                <w:color w:val="000000"/>
                <w:sz w:val="24"/>
                <w:lang w:val="sq-AL"/>
              </w:rPr>
              <w:t xml:space="preserve"> </w:t>
            </w:r>
            <w:r w:rsidRPr="00A6284F">
              <w:rPr>
                <w:rFonts w:eastAsia="Times New Roman"/>
                <w:color w:val="000000"/>
                <w:sz w:val="24"/>
                <w:lang w:val="sq-AL"/>
              </w:rPr>
              <w:t>legjislacionin për planifikimin hapësinor.</w:t>
            </w:r>
          </w:p>
        </w:tc>
      </w:tr>
    </w:tbl>
    <w:p w:rsidR="00AE7BB1" w:rsidRPr="00A6284F" w:rsidRDefault="00AE7BB1" w:rsidP="00AE7BB1">
      <w:pPr>
        <w:spacing w:after="96" w:line="20" w:lineRule="exact"/>
        <w:rPr>
          <w:lang w:val="sq-AL"/>
        </w:rPr>
      </w:pPr>
    </w:p>
    <w:p w:rsidR="00AE7BB1" w:rsidRPr="00A6284F" w:rsidRDefault="00AE7BB1" w:rsidP="00AE7BB1">
      <w:pPr>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çështjet horizontale</w:t>
      </w:r>
      <w:r w:rsidRPr="00A6284F">
        <w:rPr>
          <w:rFonts w:eastAsia="Times New Roman"/>
          <w:color w:val="000000"/>
          <w:sz w:val="24"/>
          <w:lang w:val="sq-AL"/>
        </w:rPr>
        <w:t xml:space="preserve">, buxheti i ndarë për sektorin bujqësor u rrit nga 46 milion euro në vitin 2017 në 48 milion euro në vitin 2018, edhe për pagesat </w:t>
      </w:r>
      <w:proofErr w:type="spellStart"/>
      <w:r w:rsidRPr="00A6284F">
        <w:rPr>
          <w:rFonts w:eastAsia="Times New Roman"/>
          <w:color w:val="000000"/>
          <w:sz w:val="24"/>
          <w:lang w:val="sq-AL"/>
        </w:rPr>
        <w:t>direkte</w:t>
      </w:r>
      <w:proofErr w:type="spellEnd"/>
      <w:r w:rsidRPr="00A6284F">
        <w:rPr>
          <w:rFonts w:eastAsia="Times New Roman"/>
          <w:color w:val="000000"/>
          <w:sz w:val="24"/>
          <w:lang w:val="sq-AL"/>
        </w:rPr>
        <w:t xml:space="preserve"> edhe për </w:t>
      </w:r>
      <w:proofErr w:type="spellStart"/>
      <w:r w:rsidRPr="00A6284F">
        <w:rPr>
          <w:rFonts w:eastAsia="Times New Roman"/>
          <w:color w:val="000000"/>
          <w:sz w:val="24"/>
          <w:lang w:val="sq-AL"/>
        </w:rPr>
        <w:t>grantet</w:t>
      </w:r>
      <w:proofErr w:type="spellEnd"/>
      <w:r w:rsidRPr="00A6284F">
        <w:rPr>
          <w:rFonts w:eastAsia="Times New Roman"/>
          <w:color w:val="000000"/>
          <w:sz w:val="24"/>
          <w:lang w:val="sq-AL"/>
        </w:rPr>
        <w:t xml:space="preserve">. Trendi i rritjes vazhdon edhe në vitin 2019. Është krijuar një skemë me masa të posaçme për qëllim të mbështetjes së katër komunave në veri të Kosovës. </w:t>
      </w:r>
      <w:r w:rsidR="00D327DA" w:rsidRPr="00A6284F">
        <w:rPr>
          <w:rFonts w:eastAsia="Times New Roman"/>
          <w:color w:val="000000"/>
          <w:sz w:val="24"/>
          <w:lang w:val="sq-AL"/>
        </w:rPr>
        <w:t xml:space="preserve">Në mënyrë që të </w:t>
      </w:r>
      <w:r w:rsidRPr="00A6284F">
        <w:rPr>
          <w:rFonts w:eastAsia="Times New Roman"/>
          <w:color w:val="000000"/>
          <w:sz w:val="24"/>
          <w:lang w:val="sq-AL"/>
        </w:rPr>
        <w:t>shfrytëz</w:t>
      </w:r>
      <w:r w:rsidR="00D327DA" w:rsidRPr="00A6284F">
        <w:rPr>
          <w:rFonts w:eastAsia="Times New Roman"/>
          <w:color w:val="000000"/>
          <w:sz w:val="24"/>
          <w:lang w:val="sq-AL"/>
        </w:rPr>
        <w:t xml:space="preserve">ohet </w:t>
      </w:r>
      <w:r w:rsidRPr="00A6284F">
        <w:rPr>
          <w:rFonts w:eastAsia="Times New Roman"/>
          <w:color w:val="000000"/>
          <w:sz w:val="24"/>
          <w:lang w:val="sq-AL"/>
        </w:rPr>
        <w:t>sa më mirë asistenc</w:t>
      </w:r>
      <w:r w:rsidR="00D327DA" w:rsidRPr="00A6284F">
        <w:rPr>
          <w:rFonts w:eastAsia="Times New Roman"/>
          <w:color w:val="000000"/>
          <w:sz w:val="24"/>
          <w:lang w:val="sq-AL"/>
        </w:rPr>
        <w:t>a</w:t>
      </w:r>
      <w:r w:rsidRPr="00A6284F">
        <w:rPr>
          <w:rFonts w:eastAsia="Times New Roman"/>
          <w:color w:val="000000"/>
          <w:sz w:val="24"/>
          <w:lang w:val="sq-AL"/>
        </w:rPr>
        <w:t xml:space="preserve"> në sektor dhe të arri</w:t>
      </w:r>
      <w:r w:rsidR="00D327DA" w:rsidRPr="00A6284F">
        <w:rPr>
          <w:rFonts w:eastAsia="Times New Roman"/>
          <w:color w:val="000000"/>
          <w:sz w:val="24"/>
          <w:lang w:val="sq-AL"/>
        </w:rPr>
        <w:t>he</w:t>
      </w:r>
      <w:r w:rsidRPr="00A6284F">
        <w:rPr>
          <w:rFonts w:eastAsia="Times New Roman"/>
          <w:color w:val="000000"/>
          <w:sz w:val="24"/>
          <w:lang w:val="sq-AL"/>
        </w:rPr>
        <w:t>t ndikim</w:t>
      </w:r>
      <w:r w:rsidR="00D327DA" w:rsidRPr="00A6284F">
        <w:rPr>
          <w:rFonts w:eastAsia="Times New Roman"/>
          <w:color w:val="000000"/>
          <w:sz w:val="24"/>
          <w:lang w:val="sq-AL"/>
        </w:rPr>
        <w:t>i</w:t>
      </w:r>
      <w:r w:rsidRPr="00A6284F">
        <w:rPr>
          <w:rFonts w:eastAsia="Times New Roman"/>
          <w:color w:val="000000"/>
          <w:sz w:val="24"/>
          <w:lang w:val="sq-AL"/>
        </w:rPr>
        <w:t xml:space="preserve"> maksimal, strategjia dhe programi për bujqësi dhe zhvillim rural (2014-2020) </w:t>
      </w:r>
      <w:r w:rsidR="00D327DA" w:rsidRPr="00A6284F">
        <w:rPr>
          <w:rFonts w:eastAsia="Times New Roman"/>
          <w:color w:val="000000"/>
          <w:sz w:val="24"/>
          <w:lang w:val="sq-AL"/>
        </w:rPr>
        <w:t>kërkojnë</w:t>
      </w:r>
      <w:r w:rsidRPr="00A6284F">
        <w:rPr>
          <w:rFonts w:eastAsia="Times New Roman"/>
          <w:color w:val="000000"/>
          <w:sz w:val="24"/>
          <w:lang w:val="sq-AL"/>
        </w:rPr>
        <w:t xml:space="preserve"> </w:t>
      </w:r>
      <w:r w:rsidR="00D327DA" w:rsidRPr="00A6284F">
        <w:rPr>
          <w:rFonts w:eastAsia="Times New Roman"/>
          <w:color w:val="000000"/>
          <w:sz w:val="24"/>
          <w:lang w:val="sq-AL"/>
        </w:rPr>
        <w:t xml:space="preserve">një </w:t>
      </w:r>
      <w:r w:rsidRPr="00A6284F">
        <w:rPr>
          <w:rFonts w:eastAsia="Times New Roman"/>
          <w:color w:val="000000"/>
          <w:sz w:val="24"/>
          <w:lang w:val="sq-AL"/>
        </w:rPr>
        <w:t>vlerësim dhe përditësim</w:t>
      </w:r>
      <w:r w:rsidR="00D327DA" w:rsidRPr="00A6284F">
        <w:rPr>
          <w:rFonts w:eastAsia="Times New Roman"/>
          <w:color w:val="000000"/>
          <w:sz w:val="24"/>
          <w:lang w:val="sq-AL"/>
        </w:rPr>
        <w:t xml:space="preserve"> </w:t>
      </w:r>
      <w:r w:rsidRPr="00A6284F">
        <w:rPr>
          <w:rFonts w:eastAsia="Times New Roman"/>
          <w:color w:val="000000"/>
          <w:sz w:val="24"/>
          <w:lang w:val="sq-AL"/>
        </w:rPr>
        <w:t>të plotë dhe transparent, duke marrë parasysh zhvillimet dhe regjistrimin e bujqësisë të vitit 2015. Ministria e bujqësisë</w:t>
      </w:r>
      <w:r w:rsidR="00D327DA" w:rsidRPr="00A6284F">
        <w:rPr>
          <w:rFonts w:eastAsia="Times New Roman"/>
          <w:color w:val="000000"/>
          <w:sz w:val="24"/>
          <w:lang w:val="sq-AL"/>
        </w:rPr>
        <w:t xml:space="preserve"> </w:t>
      </w:r>
      <w:r w:rsidRPr="00A6284F">
        <w:rPr>
          <w:rFonts w:eastAsia="Times New Roman"/>
          <w:color w:val="000000"/>
          <w:sz w:val="24"/>
          <w:lang w:val="sq-AL"/>
        </w:rPr>
        <w:t xml:space="preserve">ka miratuar programin për pagesa </w:t>
      </w:r>
      <w:proofErr w:type="spellStart"/>
      <w:r w:rsidRPr="00A6284F">
        <w:rPr>
          <w:rFonts w:eastAsia="Times New Roman"/>
          <w:color w:val="000000"/>
          <w:sz w:val="24"/>
          <w:lang w:val="sq-AL"/>
        </w:rPr>
        <w:t>direkte</w:t>
      </w:r>
      <w:proofErr w:type="spellEnd"/>
      <w:r w:rsidRPr="00A6284F">
        <w:rPr>
          <w:rFonts w:eastAsia="Times New Roman"/>
          <w:color w:val="000000"/>
          <w:sz w:val="24"/>
          <w:lang w:val="sq-AL"/>
        </w:rPr>
        <w:t xml:space="preserve"> dhe programin për zhvillimin rural për vitin 2018. Mekanizmi dhe kërkesat për pagesa </w:t>
      </w:r>
      <w:proofErr w:type="spellStart"/>
      <w:r w:rsidRPr="00A6284F">
        <w:rPr>
          <w:rFonts w:eastAsia="Times New Roman"/>
          <w:color w:val="000000"/>
          <w:sz w:val="24"/>
          <w:lang w:val="sq-AL"/>
        </w:rPr>
        <w:t>direkte</w:t>
      </w:r>
      <w:proofErr w:type="spellEnd"/>
      <w:r w:rsidRPr="00A6284F">
        <w:rPr>
          <w:rFonts w:eastAsia="Times New Roman"/>
          <w:color w:val="000000"/>
          <w:sz w:val="24"/>
          <w:lang w:val="sq-AL"/>
        </w:rPr>
        <w:t xml:space="preserve"> nuk kanë pësuar ndryshime dhe mbesin të lidhura me prodhimin. Duhet të futen masat për pajtueshmërinë e tërthortë. </w:t>
      </w:r>
      <w:r w:rsidR="00D327DA" w:rsidRPr="00A6284F">
        <w:rPr>
          <w:rFonts w:eastAsia="Times New Roman"/>
          <w:color w:val="000000"/>
          <w:sz w:val="24"/>
          <w:lang w:val="sq-AL"/>
        </w:rPr>
        <w:t>Megjithëse</w:t>
      </w:r>
      <w:r w:rsidRPr="00A6284F">
        <w:rPr>
          <w:rFonts w:eastAsia="Times New Roman"/>
          <w:color w:val="000000"/>
          <w:sz w:val="24"/>
          <w:lang w:val="sq-AL"/>
        </w:rPr>
        <w:t xml:space="preserve"> është fuqizuar auditimi i brendshëm, mungesa e kapaciteteve profesionale për vlerësim, monitorim dhe kontabilitet në Agjencinë për zhvillimin e bujqësisë vazhdon të ngadalësojë </w:t>
      </w:r>
      <w:r w:rsidR="009B6F85" w:rsidRPr="00A6284F">
        <w:rPr>
          <w:rFonts w:eastAsia="Times New Roman"/>
          <w:color w:val="000000"/>
          <w:sz w:val="24"/>
          <w:lang w:val="sq-AL"/>
        </w:rPr>
        <w:t>procedimin</w:t>
      </w:r>
      <w:r w:rsidRPr="00A6284F">
        <w:rPr>
          <w:rFonts w:eastAsia="Times New Roman"/>
          <w:color w:val="000000"/>
          <w:sz w:val="24"/>
          <w:lang w:val="sq-AL"/>
        </w:rPr>
        <w:t xml:space="preserve"> e duhur të aplikacioneve dhe ekzekutimin e pagesave. Kosova ka bërë progres në themelimin e Sistemit të Kontrollit dhe Administrimit të Integruar (IACS), pasi që momentalisht është duke </w:t>
      </w:r>
      <w:r w:rsidR="009B6F85" w:rsidRPr="00A6284F">
        <w:rPr>
          <w:rFonts w:eastAsia="Times New Roman"/>
          <w:color w:val="000000"/>
          <w:sz w:val="24"/>
          <w:lang w:val="sq-AL"/>
        </w:rPr>
        <w:t xml:space="preserve">e </w:t>
      </w:r>
      <w:r w:rsidRPr="00A6284F">
        <w:rPr>
          <w:rFonts w:eastAsia="Times New Roman"/>
          <w:color w:val="000000"/>
          <w:sz w:val="24"/>
          <w:lang w:val="sq-AL"/>
        </w:rPr>
        <w:t>përditësuar Sistemin e identifikimit të parcelave të tokës (LPIS). Ka krijuar regjistrin elektronik të fermerëve, sistemin e identifikimit dhe regjistrimit të kafshëve dhe Rrjetin e të dhënave të kontabilitetit të fermave (RRDKF). Ofrohen shërbime këshilluese për ferma, por ato duhet të fuqizohen.</w:t>
      </w:r>
    </w:p>
    <w:p w:rsidR="00AE7BB1" w:rsidRPr="00A6284F" w:rsidRDefault="00AE7BB1" w:rsidP="00AE7BB1">
      <w:pPr>
        <w:spacing w:before="124" w:line="274"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është bërë ndonjë progres në lidhje me krijimin e një </w:t>
      </w:r>
      <w:r w:rsidRPr="00A6284F">
        <w:rPr>
          <w:rFonts w:eastAsia="Times New Roman"/>
          <w:b/>
          <w:color w:val="000000"/>
          <w:sz w:val="24"/>
          <w:lang w:val="sq-AL"/>
        </w:rPr>
        <w:t>organizate të përbashkët tregu</w:t>
      </w:r>
      <w:r w:rsidRPr="00A6284F">
        <w:rPr>
          <w:rFonts w:eastAsia="Times New Roman"/>
          <w:color w:val="000000"/>
          <w:sz w:val="24"/>
          <w:lang w:val="sq-AL"/>
        </w:rPr>
        <w:t>. Kosova duhet të bëjë hapa për të krijuar bazën ligjore për themelimin dhe funksionimin e tyre.</w:t>
      </w:r>
    </w:p>
    <w:p w:rsidR="00AE7BB1" w:rsidRPr="00A6284F" w:rsidRDefault="00AE7BB1" w:rsidP="00AE7BB1">
      <w:pPr>
        <w:spacing w:before="126"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fushën e </w:t>
      </w:r>
      <w:r w:rsidRPr="00A6284F">
        <w:rPr>
          <w:rFonts w:eastAsia="Times New Roman"/>
          <w:b/>
          <w:color w:val="000000"/>
          <w:sz w:val="24"/>
          <w:lang w:val="sq-AL"/>
        </w:rPr>
        <w:t>zhvillimit rural</w:t>
      </w:r>
      <w:r w:rsidRPr="00A6284F">
        <w:rPr>
          <w:rFonts w:eastAsia="Times New Roman"/>
          <w:color w:val="000000"/>
          <w:sz w:val="24"/>
          <w:lang w:val="sq-AL"/>
        </w:rPr>
        <w:t xml:space="preserve"> nuk janë bërë ndryshime të rëndësishme, ku masat vazhdojnë të adresojnë modernizimin e fermave dhe objekteve për përpunimin e ushqimit. Niveli i financimit mbetet i ulët dhe efikasiteti i masave aktuale të zhvillimit rural mbetet i dobët, sidomos në lidhje me investimet në ferma, përpunimin primar të ushqimit, krijimin e vendeve të punës në zonat rurale, zhvillimin dhe fuqizimin e komuniteteve lokale, si dhe komasacionin e tokës, qasjen në ujitje dhe azhurnimet për edukim të bujqve.</w:t>
      </w:r>
    </w:p>
    <w:p w:rsidR="00AE7BB1" w:rsidRPr="00A6284F" w:rsidRDefault="00AE7BB1" w:rsidP="00AE7BB1">
      <w:pPr>
        <w:spacing w:before="125" w:line="275"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Tek</w:t>
      </w:r>
      <w:r w:rsidR="009B6F85" w:rsidRPr="00A6284F">
        <w:rPr>
          <w:rFonts w:eastAsia="Times New Roman"/>
          <w:color w:val="000000"/>
          <w:sz w:val="24"/>
          <w:lang w:val="sq-AL"/>
        </w:rPr>
        <w:t xml:space="preserve"> </w:t>
      </w:r>
      <w:r w:rsidRPr="00A6284F">
        <w:rPr>
          <w:rFonts w:eastAsia="Times New Roman"/>
          <w:b/>
          <w:color w:val="000000"/>
          <w:sz w:val="24"/>
          <w:lang w:val="sq-AL"/>
        </w:rPr>
        <w:t>treguesit gjeografik</w:t>
      </w:r>
      <w:r w:rsidRPr="00A6284F">
        <w:rPr>
          <w:rFonts w:eastAsia="Times New Roman"/>
          <w:color w:val="000000"/>
          <w:sz w:val="24"/>
          <w:lang w:val="sq-AL"/>
        </w:rPr>
        <w:t xml:space="preserve">, është bërë </w:t>
      </w:r>
      <w:r w:rsidR="009B6F85" w:rsidRPr="00A6284F">
        <w:rPr>
          <w:rFonts w:eastAsia="Times New Roman"/>
          <w:color w:val="000000"/>
          <w:sz w:val="24"/>
          <w:lang w:val="sq-AL"/>
        </w:rPr>
        <w:t xml:space="preserve">progres </w:t>
      </w:r>
      <w:r w:rsidRPr="00A6284F">
        <w:rPr>
          <w:rFonts w:eastAsia="Times New Roman"/>
          <w:color w:val="000000"/>
          <w:sz w:val="24"/>
          <w:lang w:val="sq-AL"/>
        </w:rPr>
        <w:t xml:space="preserve">me miratimin e legjislacionit i cili lejon produktet me origjinë nga Kosova </w:t>
      </w:r>
      <w:r w:rsidR="009B6F85" w:rsidRPr="00A6284F">
        <w:rPr>
          <w:rFonts w:eastAsia="Times New Roman"/>
          <w:color w:val="000000"/>
          <w:sz w:val="24"/>
          <w:lang w:val="sq-AL"/>
        </w:rPr>
        <w:t xml:space="preserve">që </w:t>
      </w:r>
      <w:r w:rsidRPr="00A6284F">
        <w:rPr>
          <w:rFonts w:eastAsia="Times New Roman"/>
          <w:color w:val="000000"/>
          <w:sz w:val="24"/>
          <w:lang w:val="sq-AL"/>
        </w:rPr>
        <w:t>shënj</w:t>
      </w:r>
      <w:r w:rsidR="009B6F85" w:rsidRPr="00A6284F">
        <w:rPr>
          <w:rFonts w:eastAsia="Times New Roman"/>
          <w:color w:val="000000"/>
          <w:sz w:val="24"/>
          <w:lang w:val="sq-AL"/>
        </w:rPr>
        <w:t xml:space="preserve">ohen </w:t>
      </w:r>
      <w:r w:rsidRPr="00A6284F">
        <w:rPr>
          <w:rFonts w:eastAsia="Times New Roman"/>
          <w:color w:val="000000"/>
          <w:sz w:val="24"/>
          <w:lang w:val="sq-AL"/>
        </w:rPr>
        <w:t>sipas emërtimit të origjinës të etiketohen me treguesin “tregues gjeografik i mbrojtur” dhe “emërtim i origjinës i mbrojtur” ose simbolet që i shoqërojnë ata.</w:t>
      </w:r>
    </w:p>
    <w:p w:rsidR="00AE7BB1" w:rsidRPr="00A6284F" w:rsidRDefault="00AE7BB1" w:rsidP="00AE7BB1">
      <w:pPr>
        <w:spacing w:before="123" w:line="274"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politikat e cilësisë</w:t>
      </w:r>
      <w:r w:rsidRPr="00A6284F">
        <w:rPr>
          <w:rFonts w:eastAsia="Times New Roman"/>
          <w:color w:val="000000"/>
          <w:sz w:val="24"/>
          <w:lang w:val="sq-AL"/>
        </w:rPr>
        <w:t xml:space="preserve"> ka pa</w:t>
      </w:r>
      <w:r w:rsidR="009B6F85" w:rsidRPr="00A6284F">
        <w:rPr>
          <w:rFonts w:eastAsia="Times New Roman"/>
          <w:color w:val="000000"/>
          <w:sz w:val="24"/>
          <w:lang w:val="sq-AL"/>
        </w:rPr>
        <w:t>sur</w:t>
      </w:r>
      <w:r w:rsidRPr="00A6284F">
        <w:rPr>
          <w:rFonts w:eastAsia="Times New Roman"/>
          <w:color w:val="000000"/>
          <w:sz w:val="24"/>
          <w:lang w:val="sq-AL"/>
        </w:rPr>
        <w:t xml:space="preserve"> progres. Legjislacioni mbetet të harmonizohet me </w:t>
      </w:r>
      <w:r w:rsidRPr="00A6284F">
        <w:rPr>
          <w:rFonts w:eastAsia="Times New Roman"/>
          <w:i/>
          <w:color w:val="000000"/>
          <w:sz w:val="24"/>
          <w:lang w:val="sq-AL"/>
        </w:rPr>
        <w:t xml:space="preserve">Acquis-in </w:t>
      </w:r>
      <w:r w:rsidRPr="00A6284F">
        <w:rPr>
          <w:rFonts w:eastAsia="Times New Roman"/>
          <w:color w:val="000000"/>
          <w:sz w:val="24"/>
          <w:lang w:val="sq-AL"/>
        </w:rPr>
        <w:t>dhe të zbatohet siç duhet.</w:t>
      </w:r>
    </w:p>
    <w:p w:rsidR="00AE7BB1" w:rsidRPr="00A6284F" w:rsidRDefault="00AE7BB1" w:rsidP="00AE7BB1">
      <w:pPr>
        <w:spacing w:before="124" w:line="274"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Tek</w:t>
      </w:r>
      <w:r w:rsidR="004345D0" w:rsidRPr="00A6284F">
        <w:rPr>
          <w:rFonts w:eastAsia="Times New Roman"/>
          <w:color w:val="000000"/>
          <w:spacing w:val="-1"/>
          <w:sz w:val="24"/>
          <w:lang w:val="sq-AL"/>
        </w:rPr>
        <w:t xml:space="preserve"> </w:t>
      </w:r>
      <w:r w:rsidRPr="00A6284F">
        <w:rPr>
          <w:rFonts w:eastAsia="Times New Roman"/>
          <w:b/>
          <w:color w:val="000000"/>
          <w:spacing w:val="-1"/>
          <w:sz w:val="24"/>
          <w:lang w:val="sq-AL"/>
        </w:rPr>
        <w:t>bujqësia organike</w:t>
      </w:r>
      <w:r w:rsidRPr="00A6284F">
        <w:rPr>
          <w:rFonts w:eastAsia="Times New Roman"/>
          <w:color w:val="000000"/>
          <w:spacing w:val="-1"/>
          <w:sz w:val="24"/>
          <w:lang w:val="sq-AL"/>
        </w:rPr>
        <w:t>, Kosova</w:t>
      </w:r>
      <w:r w:rsidR="004345D0" w:rsidRPr="00A6284F">
        <w:rPr>
          <w:rFonts w:eastAsia="Times New Roman"/>
          <w:color w:val="000000"/>
          <w:spacing w:val="-1"/>
          <w:sz w:val="24"/>
          <w:lang w:val="sq-AL"/>
        </w:rPr>
        <w:t xml:space="preserve"> </w:t>
      </w:r>
      <w:r w:rsidRPr="00A6284F">
        <w:rPr>
          <w:rFonts w:eastAsia="Times New Roman"/>
          <w:color w:val="000000"/>
          <w:spacing w:val="-1"/>
          <w:sz w:val="24"/>
          <w:lang w:val="sq-AL"/>
        </w:rPr>
        <w:t>ka miratuar planin e veprimit për bujqësinë organike 2018-2021, që identifikon fushat kyçe të punës me qëllim të mbështetjes dhe zhvillimit të sektorit organik.</w:t>
      </w:r>
    </w:p>
    <w:p w:rsidR="00AE7BB1" w:rsidRPr="00A6284F" w:rsidRDefault="00AE7BB1" w:rsidP="00AE7BB1">
      <w:pPr>
        <w:spacing w:before="126" w:line="275"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Nuk ka asnjë progres në lidhje me disponueshmërinë e tokës së punueshme. Ndryshimet në legjislacionin për përdorimin e tokës bujqësore vazhdojnë të kufizojnë disponueshmërinë e saj dhe produktivitetin e fermave. Nuk ka informacione zyrtare se sa tokë bujqësore humb Kosova çdo vit dhe as strategji a plan veprimi për të trajtuar këtë çështje. Në bashkëpunim me </w:t>
      </w:r>
      <w:r w:rsidRPr="00A6284F">
        <w:rPr>
          <w:rFonts w:eastAsia="Times New Roman"/>
          <w:color w:val="000000"/>
          <w:spacing w:val="-1"/>
          <w:sz w:val="24"/>
          <w:lang w:val="sq-AL"/>
        </w:rPr>
        <w:lastRenderedPageBreak/>
        <w:t xml:space="preserve">Ministrinë e mjedisit dhe planifikimit hapësinor, Ministria e </w:t>
      </w:r>
      <w:r w:rsidR="004345D0" w:rsidRPr="00A6284F">
        <w:rPr>
          <w:rFonts w:eastAsia="Times New Roman"/>
          <w:color w:val="000000"/>
          <w:spacing w:val="-1"/>
          <w:sz w:val="24"/>
          <w:lang w:val="sq-AL"/>
        </w:rPr>
        <w:t xml:space="preserve">Bujqësisë </w:t>
      </w:r>
      <w:r w:rsidRPr="00A6284F">
        <w:rPr>
          <w:rFonts w:eastAsia="Times New Roman"/>
          <w:color w:val="000000"/>
          <w:spacing w:val="-1"/>
          <w:sz w:val="24"/>
          <w:lang w:val="sq-AL"/>
        </w:rPr>
        <w:t>duhet të marrë masa urgjente për të ndaluar humbjet e mëtejshme të tokës bujqësore dhe për të zbatuar legjislacionin që rregullon planifikimin hapësinor.</w:t>
      </w:r>
    </w:p>
    <w:p w:rsidR="00AE7BB1" w:rsidRPr="00A6284F" w:rsidRDefault="00AE7BB1" w:rsidP="00AE7BB1">
      <w:pPr>
        <w:spacing w:before="130" w:after="101" w:line="273" w:lineRule="exact"/>
        <w:ind w:left="144"/>
        <w:textAlignment w:val="baseline"/>
        <w:rPr>
          <w:rFonts w:eastAsia="Times New Roman"/>
          <w:b/>
          <w:color w:val="000000"/>
          <w:spacing w:val="4"/>
          <w:sz w:val="24"/>
          <w:lang w:val="sq-AL"/>
        </w:rPr>
      </w:pPr>
      <w:r w:rsidRPr="00A6284F">
        <w:rPr>
          <w:rFonts w:eastAsia="Times New Roman"/>
          <w:b/>
          <w:color w:val="000000"/>
          <w:spacing w:val="4"/>
          <w:sz w:val="24"/>
          <w:lang w:val="sq-AL"/>
        </w:rPr>
        <w:t xml:space="preserve">6.18 Politikat për siguri ushqimore, veterinare dhe </w:t>
      </w:r>
      <w:proofErr w:type="spellStart"/>
      <w:r w:rsidRPr="00A6284F">
        <w:rPr>
          <w:rFonts w:eastAsia="Times New Roman"/>
          <w:b/>
          <w:color w:val="000000"/>
          <w:spacing w:val="4"/>
          <w:sz w:val="24"/>
          <w:lang w:val="sq-AL"/>
        </w:rPr>
        <w:t>fitosanitare</w:t>
      </w:r>
      <w:proofErr w:type="spellEnd"/>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7E58F5">
        <w:trPr>
          <w:trHeight w:hRule="exact" w:val="3029"/>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22"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ka </w:t>
            </w:r>
            <w:r w:rsidRPr="00A6284F">
              <w:rPr>
                <w:rFonts w:eastAsia="Times New Roman"/>
                <w:b/>
                <w:color w:val="000000"/>
                <w:spacing w:val="1"/>
                <w:sz w:val="24"/>
                <w:lang w:val="sq-AL"/>
              </w:rPr>
              <w:t>një nivel përgatitjeje</w:t>
            </w:r>
            <w:r w:rsidRPr="00A6284F">
              <w:rPr>
                <w:rFonts w:eastAsia="Times New Roman"/>
                <w:color w:val="000000"/>
                <w:spacing w:val="1"/>
                <w:sz w:val="24"/>
                <w:lang w:val="sq-AL"/>
              </w:rPr>
              <w:t xml:space="preserve"> në fushën e sigurisë ushqimore, veterinare dhe </w:t>
            </w:r>
            <w:proofErr w:type="spellStart"/>
            <w:r w:rsidRPr="00A6284F">
              <w:rPr>
                <w:rFonts w:eastAsia="Times New Roman"/>
                <w:color w:val="000000"/>
                <w:spacing w:val="1"/>
                <w:sz w:val="24"/>
                <w:lang w:val="sq-AL"/>
              </w:rPr>
              <w:t>fitosanitare</w:t>
            </w:r>
            <w:proofErr w:type="spellEnd"/>
            <w:r w:rsidRPr="00A6284F">
              <w:rPr>
                <w:rFonts w:eastAsia="Times New Roman"/>
                <w:color w:val="000000"/>
                <w:spacing w:val="1"/>
                <w:sz w:val="24"/>
                <w:lang w:val="sq-AL"/>
              </w:rPr>
              <w:t xml:space="preserve">. </w:t>
            </w:r>
            <w:r w:rsidRPr="00A6284F">
              <w:rPr>
                <w:rFonts w:eastAsia="Times New Roman"/>
                <w:b/>
                <w:color w:val="000000"/>
                <w:spacing w:val="1"/>
                <w:sz w:val="24"/>
                <w:lang w:val="sq-AL"/>
              </w:rPr>
              <w:t>Pak progres</w:t>
            </w:r>
            <w:r w:rsidRPr="00A6284F">
              <w:rPr>
                <w:rFonts w:eastAsia="Times New Roman"/>
                <w:color w:val="000000"/>
                <w:spacing w:val="1"/>
                <w:sz w:val="24"/>
                <w:lang w:val="sq-AL"/>
              </w:rPr>
              <w:t xml:space="preserve"> është bërë në miratimin e legjislacionit për siguri ushqimore dhe veterinari.</w:t>
            </w:r>
          </w:p>
          <w:p w:rsidR="00AE7BB1" w:rsidRPr="00A6284F" w:rsidRDefault="00AE7BB1" w:rsidP="007E58F5">
            <w:pPr>
              <w:spacing w:before="120" w:line="273" w:lineRule="exact"/>
              <w:ind w:left="144"/>
              <w:textAlignment w:val="baseline"/>
              <w:rPr>
                <w:rFonts w:eastAsia="Times New Roman"/>
                <w:color w:val="000000"/>
                <w:sz w:val="24"/>
                <w:lang w:val="sq-AL"/>
              </w:rPr>
            </w:pPr>
            <w:r w:rsidRPr="00A6284F">
              <w:rPr>
                <w:rFonts w:eastAsia="Times New Roman"/>
                <w:color w:val="000000"/>
                <w:sz w:val="24"/>
                <w:lang w:val="sq-AL"/>
              </w:rPr>
              <w:t>Në vitin vijues, Kosova duhet që posaçërisht:</w:t>
            </w:r>
          </w:p>
          <w:p w:rsidR="00AE7BB1" w:rsidRPr="00A6284F" w:rsidRDefault="00AE7BB1" w:rsidP="007E58F5">
            <w:pPr>
              <w:spacing w:before="126" w:line="273" w:lineRule="exact"/>
              <w:ind w:left="504" w:right="144" w:hanging="360"/>
              <w:jc w:val="both"/>
              <w:textAlignment w:val="baseline"/>
              <w:rPr>
                <w:rFonts w:ascii="Arial" w:eastAsia="Arial" w:hAnsi="Arial"/>
                <w:color w:val="000000"/>
                <w:sz w:val="25"/>
                <w:lang w:val="sq-AL"/>
              </w:rPr>
            </w:pPr>
            <w:r w:rsidRPr="00A6284F">
              <w:rPr>
                <w:rFonts w:ascii="Arial" w:eastAsia="Arial" w:hAnsi="Arial"/>
                <w:color w:val="000000"/>
                <w:sz w:val="25"/>
                <w:lang w:val="sq-AL"/>
              </w:rPr>
              <w:t xml:space="preserve">→ </w:t>
            </w:r>
            <w:r w:rsidRPr="00A6284F">
              <w:rPr>
                <w:rFonts w:eastAsia="Times New Roman"/>
                <w:color w:val="000000"/>
                <w:sz w:val="24"/>
                <w:lang w:val="sq-AL"/>
              </w:rPr>
              <w:t xml:space="preserve">të </w:t>
            </w:r>
            <w:proofErr w:type="spellStart"/>
            <w:r w:rsidRPr="00A6284F">
              <w:rPr>
                <w:rFonts w:eastAsia="Times New Roman"/>
                <w:color w:val="000000"/>
                <w:sz w:val="24"/>
                <w:lang w:val="sq-AL"/>
              </w:rPr>
              <w:t>implementojë</w:t>
            </w:r>
            <w:proofErr w:type="spellEnd"/>
            <w:r w:rsidRPr="00A6284F">
              <w:rPr>
                <w:rFonts w:eastAsia="Times New Roman"/>
                <w:color w:val="000000"/>
                <w:sz w:val="24"/>
                <w:lang w:val="sq-AL"/>
              </w:rPr>
              <w:t xml:space="preserve"> një sistem të integruar të kontrollimit të ushqimit, duke përfshirë bartjen e përgjegjësive inspektuese tek Agjencia e Ushqimit dhe Veterinarisë;</w:t>
            </w:r>
          </w:p>
          <w:p w:rsidR="00AE7BB1" w:rsidRPr="00A6284F" w:rsidRDefault="00AE7BB1" w:rsidP="007E58F5">
            <w:pPr>
              <w:spacing w:before="130" w:line="270" w:lineRule="exact"/>
              <w:ind w:left="144"/>
              <w:textAlignment w:val="baseline"/>
              <w:rPr>
                <w:rFonts w:ascii="Arial" w:eastAsia="Arial" w:hAnsi="Arial"/>
                <w:color w:val="000000"/>
                <w:sz w:val="25"/>
                <w:lang w:val="sq-AL"/>
              </w:rPr>
            </w:pPr>
            <w:r w:rsidRPr="00A6284F">
              <w:rPr>
                <w:rFonts w:ascii="Arial" w:eastAsia="Arial" w:hAnsi="Arial"/>
                <w:color w:val="000000"/>
                <w:sz w:val="25"/>
                <w:lang w:val="sq-AL"/>
              </w:rPr>
              <w:t xml:space="preserve">→ </w:t>
            </w:r>
            <w:r w:rsidRPr="00A6284F">
              <w:rPr>
                <w:rFonts w:eastAsia="Times New Roman"/>
                <w:color w:val="000000"/>
                <w:sz w:val="24"/>
                <w:lang w:val="sq-AL"/>
              </w:rPr>
              <w:t xml:space="preserve">të përfundojë dhe të vërë në zbatim sistemin e grumbullimit dhe depozitimit të </w:t>
            </w:r>
            <w:r w:rsidR="00264450" w:rsidRPr="00A6284F">
              <w:rPr>
                <w:rFonts w:eastAsia="Times New Roman"/>
                <w:color w:val="000000"/>
                <w:sz w:val="24"/>
                <w:lang w:val="sq-AL"/>
              </w:rPr>
              <w:t>nën</w:t>
            </w:r>
            <w:r w:rsidRPr="00A6284F">
              <w:rPr>
                <w:rFonts w:eastAsia="Times New Roman"/>
                <w:color w:val="000000"/>
                <w:sz w:val="24"/>
                <w:lang w:val="sq-AL"/>
              </w:rPr>
              <w:t>-produkteve shtazore;</w:t>
            </w:r>
          </w:p>
          <w:p w:rsidR="00AE7BB1" w:rsidRPr="00A6284F" w:rsidRDefault="00AE7BB1" w:rsidP="007E58F5">
            <w:pPr>
              <w:spacing w:before="119" w:after="10" w:line="278" w:lineRule="exact"/>
              <w:ind w:left="504" w:right="144" w:hanging="360"/>
              <w:jc w:val="both"/>
              <w:textAlignment w:val="baseline"/>
              <w:rPr>
                <w:rFonts w:ascii="Arial" w:eastAsia="Arial" w:hAnsi="Arial"/>
                <w:color w:val="000000"/>
                <w:sz w:val="25"/>
                <w:lang w:val="sq-AL"/>
              </w:rPr>
            </w:pPr>
            <w:r w:rsidRPr="00A6284F">
              <w:rPr>
                <w:rFonts w:ascii="Arial" w:eastAsia="Arial" w:hAnsi="Arial"/>
                <w:color w:val="000000"/>
                <w:sz w:val="25"/>
                <w:lang w:val="sq-AL"/>
              </w:rPr>
              <w:t xml:space="preserve">→ </w:t>
            </w:r>
            <w:r w:rsidRPr="00A6284F">
              <w:rPr>
                <w:rFonts w:eastAsia="Times New Roman"/>
                <w:color w:val="000000"/>
                <w:sz w:val="24"/>
                <w:lang w:val="sq-AL"/>
              </w:rPr>
              <w:t>të krijojë infrastrukturë cilësore për sigurinë e ushqimit me fokus në marrjen e akreditimit ndërkombëtar për testet dhe laboratorët.</w:t>
            </w:r>
          </w:p>
        </w:tc>
      </w:tr>
    </w:tbl>
    <w:p w:rsidR="00AE7BB1" w:rsidRPr="00A6284F" w:rsidRDefault="00AE7BB1" w:rsidP="00AE7BB1">
      <w:pPr>
        <w:spacing w:after="102" w:line="20" w:lineRule="exact"/>
        <w:rPr>
          <w:lang w:val="sq-AL"/>
        </w:rPr>
      </w:pPr>
    </w:p>
    <w:p w:rsidR="00AE7BB1" w:rsidRPr="00A6284F" w:rsidRDefault="00AE7BB1" w:rsidP="004345D0">
      <w:pPr>
        <w:spacing w:before="3" w:after="422" w:line="273" w:lineRule="exact"/>
        <w:ind w:left="144"/>
        <w:jc w:val="both"/>
        <w:textAlignment w:val="baseline"/>
        <w:rPr>
          <w:rFonts w:eastAsia="Times New Roman"/>
          <w:color w:val="000000"/>
          <w:sz w:val="24"/>
          <w:lang w:val="sq-AL"/>
        </w:rPr>
      </w:pPr>
      <w:r w:rsidRPr="00A6284F">
        <w:rPr>
          <w:rFonts w:eastAsia="Times New Roman"/>
          <w:color w:val="000000"/>
          <w:spacing w:val="4"/>
          <w:sz w:val="24"/>
          <w:lang w:val="sq-AL"/>
        </w:rPr>
        <w:t>Progres është arritur në plotësimin e legjislacionit që rregullon sigurinë e ushqimit dhe ushqimit për</w:t>
      </w:r>
      <w:r w:rsidR="004345D0" w:rsidRPr="00A6284F">
        <w:rPr>
          <w:rFonts w:eastAsia="Times New Roman"/>
          <w:color w:val="000000"/>
          <w:spacing w:val="4"/>
          <w:sz w:val="24"/>
          <w:lang w:val="sq-AL"/>
        </w:rPr>
        <w:t xml:space="preserve"> </w:t>
      </w:r>
      <w:r w:rsidRPr="00A6284F">
        <w:rPr>
          <w:rFonts w:eastAsia="Times New Roman"/>
          <w:color w:val="000000"/>
          <w:spacing w:val="4"/>
          <w:sz w:val="24"/>
          <w:lang w:val="sq-AL"/>
        </w:rPr>
        <w:t>kafshë. Regjistrimi dhe kategorizimi i stabilimenteve të ushqimit dhe ushqimit për kafshë ka përfunduar</w:t>
      </w:r>
      <w:r w:rsidRPr="00A6284F">
        <w:rPr>
          <w:rFonts w:eastAsia="Times New Roman"/>
          <w:color w:val="000000"/>
          <w:sz w:val="24"/>
          <w:lang w:val="sq-AL"/>
        </w:rPr>
        <w:t xml:space="preserve">. Agjencia e ushqimit dhe veterinarisë vazhdon të bëjë kontrolle të rregullta të importimit dhe eksportimit të kafshëve të gjalla, produkteve shtazore, bimëve dhe produkteve bimore, por stabilimentet e regjistruara në BE nuk kanë nevojë për licenca importi. Plani për monitorimin e </w:t>
      </w:r>
      <w:r w:rsidR="00B93589" w:rsidRPr="00A6284F">
        <w:rPr>
          <w:rFonts w:eastAsia="Times New Roman"/>
          <w:color w:val="000000"/>
          <w:sz w:val="24"/>
          <w:lang w:val="sq-AL"/>
        </w:rPr>
        <w:t>medikamenteve</w:t>
      </w:r>
      <w:r w:rsidRPr="00A6284F">
        <w:rPr>
          <w:rFonts w:eastAsia="Times New Roman"/>
          <w:color w:val="000000"/>
          <w:sz w:val="24"/>
          <w:lang w:val="sq-AL"/>
        </w:rPr>
        <w:t xml:space="preserve"> dhe mbetjeve është në përgatitje e sipër. Agjencia ka përgatitur planin shumëvjeçar të kontrollit për sigurinë e ushqimit dhe ushqimit për kafshë, si dhe kapacitetet për zbatimin e tij janë rritur.</w:t>
      </w:r>
    </w:p>
    <w:p w:rsidR="00AE7BB1" w:rsidRPr="00A6284F" w:rsidRDefault="00AE7BB1" w:rsidP="00AE7BB1">
      <w:pPr>
        <w:spacing w:before="116" w:line="278"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Duhet të vazhdohen përpjekjet për përgatitjen e bartjes së përgjegjësive inspektuese nga komunat tek Agjencia.</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politika veterinare</w:t>
      </w:r>
      <w:r w:rsidRPr="00A6284F">
        <w:rPr>
          <w:rFonts w:eastAsia="Times New Roman"/>
          <w:color w:val="000000"/>
          <w:sz w:val="24"/>
          <w:lang w:val="sq-AL"/>
        </w:rPr>
        <w:t xml:space="preserve">, është bërë ca progres me plotësimin e legjislacionit. Agjencia e Ushqimit dhe Veterinarisë aktualisht po avancon sistemin e vet për inspektime kufitare. Sistemi për kontrollin e tregtisë dhe </w:t>
      </w:r>
      <w:r w:rsidR="00450352" w:rsidRPr="00A6284F">
        <w:rPr>
          <w:rFonts w:eastAsia="Times New Roman"/>
          <w:color w:val="000000"/>
          <w:sz w:val="24"/>
          <w:lang w:val="sq-AL"/>
        </w:rPr>
        <w:t xml:space="preserve">sistemi </w:t>
      </w:r>
      <w:r w:rsidRPr="00A6284F">
        <w:rPr>
          <w:rFonts w:eastAsia="Times New Roman"/>
          <w:color w:val="000000"/>
          <w:sz w:val="24"/>
          <w:lang w:val="sq-AL"/>
        </w:rPr>
        <w:t xml:space="preserve">i ekspertëve përdoret vetëm për eksporte. Infrastruktura </w:t>
      </w:r>
      <w:r w:rsidR="00450352" w:rsidRPr="00A6284F">
        <w:rPr>
          <w:rFonts w:eastAsia="Times New Roman"/>
          <w:color w:val="000000"/>
          <w:sz w:val="24"/>
          <w:lang w:val="sq-AL"/>
        </w:rPr>
        <w:t xml:space="preserve">për inspektimin veterinar në </w:t>
      </w:r>
      <w:r w:rsidRPr="00A6284F">
        <w:rPr>
          <w:rFonts w:eastAsia="Times New Roman"/>
          <w:color w:val="000000"/>
          <w:sz w:val="24"/>
          <w:lang w:val="sq-AL"/>
        </w:rPr>
        <w:t>pika</w:t>
      </w:r>
      <w:r w:rsidR="00450352" w:rsidRPr="00A6284F">
        <w:rPr>
          <w:rFonts w:eastAsia="Times New Roman"/>
          <w:color w:val="000000"/>
          <w:sz w:val="24"/>
          <w:lang w:val="sq-AL"/>
        </w:rPr>
        <w:t xml:space="preserve"> </w:t>
      </w:r>
      <w:r w:rsidRPr="00A6284F">
        <w:rPr>
          <w:rFonts w:eastAsia="Times New Roman"/>
          <w:color w:val="000000"/>
          <w:sz w:val="24"/>
          <w:lang w:val="sq-AL"/>
        </w:rPr>
        <w:t>kufitar</w:t>
      </w:r>
      <w:r w:rsidR="00450352" w:rsidRPr="00A6284F">
        <w:rPr>
          <w:rFonts w:eastAsia="Times New Roman"/>
          <w:color w:val="000000"/>
          <w:sz w:val="24"/>
          <w:lang w:val="sq-AL"/>
        </w:rPr>
        <w:t>e</w:t>
      </w:r>
      <w:r w:rsidRPr="00A6284F">
        <w:rPr>
          <w:rFonts w:eastAsia="Times New Roman"/>
          <w:color w:val="000000"/>
          <w:sz w:val="24"/>
          <w:lang w:val="sq-AL"/>
        </w:rPr>
        <w:t xml:space="preserve"> mbetet e dobët. Asnjë nga pikat nuk ka objekte karantine për kafshët e gjalla.</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Në fushën e </w:t>
      </w:r>
      <w:r w:rsidRPr="00A6284F">
        <w:rPr>
          <w:rFonts w:eastAsia="Times New Roman"/>
          <w:b/>
          <w:color w:val="000000"/>
          <w:sz w:val="24"/>
          <w:lang w:val="sq-AL"/>
        </w:rPr>
        <w:t>shëndetit shtazor</w:t>
      </w:r>
      <w:r w:rsidRPr="00A6284F">
        <w:rPr>
          <w:rFonts w:eastAsia="Times New Roman"/>
          <w:color w:val="000000"/>
          <w:sz w:val="24"/>
          <w:lang w:val="sq-AL"/>
        </w:rPr>
        <w:t>, nuk ka pasur zhvillime të rëndësishme. Programi shumëvjeçar për kontrollimin dhe mbikëqyrjen e sëmundjeve shtazore është në funksion, por</w:t>
      </w:r>
      <w:r w:rsidR="00450352" w:rsidRPr="00A6284F">
        <w:rPr>
          <w:rFonts w:eastAsia="Times New Roman"/>
          <w:color w:val="000000"/>
          <w:sz w:val="24"/>
          <w:lang w:val="sq-AL"/>
        </w:rPr>
        <w:t xml:space="preserve"> </w:t>
      </w:r>
      <w:r w:rsidRPr="00A6284F">
        <w:rPr>
          <w:rFonts w:eastAsia="Times New Roman"/>
          <w:color w:val="000000"/>
          <w:sz w:val="24"/>
          <w:lang w:val="sq-AL"/>
        </w:rPr>
        <w:t xml:space="preserve">nuk është siguruar zbatimi i plotë, pasi që Agjencia nuk ka fonde dhe kapacitete të </w:t>
      </w:r>
      <w:r w:rsidR="00450352" w:rsidRPr="00A6284F">
        <w:rPr>
          <w:rFonts w:eastAsia="Times New Roman"/>
          <w:color w:val="000000"/>
          <w:sz w:val="24"/>
          <w:lang w:val="sq-AL"/>
        </w:rPr>
        <w:t>mjaftueshme. Si</w:t>
      </w:r>
      <w:r w:rsidRPr="00A6284F">
        <w:rPr>
          <w:rFonts w:eastAsia="Times New Roman"/>
          <w:color w:val="000000"/>
          <w:sz w:val="24"/>
          <w:lang w:val="sq-AL"/>
        </w:rPr>
        <w:t xml:space="preserve"> pjesë e përpjekjeve rajonale për kontrollimin dhe zhdukjen e tërbimit, Agjencia ka vazhduar fushatën e vaksinimit me mbështetjen e BE-së. Programi i vaksinimit për sëmundjen e gungave të lëkurës (LSD) është në vazhdim e sipër. Kapacitetet e Agjencisë për reagim në rast epidemie mbeten akoma të pamjaftueshme.</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menaxhimit të </w:t>
      </w:r>
      <w:r w:rsidRPr="00A6284F">
        <w:rPr>
          <w:rFonts w:eastAsia="Times New Roman"/>
          <w:b/>
          <w:color w:val="000000"/>
          <w:sz w:val="24"/>
          <w:lang w:val="sq-AL"/>
        </w:rPr>
        <w:t>n</w:t>
      </w:r>
      <w:r w:rsidR="00450352" w:rsidRPr="00A6284F">
        <w:rPr>
          <w:rFonts w:eastAsia="Times New Roman"/>
          <w:b/>
          <w:color w:val="000000"/>
          <w:sz w:val="24"/>
          <w:lang w:val="sq-AL"/>
        </w:rPr>
        <w:t>ën-</w:t>
      </w:r>
      <w:r w:rsidRPr="00A6284F">
        <w:rPr>
          <w:rFonts w:eastAsia="Times New Roman"/>
          <w:b/>
          <w:color w:val="000000"/>
          <w:sz w:val="24"/>
          <w:lang w:val="sq-AL"/>
        </w:rPr>
        <w:t>produkteve shtazore</w:t>
      </w:r>
      <w:r w:rsidRPr="00A6284F">
        <w:rPr>
          <w:rFonts w:eastAsia="Times New Roman"/>
          <w:color w:val="000000"/>
          <w:sz w:val="24"/>
          <w:lang w:val="sq-AL"/>
        </w:rPr>
        <w:t>, përparim është bërë në ndërtimin dhe pajisjen e impiantit depozitues të Kategorisë I dhe në pajtim me rregulloren përkatëse janë trajnuar inspektorët dhe operatorët e thertores. Megjithatë, nevojiten përpjekje të mëtutjeshme për të siguruar se ekziston</w:t>
      </w:r>
      <w:r w:rsidR="00450352" w:rsidRPr="00A6284F">
        <w:rPr>
          <w:rFonts w:eastAsia="Times New Roman"/>
          <w:color w:val="000000"/>
          <w:sz w:val="24"/>
          <w:lang w:val="sq-AL"/>
        </w:rPr>
        <w:t xml:space="preserve"> </w:t>
      </w:r>
      <w:r w:rsidRPr="00A6284F">
        <w:rPr>
          <w:rFonts w:eastAsia="Times New Roman"/>
          <w:color w:val="000000"/>
          <w:sz w:val="24"/>
          <w:lang w:val="sq-AL"/>
        </w:rPr>
        <w:t>sistem i mirëfilltë grumbullimi për n</w:t>
      </w:r>
      <w:r w:rsidR="00450352" w:rsidRPr="00A6284F">
        <w:rPr>
          <w:rFonts w:eastAsia="Times New Roman"/>
          <w:color w:val="000000"/>
          <w:sz w:val="24"/>
          <w:lang w:val="sq-AL"/>
        </w:rPr>
        <w:t>ën</w:t>
      </w:r>
      <w:r w:rsidRPr="00A6284F">
        <w:rPr>
          <w:rFonts w:eastAsia="Times New Roman"/>
          <w:color w:val="000000"/>
          <w:sz w:val="24"/>
          <w:lang w:val="sq-AL"/>
        </w:rPr>
        <w:t>produkte shtazore.</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ka pasur progres në fushën e </w:t>
      </w:r>
      <w:r w:rsidRPr="00A6284F">
        <w:rPr>
          <w:rFonts w:eastAsia="Times New Roman"/>
          <w:b/>
          <w:color w:val="000000"/>
          <w:sz w:val="24"/>
          <w:lang w:val="sq-AL"/>
        </w:rPr>
        <w:t>identifikimit dhe regjistrimit të kafshëve</w:t>
      </w:r>
      <w:r w:rsidRPr="00A6284F">
        <w:rPr>
          <w:rFonts w:eastAsia="Times New Roman"/>
          <w:color w:val="000000"/>
          <w:sz w:val="24"/>
          <w:lang w:val="sq-AL"/>
        </w:rPr>
        <w:t>, ku mbetet problematik mos raportimi i lëvizjeve shtazore. Agjencia ende nuk i ka miratuar masat për zbatimin e rregullores për identifikimin dhe regjistrimin e kafshëve në nivel të tregjeve të shtazëve, thertoreve dhe transportit të bagëtisë.</w:t>
      </w:r>
    </w:p>
    <w:p w:rsidR="00AE7BB1" w:rsidRPr="00A6284F" w:rsidRDefault="00AE7BB1" w:rsidP="00AE7BB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Edhe pse identifikimi i masave themelore të </w:t>
      </w:r>
      <w:r w:rsidRPr="00A6284F">
        <w:rPr>
          <w:rFonts w:eastAsia="Times New Roman"/>
          <w:b/>
          <w:color w:val="000000"/>
          <w:sz w:val="24"/>
          <w:lang w:val="sq-AL"/>
        </w:rPr>
        <w:t>përputhshmërisë së tërthortë</w:t>
      </w:r>
      <w:r w:rsidRPr="00A6284F">
        <w:rPr>
          <w:rFonts w:eastAsia="Times New Roman"/>
          <w:color w:val="000000"/>
          <w:sz w:val="24"/>
          <w:lang w:val="sq-AL"/>
        </w:rPr>
        <w:t xml:space="preserve"> në fushat e sigurisë së ushqimit, shëndetit dhe mirëqenies së kafshëve mbetet prioritet për Agjencinë, duhet të bëhet progres për përfshirjen e tyre në programin e bujqësisë.</w:t>
      </w:r>
    </w:p>
    <w:p w:rsidR="00AE7BB1" w:rsidRPr="00A6284F" w:rsidRDefault="00AE7BB1" w:rsidP="00AE7BB1">
      <w:pPr>
        <w:spacing w:before="126" w:line="275"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lastRenderedPageBreak/>
        <w:t xml:space="preserve">Sa i përket masave të </w:t>
      </w:r>
      <w:r w:rsidRPr="00A6284F">
        <w:rPr>
          <w:rFonts w:eastAsia="Times New Roman"/>
          <w:b/>
          <w:color w:val="000000"/>
          <w:spacing w:val="1"/>
          <w:sz w:val="24"/>
          <w:lang w:val="sq-AL"/>
        </w:rPr>
        <w:t>fito</w:t>
      </w:r>
      <w:r w:rsidR="00161CC9" w:rsidRPr="00A6284F">
        <w:rPr>
          <w:rFonts w:eastAsia="Times New Roman"/>
          <w:b/>
          <w:color w:val="000000"/>
          <w:spacing w:val="1"/>
          <w:sz w:val="24"/>
          <w:lang w:val="sq-AL"/>
        </w:rPr>
        <w:t>-</w:t>
      </w:r>
      <w:proofErr w:type="spellStart"/>
      <w:r w:rsidRPr="00A6284F">
        <w:rPr>
          <w:rFonts w:eastAsia="Times New Roman"/>
          <w:b/>
          <w:color w:val="000000"/>
          <w:spacing w:val="1"/>
          <w:sz w:val="24"/>
          <w:lang w:val="sq-AL"/>
        </w:rPr>
        <w:t>sanitarisë</w:t>
      </w:r>
      <w:proofErr w:type="spellEnd"/>
      <w:r w:rsidRPr="00A6284F">
        <w:rPr>
          <w:rFonts w:eastAsia="Times New Roman"/>
          <w:color w:val="000000"/>
          <w:spacing w:val="1"/>
          <w:sz w:val="24"/>
          <w:lang w:val="sq-AL"/>
        </w:rPr>
        <w:t xml:space="preserve">, puna përgatitore për të mbështetur inspektimet, </w:t>
      </w:r>
      <w:proofErr w:type="spellStart"/>
      <w:r w:rsidRPr="00A6284F">
        <w:rPr>
          <w:rFonts w:eastAsia="Times New Roman"/>
          <w:color w:val="000000"/>
          <w:spacing w:val="1"/>
          <w:sz w:val="24"/>
          <w:lang w:val="sq-AL"/>
        </w:rPr>
        <w:t>mostrimin</w:t>
      </w:r>
      <w:proofErr w:type="spellEnd"/>
      <w:r w:rsidRPr="00A6284F">
        <w:rPr>
          <w:rFonts w:eastAsia="Times New Roman"/>
          <w:color w:val="000000"/>
          <w:spacing w:val="1"/>
          <w:sz w:val="24"/>
          <w:lang w:val="sq-AL"/>
        </w:rPr>
        <w:t xml:space="preserve"> dhe zbulimin më të mirë të sëmundjeve të bimëve është në vazhdim e sipër. Megjithëse janë mbajtur disa trajnime për monitorimin e shëndetit të bimëve dhe menaxhimin e produkteve për mbrojtjen e bimëve, nevojiten përpjekje të mëtutjeshme për të përmirësuar kapacitetet zbatuese dhe </w:t>
      </w:r>
      <w:proofErr w:type="spellStart"/>
      <w:r w:rsidRPr="00A6284F">
        <w:rPr>
          <w:rFonts w:eastAsia="Times New Roman"/>
          <w:color w:val="000000"/>
          <w:spacing w:val="1"/>
          <w:sz w:val="24"/>
          <w:lang w:val="sq-AL"/>
        </w:rPr>
        <w:t>operacionale</w:t>
      </w:r>
      <w:proofErr w:type="spellEnd"/>
      <w:r w:rsidRPr="00A6284F">
        <w:rPr>
          <w:rFonts w:eastAsia="Times New Roman"/>
          <w:color w:val="000000"/>
          <w:spacing w:val="1"/>
          <w:sz w:val="24"/>
          <w:lang w:val="sq-AL"/>
        </w:rPr>
        <w:t xml:space="preserve"> të institucioneve përgjegjëse për shëndetin e bimëve, për të siguruar sistem efektiv të kontrollit të sëmundjeve bimore.</w:t>
      </w:r>
    </w:p>
    <w:p w:rsidR="00AE7BB1" w:rsidRPr="00A6284F" w:rsidRDefault="00AE7BB1" w:rsidP="00AE7BB1">
      <w:pPr>
        <w:spacing w:before="130" w:after="106" w:line="273" w:lineRule="exact"/>
        <w:ind w:left="144"/>
        <w:textAlignment w:val="baseline"/>
        <w:rPr>
          <w:rFonts w:eastAsia="Times New Roman"/>
          <w:b/>
          <w:color w:val="000000"/>
          <w:spacing w:val="15"/>
          <w:sz w:val="24"/>
          <w:lang w:val="sq-AL"/>
        </w:rPr>
      </w:pPr>
      <w:r w:rsidRPr="00A6284F">
        <w:rPr>
          <w:rFonts w:eastAsia="Times New Roman"/>
          <w:b/>
          <w:color w:val="000000"/>
          <w:spacing w:val="15"/>
          <w:sz w:val="24"/>
          <w:lang w:val="sq-AL"/>
        </w:rPr>
        <w:t>6.19 Peshkataria</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7E58F5">
        <w:trPr>
          <w:trHeight w:hRule="exact" w:val="2229"/>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24" w:line="273"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 është</w:t>
            </w:r>
            <w:r w:rsidR="00161CC9" w:rsidRPr="00A6284F">
              <w:rPr>
                <w:rFonts w:eastAsia="Times New Roman"/>
                <w:color w:val="000000"/>
                <w:sz w:val="24"/>
                <w:lang w:val="sq-AL"/>
              </w:rPr>
              <w:t xml:space="preserve"> ende</w:t>
            </w:r>
            <w:r w:rsidRPr="00A6284F">
              <w:rPr>
                <w:rFonts w:eastAsia="Times New Roman"/>
                <w:color w:val="000000"/>
                <w:sz w:val="24"/>
                <w:lang w:val="sq-AL"/>
              </w:rPr>
              <w:t xml:space="preserve"> në një </w:t>
            </w:r>
            <w:r w:rsidRPr="00A6284F">
              <w:rPr>
                <w:rFonts w:eastAsia="Times New Roman"/>
                <w:b/>
                <w:color w:val="000000"/>
                <w:sz w:val="24"/>
                <w:lang w:val="sq-AL"/>
              </w:rPr>
              <w:t>fazë të hershme</w:t>
            </w:r>
            <w:r w:rsidRPr="00A6284F">
              <w:rPr>
                <w:rFonts w:eastAsia="Times New Roman"/>
                <w:color w:val="000000"/>
                <w:sz w:val="24"/>
                <w:lang w:val="sq-AL"/>
              </w:rPr>
              <w:t xml:space="preserve"> të përgatitjes në fushën e peshkatarisë. Nuk është arritur </w:t>
            </w:r>
            <w:r w:rsidRPr="00A6284F">
              <w:rPr>
                <w:rFonts w:eastAsia="Times New Roman"/>
                <w:b/>
                <w:color w:val="000000"/>
                <w:sz w:val="24"/>
                <w:lang w:val="sq-AL"/>
              </w:rPr>
              <w:t>fare progres</w:t>
            </w:r>
            <w:r w:rsidRPr="00A6284F">
              <w:rPr>
                <w:rFonts w:eastAsia="Times New Roman"/>
                <w:color w:val="000000"/>
                <w:sz w:val="24"/>
                <w:lang w:val="sq-AL"/>
              </w:rPr>
              <w:t xml:space="preserve"> që nga raporti i vitit të kaluar. </w:t>
            </w:r>
          </w:p>
          <w:p w:rsidR="00AE7BB1" w:rsidRPr="00A6284F" w:rsidRDefault="00AE7BB1" w:rsidP="007E58F5">
            <w:pPr>
              <w:spacing w:before="127" w:line="273"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Pasi që nuk janë zbatuar asnjë nga rekomandimet e raportit të fundit, në vitet e ardhshme Kosova duhet që:</w:t>
            </w:r>
          </w:p>
          <w:p w:rsidR="00AE7BB1" w:rsidRPr="00A6284F" w:rsidRDefault="00AE7BB1" w:rsidP="007E58F5">
            <w:pPr>
              <w:spacing w:before="5" w:after="124" w:line="413" w:lineRule="exact"/>
              <w:ind w:left="144"/>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sz w:val="24"/>
                <w:szCs w:val="24"/>
                <w:lang w:val="sq-AL"/>
              </w:rPr>
              <w:t xml:space="preserve">Të harmonizojë më tutje politikat e saj të tregut me </w:t>
            </w:r>
            <w:r w:rsidRPr="00A6284F">
              <w:rPr>
                <w:rFonts w:eastAsia="Times New Roman"/>
                <w:i/>
                <w:color w:val="000000"/>
                <w:sz w:val="24"/>
                <w:lang w:val="sq-AL"/>
              </w:rPr>
              <w:t xml:space="preserve">Acquis-in; </w:t>
            </w:r>
            <w:r w:rsidRPr="00A6284F">
              <w:rPr>
                <w:rFonts w:eastAsia="Times New Roman"/>
                <w:i/>
                <w:color w:val="000000"/>
                <w:sz w:val="24"/>
                <w:lang w:val="sq-AL"/>
              </w:rPr>
              <w:br/>
            </w:r>
            <w:r w:rsidRPr="00A6284F">
              <w:rPr>
                <w:rFonts w:ascii="Arial Narrow" w:eastAsia="Arial Narrow" w:hAnsi="Arial Narrow"/>
                <w:color w:val="000000"/>
                <w:lang w:val="sq-AL"/>
              </w:rPr>
              <w:t xml:space="preserve">-* </w:t>
            </w:r>
            <w:r w:rsidRPr="00A6284F">
              <w:rPr>
                <w:rFonts w:eastAsia="Times New Roman"/>
                <w:color w:val="000000"/>
                <w:sz w:val="24"/>
                <w:lang w:val="sq-AL"/>
              </w:rPr>
              <w:t>Të krijojë inventarin e specieve të peshqve.</w:t>
            </w:r>
          </w:p>
        </w:tc>
      </w:tr>
    </w:tbl>
    <w:p w:rsidR="00AE7BB1" w:rsidRPr="00A6284F" w:rsidRDefault="00AE7BB1" w:rsidP="00AE7BB1">
      <w:pPr>
        <w:spacing w:before="7" w:after="393" w:line="274"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Pasi që sektori i peshkatarisë përbëhet nga peshkimi komerciale në liqene dhe </w:t>
      </w:r>
      <w:proofErr w:type="spellStart"/>
      <w:r w:rsidRPr="00A6284F">
        <w:rPr>
          <w:rFonts w:eastAsia="Times New Roman"/>
          <w:color w:val="000000"/>
          <w:sz w:val="24"/>
          <w:lang w:val="sq-AL"/>
        </w:rPr>
        <w:t>akuakultura</w:t>
      </w:r>
      <w:proofErr w:type="spellEnd"/>
      <w:r w:rsidRPr="00A6284F">
        <w:rPr>
          <w:rFonts w:eastAsia="Times New Roman"/>
          <w:color w:val="000000"/>
          <w:sz w:val="24"/>
          <w:lang w:val="sq-AL"/>
        </w:rPr>
        <w:t xml:space="preserve">, </w:t>
      </w:r>
      <w:r w:rsidR="00161CC9" w:rsidRPr="00A6284F">
        <w:rPr>
          <w:rFonts w:eastAsia="Times New Roman"/>
          <w:i/>
          <w:color w:val="000000"/>
          <w:sz w:val="24"/>
          <w:lang w:val="sq-AL"/>
        </w:rPr>
        <w:t>a</w:t>
      </w:r>
      <w:r w:rsidRPr="00A6284F">
        <w:rPr>
          <w:rFonts w:eastAsia="Times New Roman"/>
          <w:i/>
          <w:color w:val="000000"/>
          <w:sz w:val="24"/>
          <w:lang w:val="sq-AL"/>
        </w:rPr>
        <w:t>cquis</w:t>
      </w:r>
      <w:r w:rsidR="00161CC9" w:rsidRPr="00A6284F">
        <w:rPr>
          <w:rFonts w:eastAsia="Times New Roman"/>
          <w:i/>
          <w:color w:val="000000"/>
          <w:sz w:val="24"/>
          <w:lang w:val="sq-AL"/>
        </w:rPr>
        <w:t xml:space="preserve"> </w:t>
      </w:r>
      <w:r w:rsidRPr="00A6284F">
        <w:rPr>
          <w:rFonts w:eastAsia="Times New Roman"/>
          <w:color w:val="000000"/>
          <w:sz w:val="24"/>
          <w:lang w:val="sq-AL"/>
        </w:rPr>
        <w:t xml:space="preserve">për kuotat e zënies, inspektimit dhe kontrollit ka </w:t>
      </w:r>
      <w:proofErr w:type="spellStart"/>
      <w:r w:rsidRPr="00A6284F">
        <w:rPr>
          <w:rFonts w:eastAsia="Times New Roman"/>
          <w:color w:val="000000"/>
          <w:sz w:val="24"/>
          <w:lang w:val="sq-AL"/>
        </w:rPr>
        <w:t>zbatueshmëri</w:t>
      </w:r>
      <w:proofErr w:type="spellEnd"/>
      <w:r w:rsidRPr="00A6284F">
        <w:rPr>
          <w:rFonts w:eastAsia="Times New Roman"/>
          <w:color w:val="000000"/>
          <w:sz w:val="24"/>
          <w:lang w:val="sq-AL"/>
        </w:rPr>
        <w:t xml:space="preserve"> shumë të kufizuar. Kosova duhet të fokusohet në hartimin e </w:t>
      </w:r>
      <w:r w:rsidRPr="00A6284F">
        <w:rPr>
          <w:rFonts w:eastAsia="Times New Roman"/>
          <w:b/>
          <w:color w:val="000000"/>
          <w:sz w:val="24"/>
          <w:lang w:val="sq-AL"/>
        </w:rPr>
        <w:t>politikave</w:t>
      </w:r>
      <w:r w:rsidR="00264450" w:rsidRPr="00A6284F">
        <w:rPr>
          <w:rFonts w:eastAsia="Times New Roman"/>
          <w:b/>
          <w:color w:val="000000"/>
          <w:sz w:val="24"/>
          <w:lang w:val="sq-AL"/>
        </w:rPr>
        <w:t xml:space="preserve"> </w:t>
      </w:r>
      <w:r w:rsidRPr="00A6284F">
        <w:rPr>
          <w:rFonts w:eastAsia="Times New Roman"/>
          <w:b/>
          <w:color w:val="000000"/>
          <w:sz w:val="24"/>
          <w:lang w:val="sq-AL"/>
        </w:rPr>
        <w:t>të tregut</w:t>
      </w:r>
      <w:r w:rsidRPr="00A6284F">
        <w:rPr>
          <w:rFonts w:eastAsia="Times New Roman"/>
          <w:color w:val="000000"/>
          <w:sz w:val="24"/>
          <w:lang w:val="sq-AL"/>
        </w:rPr>
        <w:t xml:space="preserve"> që janë në përputhje me </w:t>
      </w:r>
      <w:r w:rsidR="00161CC9" w:rsidRPr="00A6284F">
        <w:rPr>
          <w:rFonts w:eastAsia="Times New Roman"/>
          <w:i/>
          <w:color w:val="000000"/>
          <w:sz w:val="24"/>
          <w:lang w:val="sq-AL"/>
        </w:rPr>
        <w:t>a</w:t>
      </w:r>
      <w:r w:rsidRPr="00A6284F">
        <w:rPr>
          <w:rFonts w:eastAsia="Times New Roman"/>
          <w:i/>
          <w:color w:val="000000"/>
          <w:sz w:val="24"/>
          <w:lang w:val="sq-AL"/>
        </w:rPr>
        <w:t>cquis-in</w:t>
      </w:r>
      <w:r w:rsidRPr="00A6284F">
        <w:rPr>
          <w:rFonts w:eastAsia="Times New Roman"/>
          <w:color w:val="000000"/>
          <w:sz w:val="24"/>
          <w:lang w:val="sq-AL"/>
        </w:rPr>
        <w:t xml:space="preserve">, krijimin e një inventari të specieve të peshqve dhe kryerjen e inspektimeve siç kërkohet sipas </w:t>
      </w:r>
      <w:r w:rsidR="00161CC9" w:rsidRPr="00A6284F">
        <w:rPr>
          <w:rFonts w:eastAsia="Times New Roman"/>
          <w:i/>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w:t>
      </w:r>
      <w:r w:rsidR="00161CC9" w:rsidRPr="00A6284F">
        <w:rPr>
          <w:rFonts w:eastAsia="Times New Roman"/>
          <w:color w:val="000000"/>
          <w:sz w:val="24"/>
          <w:lang w:val="sq-AL"/>
        </w:rPr>
        <w:t xml:space="preserve"> </w:t>
      </w:r>
    </w:p>
    <w:p w:rsidR="00AE7BB1" w:rsidRPr="00A6284F" w:rsidRDefault="00AE7BB1" w:rsidP="00AE7BB1">
      <w:pPr>
        <w:spacing w:before="125" w:after="105" w:line="273" w:lineRule="exact"/>
        <w:ind w:left="144"/>
        <w:textAlignment w:val="baseline"/>
        <w:rPr>
          <w:rFonts w:eastAsia="Times New Roman"/>
          <w:b/>
          <w:color w:val="000000"/>
          <w:spacing w:val="6"/>
          <w:sz w:val="24"/>
          <w:lang w:val="sq-AL"/>
        </w:rPr>
      </w:pPr>
      <w:r w:rsidRPr="00A6284F">
        <w:rPr>
          <w:rFonts w:eastAsia="Times New Roman"/>
          <w:b/>
          <w:color w:val="000000"/>
          <w:spacing w:val="6"/>
          <w:sz w:val="24"/>
          <w:lang w:val="sq-AL"/>
        </w:rPr>
        <w:t>6.20 Mjedisi dhe ndryshimet klimatike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804E2E">
        <w:trPr>
          <w:trHeight w:hRule="exact" w:val="5136"/>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w:t>
            </w:r>
            <w:r w:rsidRPr="00A6284F">
              <w:rPr>
                <w:rFonts w:eastAsia="Times New Roman"/>
                <w:b/>
                <w:color w:val="000000"/>
                <w:sz w:val="24"/>
                <w:lang w:val="sq-AL"/>
              </w:rPr>
              <w:t>fazë të hershme të përgatitjes</w:t>
            </w:r>
            <w:r w:rsidRPr="00A6284F">
              <w:rPr>
                <w:rFonts w:eastAsia="Times New Roman"/>
                <w:color w:val="000000"/>
                <w:sz w:val="24"/>
                <w:lang w:val="sq-AL"/>
              </w:rPr>
              <w:t xml:space="preserve"> në fushën e mjedisit dhe ndryshimeve klimatike. Është arritur pak progres, kryesisht përmes miratimit të strategjive përkatëse, por problemet serioze mjedisore vazhdojnë të ndikojnë në jetesën dhe shëndetin e popullsisë. Sfidat në rritje të mbrojtjes së mjedisit dhe ndryshimeve klimatike kërkojnë vullnet shumë më të madh politik.</w:t>
            </w:r>
          </w:p>
          <w:p w:rsidR="00AE7BB1" w:rsidRPr="00A6284F" w:rsidRDefault="00AE7BB1" w:rsidP="007E58F5">
            <w:pPr>
              <w:spacing w:before="123" w:line="276" w:lineRule="exact"/>
              <w:ind w:left="144"/>
              <w:textAlignment w:val="baseline"/>
              <w:rPr>
                <w:rFonts w:eastAsia="Times New Roman"/>
                <w:color w:val="000000"/>
                <w:spacing w:val="-1"/>
                <w:sz w:val="24"/>
                <w:lang w:val="sq-AL"/>
              </w:rPr>
            </w:pPr>
            <w:r w:rsidRPr="00A6284F">
              <w:rPr>
                <w:rFonts w:eastAsia="Times New Roman"/>
                <w:color w:val="000000"/>
                <w:spacing w:val="-1"/>
                <w:sz w:val="24"/>
                <w:lang w:val="sq-AL"/>
              </w:rPr>
              <w:t>Në vitin vijues, Kosova duhet:</w:t>
            </w:r>
          </w:p>
          <w:p w:rsidR="00AE7BB1" w:rsidRPr="00A6284F" w:rsidRDefault="00AE7BB1" w:rsidP="007E58F5">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vendosë sistem efektiv të monitorimi të cilësisë së</w:t>
            </w:r>
            <w:r w:rsidR="00804E2E" w:rsidRPr="00A6284F">
              <w:rPr>
                <w:rFonts w:eastAsia="Times New Roman"/>
                <w:color w:val="000000"/>
                <w:sz w:val="24"/>
                <w:lang w:val="sq-AL"/>
              </w:rPr>
              <w:t xml:space="preserve"> </w:t>
            </w:r>
            <w:r w:rsidRPr="00A6284F">
              <w:rPr>
                <w:rFonts w:eastAsia="Times New Roman"/>
                <w:color w:val="000000"/>
                <w:sz w:val="24"/>
                <w:lang w:val="sq-AL"/>
              </w:rPr>
              <w:t>ujit, të publikojë të dhëna dhe të ndërmarrë masa urgjente për të zvogëluar ndotjen e ajrit dhe ujit;</w:t>
            </w:r>
          </w:p>
          <w:p w:rsidR="00AE7BB1" w:rsidRPr="00A6284F" w:rsidRDefault="00AE7BB1"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vazhdojë të rrisë </w:t>
            </w:r>
            <w:proofErr w:type="spellStart"/>
            <w:r w:rsidRPr="00A6284F">
              <w:rPr>
                <w:rFonts w:eastAsia="Times New Roman"/>
                <w:color w:val="000000"/>
                <w:sz w:val="24"/>
                <w:lang w:val="sq-AL"/>
              </w:rPr>
              <w:t>mbulueshmërinë</w:t>
            </w:r>
            <w:proofErr w:type="spellEnd"/>
            <w:r w:rsidRPr="00A6284F">
              <w:rPr>
                <w:rFonts w:eastAsia="Times New Roman"/>
                <w:color w:val="000000"/>
                <w:sz w:val="24"/>
                <w:lang w:val="sq-AL"/>
              </w:rPr>
              <w:t xml:space="preserve"> e grumbullimit të mbeturinave nga ekonomitë familjare</w:t>
            </w:r>
            <w:r w:rsidR="00804E2E" w:rsidRPr="00A6284F">
              <w:rPr>
                <w:rFonts w:eastAsia="Times New Roman"/>
                <w:color w:val="000000"/>
                <w:sz w:val="24"/>
                <w:lang w:val="sq-AL"/>
              </w:rPr>
              <w:t xml:space="preserve"> </w:t>
            </w:r>
            <w:r w:rsidRPr="00A6284F">
              <w:rPr>
                <w:rFonts w:eastAsia="Times New Roman"/>
                <w:color w:val="000000"/>
                <w:sz w:val="24"/>
                <w:lang w:val="sq-AL"/>
              </w:rPr>
              <w:t xml:space="preserve">dhe të adresojë çështjen e </w:t>
            </w:r>
            <w:proofErr w:type="spellStart"/>
            <w:r w:rsidRPr="00A6284F">
              <w:rPr>
                <w:rFonts w:eastAsia="Times New Roman"/>
                <w:color w:val="000000"/>
                <w:sz w:val="24"/>
                <w:lang w:val="sq-AL"/>
              </w:rPr>
              <w:t>deponive</w:t>
            </w:r>
            <w:proofErr w:type="spellEnd"/>
            <w:r w:rsidRPr="00A6284F">
              <w:rPr>
                <w:rFonts w:eastAsia="Times New Roman"/>
                <w:color w:val="000000"/>
                <w:sz w:val="24"/>
                <w:lang w:val="sq-AL"/>
              </w:rPr>
              <w:t xml:space="preserve"> të paligjshme;</w:t>
            </w:r>
          </w:p>
          <w:p w:rsidR="00AE7BB1" w:rsidRPr="00A6284F" w:rsidRDefault="00AE7BB1" w:rsidP="007E58F5">
            <w:pPr>
              <w:spacing w:before="13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w:t>
            </w:r>
            <w:r w:rsidR="00804E2E" w:rsidRPr="00A6284F">
              <w:rPr>
                <w:rFonts w:eastAsia="Times New Roman"/>
                <w:color w:val="000000"/>
                <w:sz w:val="24"/>
                <w:lang w:val="sq-AL"/>
              </w:rPr>
              <w:t>zbatoj</w:t>
            </w:r>
            <w:r w:rsidRPr="00A6284F">
              <w:rPr>
                <w:rFonts w:eastAsia="Times New Roman"/>
                <w:color w:val="000000"/>
                <w:sz w:val="24"/>
                <w:lang w:val="sq-AL"/>
              </w:rPr>
              <w:t xml:space="preserve"> dispozitat ligjore për përgjegjësinë, dëmtimet dhe krimin mjedisor; të zbatojë parimin </w:t>
            </w:r>
            <w:r w:rsidRPr="00A6284F">
              <w:rPr>
                <w:rFonts w:eastAsia="Times New Roman"/>
                <w:i/>
                <w:color w:val="000000"/>
                <w:sz w:val="24"/>
                <w:lang w:val="sq-AL"/>
              </w:rPr>
              <w:t>ndotësi paguan</w:t>
            </w:r>
            <w:r w:rsidRPr="00A6284F">
              <w:rPr>
                <w:rFonts w:eastAsia="Times New Roman"/>
                <w:color w:val="000000"/>
                <w:sz w:val="24"/>
                <w:lang w:val="sq-AL"/>
              </w:rPr>
              <w:t xml:space="preserve"> dhe të ngrejë vetëdijen publike për mbrojtjen e mjedisit;</w:t>
            </w:r>
          </w:p>
          <w:p w:rsidR="00AE7BB1" w:rsidRPr="00A6284F" w:rsidRDefault="00AE7BB1" w:rsidP="00264450">
            <w:pPr>
              <w:spacing w:before="140" w:after="11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zbatojë strategjinë për ndryshimet klimatike dhe planin e veprimit për ndryshimet klimatike, të përgatisë një udhëzues për harmonizimin me</w:t>
            </w:r>
            <w:r w:rsidR="00264450" w:rsidRPr="00A6284F">
              <w:rPr>
                <w:rFonts w:eastAsia="Times New Roman"/>
                <w:color w:val="000000"/>
                <w:sz w:val="24"/>
                <w:lang w:val="sq-AL"/>
              </w:rPr>
              <w:t xml:space="preserve"> a</w:t>
            </w:r>
            <w:r w:rsidRPr="00A6284F">
              <w:rPr>
                <w:rFonts w:eastAsia="Times New Roman"/>
                <w:i/>
                <w:color w:val="000000"/>
                <w:sz w:val="24"/>
                <w:lang w:val="sq-AL"/>
              </w:rPr>
              <w:t xml:space="preserve">cquis-in </w:t>
            </w:r>
            <w:r w:rsidRPr="00A6284F">
              <w:rPr>
                <w:rFonts w:eastAsia="Times New Roman"/>
                <w:color w:val="000000"/>
                <w:sz w:val="24"/>
                <w:lang w:val="sq-AL"/>
              </w:rPr>
              <w:t>për klimën dhe të fillojë punën për planin e energjisë dhe klimës në përputhje me rekomandimet e Komunitetit të Energjisë.</w:t>
            </w:r>
          </w:p>
        </w:tc>
      </w:tr>
    </w:tbl>
    <w:p w:rsidR="00AE7BB1" w:rsidRPr="00A6284F" w:rsidRDefault="00AE7BB1" w:rsidP="00AE7BB1">
      <w:pPr>
        <w:spacing w:before="4" w:line="276"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Mjedisi</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Strategjia e mjedisit ende nuk është përditësuar dhe zbatuar. Zbatimi i masave prioritare vazhdon të dëmtohet nga financimi i pamjaftueshëm, mungesa e kapaciteteve administrative dhe e aftësive teknike. Për harmonizimin dhe zbatimin e plotë të direktivave të mbetura nevojitet progres i mëtejshëm. Mos harmonizimi me Direktivën e përgjegjësisë mjedisore dëmton </w:t>
      </w:r>
      <w:proofErr w:type="spellStart"/>
      <w:r w:rsidRPr="00A6284F">
        <w:rPr>
          <w:rFonts w:eastAsia="Times New Roman"/>
          <w:color w:val="000000"/>
          <w:sz w:val="24"/>
          <w:lang w:val="sq-AL"/>
        </w:rPr>
        <w:t>efektshmërinë</w:t>
      </w:r>
      <w:proofErr w:type="spellEnd"/>
      <w:r w:rsidRPr="00A6284F">
        <w:rPr>
          <w:rFonts w:eastAsia="Times New Roman"/>
          <w:color w:val="000000"/>
          <w:sz w:val="24"/>
          <w:lang w:val="sq-AL"/>
        </w:rPr>
        <w:t xml:space="preserve"> e mbrojtjes mjedisore. Progres është arritur në fuqizimin e dispozitave të krimit mjedisor në kodin penal të sapo miratuar, por prokurorët dhe gjykatat janë të paefektshme dhe nuk janë të trajnuar në këtë fushë. Inspektoratet mjedisore nuk kanë kapacitete dhe nuk janë në gjendje të sigurojnë zbatim efektiv. Zbatimi i Direktivave për vlerësimin e ndikimit mjedisor dhe strategjik duhet të përmirësohet në masë të </w:t>
      </w:r>
      <w:r w:rsidRPr="00A6284F">
        <w:rPr>
          <w:rFonts w:eastAsia="Times New Roman"/>
          <w:color w:val="000000"/>
          <w:sz w:val="24"/>
          <w:lang w:val="sq-AL"/>
        </w:rPr>
        <w:lastRenderedPageBreak/>
        <w:t>konsiderueshme, sidomos në sektorët me efekte të konsiderueshme në mjedis, si energjia dhe transporti. Është i domosdoshëm edhe angazhimi kuptimplotë i publikut dhe shoqërisë civile.</w:t>
      </w:r>
    </w:p>
    <w:p w:rsidR="00AE7BB1" w:rsidRPr="00A6284F" w:rsidRDefault="00AE7BB1" w:rsidP="00AE7BB1">
      <w:pPr>
        <w:spacing w:before="122" w:line="276" w:lineRule="exact"/>
        <w:ind w:left="144"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Cilësia e ajrit</w:t>
      </w:r>
      <w:r w:rsidR="002C1E8D" w:rsidRPr="00A6284F">
        <w:rPr>
          <w:rFonts w:eastAsia="Times New Roman"/>
          <w:b/>
          <w:color w:val="000000"/>
          <w:spacing w:val="-1"/>
          <w:sz w:val="24"/>
          <w:lang w:val="sq-AL"/>
        </w:rPr>
        <w:t xml:space="preserve"> </w:t>
      </w:r>
      <w:r w:rsidRPr="00A6284F">
        <w:rPr>
          <w:rFonts w:eastAsia="Times New Roman"/>
          <w:color w:val="000000"/>
          <w:spacing w:val="-1"/>
          <w:sz w:val="24"/>
          <w:lang w:val="sq-AL"/>
        </w:rPr>
        <w:t>vazhdon të paraqesë kërcënim madhor për shëndetin e njerëzve dhe duhet të bëhen përpjekje për të miratuar masat për ta përmirësuar atë, kryesisht duke zbatuar planin për</w:t>
      </w:r>
      <w:r w:rsidR="002C1E8D" w:rsidRPr="00A6284F">
        <w:rPr>
          <w:rFonts w:eastAsia="Times New Roman"/>
          <w:color w:val="000000"/>
          <w:spacing w:val="-1"/>
          <w:sz w:val="24"/>
          <w:lang w:val="sq-AL"/>
        </w:rPr>
        <w:t xml:space="preserve"> </w:t>
      </w:r>
      <w:r w:rsidRPr="00A6284F">
        <w:rPr>
          <w:rFonts w:eastAsia="Times New Roman"/>
          <w:color w:val="000000"/>
          <w:spacing w:val="-1"/>
          <w:sz w:val="24"/>
          <w:lang w:val="sq-AL"/>
        </w:rPr>
        <w:t>reduktimin e emetimeve, i cili ishte miratuar në vitin 2018. Strategjia e Kosovës për cilësinë e ajrit nuk zbatohet. Duhet të miratohen një plan veprimi për cilësinë e ajrit dhe ligji për mbrojtjen nga ndotja. Problem serioz dhe i pa trajtuar mbetet ndotja e pakontrolluar nga sektori i energjisë (posaçërisht nga termocentrali Kosova B dhe ngrohjet e ekonomive familjare), por edhe nga komplekset industriale, trafiku rrugor dhe djegia e mbeturinave dhe materialeve të tjera toksike. Planet e cilësisë së ajrit për zonat ku nivelet e ndotësve dukshëm tejkalojnë vlerat kufitare në masë të madhe, sidomos gjatë dimrit, ende nuk janë përgatitur e as miratuar. Tashmë është funksional edhe sistemi për monitorimin e cilësisë së ajrit me tetë stacione të matjes, që siguron të dhëna në kohë reale për publikun. Nevojiten masa urgjente dhe zgjidhje të përhershme për të zvogëluar varësinë e ekonomive familjare nga ngrohja me linjit dhe dru.</w:t>
      </w:r>
    </w:p>
    <w:p w:rsidR="00AE7BB1" w:rsidRPr="00A6284F" w:rsidRDefault="00AE7BB1" w:rsidP="00AE7BB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Sistemi i </w:t>
      </w:r>
      <w:r w:rsidRPr="00A6284F">
        <w:rPr>
          <w:rFonts w:eastAsia="Times New Roman"/>
          <w:b/>
          <w:color w:val="000000"/>
          <w:sz w:val="24"/>
          <w:lang w:val="sq-AL"/>
        </w:rPr>
        <w:t>menaxhimit të mbeturinave</w:t>
      </w:r>
      <w:r w:rsidRPr="00A6284F">
        <w:rPr>
          <w:rFonts w:eastAsia="Times New Roman"/>
          <w:color w:val="000000"/>
          <w:sz w:val="24"/>
          <w:lang w:val="sq-AL"/>
        </w:rPr>
        <w:t xml:space="preserve"> të ngurta në Kosovë vazhdon të mbetet i paqëndrueshëm. Korniza ligjore është pjesërisht e harmonizuar me </w:t>
      </w:r>
      <w:r w:rsidR="00D06F3D" w:rsidRPr="00A6284F">
        <w:rPr>
          <w:rFonts w:eastAsia="Times New Roman"/>
          <w:color w:val="000000"/>
          <w:sz w:val="24"/>
          <w:lang w:val="sq-AL"/>
        </w:rPr>
        <w:t>a</w:t>
      </w:r>
      <w:r w:rsidRPr="00A6284F">
        <w:rPr>
          <w:rFonts w:eastAsia="Times New Roman"/>
          <w:i/>
          <w:color w:val="000000"/>
          <w:sz w:val="24"/>
          <w:lang w:val="sq-AL"/>
        </w:rPr>
        <w:t>cquis</w:t>
      </w:r>
      <w:r w:rsidR="00D06F3D" w:rsidRPr="00A6284F">
        <w:rPr>
          <w:rFonts w:eastAsia="Times New Roman"/>
          <w:i/>
          <w:color w:val="000000"/>
          <w:sz w:val="24"/>
          <w:lang w:val="sq-AL"/>
        </w:rPr>
        <w:t xml:space="preserve"> </w:t>
      </w:r>
      <w:r w:rsidRPr="00A6284F">
        <w:rPr>
          <w:rFonts w:eastAsia="Times New Roman"/>
          <w:color w:val="000000"/>
          <w:sz w:val="24"/>
          <w:lang w:val="sq-AL"/>
        </w:rPr>
        <w:t xml:space="preserve">por mungon zbatimi dhe shumica e </w:t>
      </w:r>
      <w:r w:rsidR="00D06F3D" w:rsidRPr="00A6284F">
        <w:rPr>
          <w:rFonts w:eastAsia="Times New Roman"/>
          <w:color w:val="000000"/>
          <w:sz w:val="24"/>
          <w:lang w:val="sq-AL"/>
        </w:rPr>
        <w:t xml:space="preserve">mbeturinave </w:t>
      </w:r>
      <w:r w:rsidRPr="00A6284F">
        <w:rPr>
          <w:rFonts w:eastAsia="Times New Roman"/>
          <w:color w:val="000000"/>
          <w:sz w:val="24"/>
          <w:lang w:val="sq-AL"/>
        </w:rPr>
        <w:t xml:space="preserve">përfundojnë në </w:t>
      </w:r>
      <w:proofErr w:type="spellStart"/>
      <w:r w:rsidRPr="00A6284F">
        <w:rPr>
          <w:rFonts w:eastAsia="Times New Roman"/>
          <w:color w:val="000000"/>
          <w:sz w:val="24"/>
          <w:lang w:val="sq-AL"/>
        </w:rPr>
        <w:t>deponi</w:t>
      </w:r>
      <w:proofErr w:type="spellEnd"/>
      <w:r w:rsidRPr="00A6284F">
        <w:rPr>
          <w:rFonts w:eastAsia="Times New Roman"/>
          <w:color w:val="000000"/>
          <w:sz w:val="24"/>
          <w:lang w:val="sq-AL"/>
        </w:rPr>
        <w:t xml:space="preserve"> të ligjshme dhe të paligjshme. Grumbullimi i mbeturinave duhet të </w:t>
      </w:r>
      <w:r w:rsidR="00D06F3D" w:rsidRPr="00A6284F">
        <w:rPr>
          <w:rFonts w:eastAsia="Times New Roman"/>
          <w:color w:val="000000"/>
          <w:sz w:val="24"/>
          <w:lang w:val="sq-AL"/>
        </w:rPr>
        <w:t>rritet edhe</w:t>
      </w:r>
      <w:r w:rsidRPr="00A6284F">
        <w:rPr>
          <w:rFonts w:eastAsia="Times New Roman"/>
          <w:color w:val="000000"/>
          <w:sz w:val="24"/>
          <w:lang w:val="sq-AL"/>
        </w:rPr>
        <w:t xml:space="preserve"> më tutje, përderisa duhet të futen rrjedha të ndryshme të riciklimit të mbeturinave. Strategjia dhe </w:t>
      </w:r>
      <w:proofErr w:type="spellStart"/>
      <w:r w:rsidRPr="00A6284F">
        <w:rPr>
          <w:rFonts w:eastAsia="Times New Roman"/>
          <w:color w:val="000000"/>
          <w:sz w:val="24"/>
          <w:lang w:val="sq-AL"/>
        </w:rPr>
        <w:t>Master</w:t>
      </w:r>
      <w:proofErr w:type="spellEnd"/>
      <w:r w:rsidRPr="00A6284F">
        <w:rPr>
          <w:rFonts w:eastAsia="Times New Roman"/>
          <w:color w:val="000000"/>
          <w:sz w:val="24"/>
          <w:lang w:val="sq-AL"/>
        </w:rPr>
        <w:t>-Plani për menaxhimin e mbeturinave 2013-2022 pasqyrohen vetëm pjesërisht në planet komunale për mbeturina të ngurta. Autoritetet përgjegjëse duhet të ndërmarrin hapa drejt një qasjeje qarkore ekonomike, të bazuar në reduktimin e mbeturinave, ndarjen e mbeturinave në burim, riciklimin dhe rikuperimin.</w:t>
      </w:r>
      <w:r w:rsidR="002C1E8D" w:rsidRPr="00A6284F">
        <w:rPr>
          <w:rFonts w:eastAsia="Times New Roman"/>
          <w:color w:val="000000"/>
          <w:sz w:val="24"/>
          <w:lang w:val="sq-AL"/>
        </w:rPr>
        <w:t xml:space="preserve"> </w:t>
      </w:r>
      <w:r w:rsidRPr="00A6284F">
        <w:rPr>
          <w:rFonts w:eastAsia="Times New Roman"/>
          <w:color w:val="000000"/>
          <w:sz w:val="24"/>
          <w:lang w:val="sq-AL"/>
        </w:rPr>
        <w:t xml:space="preserve">Janë duke u bërë përpjekje për të trajtuar numrin e lartë të </w:t>
      </w:r>
      <w:proofErr w:type="spellStart"/>
      <w:r w:rsidRPr="00A6284F">
        <w:rPr>
          <w:rFonts w:eastAsia="Times New Roman"/>
          <w:color w:val="000000"/>
          <w:sz w:val="24"/>
          <w:lang w:val="sq-AL"/>
        </w:rPr>
        <w:t>deponive</w:t>
      </w:r>
      <w:proofErr w:type="spellEnd"/>
      <w:r w:rsidRPr="00A6284F">
        <w:rPr>
          <w:rFonts w:eastAsia="Times New Roman"/>
          <w:color w:val="000000"/>
          <w:sz w:val="24"/>
          <w:lang w:val="sq-AL"/>
        </w:rPr>
        <w:t xml:space="preserve"> ilegale, por nevojiten masa më urgjente dhe të qëndrueshme (duke përfshirë parandalimin dhe monitorimin). Shumica e </w:t>
      </w:r>
      <w:proofErr w:type="spellStart"/>
      <w:r w:rsidRPr="00A6284F">
        <w:rPr>
          <w:rFonts w:eastAsia="Times New Roman"/>
          <w:color w:val="000000"/>
          <w:sz w:val="24"/>
          <w:lang w:val="sq-AL"/>
        </w:rPr>
        <w:t>deponive</w:t>
      </w:r>
      <w:proofErr w:type="spellEnd"/>
      <w:r w:rsidRPr="00A6284F">
        <w:rPr>
          <w:rFonts w:eastAsia="Times New Roman"/>
          <w:color w:val="000000"/>
          <w:sz w:val="24"/>
          <w:lang w:val="sq-AL"/>
        </w:rPr>
        <w:t xml:space="preserve"> ekzistuese kanë arritur fundin e kapaciteteve të tyre deponuese, dhe paraqesin rrezik mjedisor afatgjatë, posaçërisht për kontaminimin e ujërave nëntokësorë. Kjo vlen posaçërisht për </w:t>
      </w:r>
      <w:proofErr w:type="spellStart"/>
      <w:r w:rsidRPr="00A6284F">
        <w:rPr>
          <w:rFonts w:eastAsia="Times New Roman"/>
          <w:color w:val="000000"/>
          <w:sz w:val="24"/>
          <w:lang w:val="sq-AL"/>
        </w:rPr>
        <w:t>deponinë</w:t>
      </w:r>
      <w:proofErr w:type="spellEnd"/>
      <w:r w:rsidRPr="00A6284F">
        <w:rPr>
          <w:rFonts w:eastAsia="Times New Roman"/>
          <w:color w:val="000000"/>
          <w:sz w:val="24"/>
          <w:lang w:val="sq-AL"/>
        </w:rPr>
        <w:t xml:space="preserve"> e Mirashit në Obiliq/</w:t>
      </w:r>
      <w:proofErr w:type="spellStart"/>
      <w:r w:rsidRPr="00A6284F">
        <w:rPr>
          <w:rFonts w:eastAsia="Times New Roman"/>
          <w:color w:val="000000"/>
          <w:sz w:val="24"/>
          <w:lang w:val="sq-AL"/>
        </w:rPr>
        <w:t>Obilić</w:t>
      </w:r>
      <w:proofErr w:type="spellEnd"/>
      <w:r w:rsidRPr="00A6284F">
        <w:rPr>
          <w:rFonts w:eastAsia="Times New Roman"/>
          <w:color w:val="000000"/>
          <w:sz w:val="24"/>
          <w:lang w:val="sq-AL"/>
        </w:rPr>
        <w:t>, e cila kërkon rehabilitim urgjent dhe mbyllje të përhershme.</w:t>
      </w:r>
    </w:p>
    <w:p w:rsidR="00AE7BB1" w:rsidRPr="00A6284F" w:rsidRDefault="00D06F3D" w:rsidP="00AE7BB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w:t>
      </w:r>
      <w:r w:rsidR="00AE7BB1" w:rsidRPr="00A6284F">
        <w:rPr>
          <w:rFonts w:eastAsia="Times New Roman"/>
          <w:color w:val="000000"/>
          <w:sz w:val="24"/>
          <w:lang w:val="sq-AL"/>
        </w:rPr>
        <w:t>rogres</w:t>
      </w:r>
      <w:r w:rsidRPr="00A6284F">
        <w:rPr>
          <w:rFonts w:eastAsia="Times New Roman"/>
          <w:color w:val="000000"/>
          <w:sz w:val="24"/>
          <w:lang w:val="sq-AL"/>
        </w:rPr>
        <w:t xml:space="preserve"> i vogël</w:t>
      </w:r>
      <w:r w:rsidR="00AE7BB1" w:rsidRPr="00A6284F">
        <w:rPr>
          <w:rFonts w:eastAsia="Times New Roman"/>
          <w:color w:val="000000"/>
          <w:sz w:val="24"/>
          <w:lang w:val="sq-AL"/>
        </w:rPr>
        <w:t xml:space="preserve"> është vërejtur në lidhje me </w:t>
      </w:r>
      <w:r w:rsidR="00AE7BB1" w:rsidRPr="00A6284F">
        <w:rPr>
          <w:rFonts w:eastAsia="Times New Roman"/>
          <w:b/>
          <w:color w:val="000000"/>
          <w:sz w:val="24"/>
          <w:lang w:val="sq-AL"/>
        </w:rPr>
        <w:t>ujërat</w:t>
      </w:r>
      <w:r w:rsidR="00AE7BB1" w:rsidRPr="00A6284F">
        <w:rPr>
          <w:rFonts w:eastAsia="Times New Roman"/>
          <w:color w:val="000000"/>
          <w:sz w:val="24"/>
          <w:lang w:val="sq-AL"/>
        </w:rPr>
        <w:t>, sidomos përmes miratimit të strategjisë shtetërore të ujërave në Kosovë 2017</w:t>
      </w:r>
      <w:r w:rsidRPr="00A6284F">
        <w:rPr>
          <w:rFonts w:eastAsia="Times New Roman"/>
          <w:color w:val="000000"/>
          <w:sz w:val="24"/>
          <w:lang w:val="sq-AL"/>
        </w:rPr>
        <w:t>-</w:t>
      </w:r>
      <w:r w:rsidR="00AE7BB1" w:rsidRPr="00A6284F">
        <w:rPr>
          <w:rFonts w:eastAsia="Times New Roman"/>
          <w:color w:val="000000"/>
          <w:sz w:val="24"/>
          <w:lang w:val="sq-AL"/>
        </w:rPr>
        <w:softHyphen/>
        <w:t xml:space="preserve">2036, përfshirë një plan veprimi të investimeve. Megjithatë, nuk është shënuar progres në harmonizimin e legjislacionit për ujërat me </w:t>
      </w:r>
      <w:r w:rsidRPr="00A6284F">
        <w:rPr>
          <w:rFonts w:eastAsia="Times New Roman"/>
          <w:color w:val="000000"/>
          <w:sz w:val="24"/>
          <w:lang w:val="sq-AL"/>
        </w:rPr>
        <w:t>a</w:t>
      </w:r>
      <w:r w:rsidR="00AE7BB1" w:rsidRPr="00A6284F">
        <w:rPr>
          <w:rFonts w:eastAsia="Times New Roman"/>
          <w:i/>
          <w:color w:val="000000"/>
          <w:sz w:val="24"/>
          <w:lang w:val="sq-AL"/>
        </w:rPr>
        <w:t>cquis</w:t>
      </w:r>
      <w:r w:rsidR="00AE7BB1" w:rsidRPr="00A6284F">
        <w:rPr>
          <w:rFonts w:eastAsia="Times New Roman"/>
          <w:color w:val="000000"/>
          <w:sz w:val="24"/>
          <w:lang w:val="sq-AL"/>
        </w:rPr>
        <w:t xml:space="preserve">. Nevojiten përpjekje urgjente për të siguruar funksionalizimin e autoritetit për pellgjet lumore, i cili është themeluar në korrik të vitit 2017, dhe të përgatiten plane menaxhuese. Progres është vërejtur në bashkëpunimin ndërkombëtar për menaxhimin e integruar të ujërave. Kanalizimet dhe shkarkimet e pa trajtuara mbesin burim kryesor i ndotjes. Rrjeti i monitorimi është funksional për ujërat nëntokësor, por jo edhe për ujërat tokësor. Nuk është publikuar asnjë raport për cilësinë e ujit të pijshëm që nga viti 2015. Kërkohet identifikimi i aglomeracioneve dhe zonave të ndjeshme, në përputhje me Direktivën për trajtimin e ujërave të zeza urbane. Duhet të sigurohet financimi buxhetor për projektet prioritare në këtë fushë. </w:t>
      </w:r>
      <w:proofErr w:type="spellStart"/>
      <w:r w:rsidR="00AE7BB1" w:rsidRPr="00A6284F">
        <w:rPr>
          <w:rFonts w:eastAsia="Times New Roman"/>
          <w:color w:val="000000"/>
          <w:sz w:val="24"/>
          <w:lang w:val="sq-AL"/>
        </w:rPr>
        <w:t>Inkasimi</w:t>
      </w:r>
      <w:proofErr w:type="spellEnd"/>
      <w:r w:rsidR="00AE7BB1" w:rsidRPr="00A6284F">
        <w:rPr>
          <w:rFonts w:eastAsia="Times New Roman"/>
          <w:color w:val="000000"/>
          <w:sz w:val="24"/>
          <w:lang w:val="sq-AL"/>
        </w:rPr>
        <w:t xml:space="preserve"> i tarifave duhet të përmirësohet, ndërsa humbjet teknike të ujit të zvogëlohen.</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Një shkallë progresi është vërejtur në</w:t>
      </w:r>
      <w:r w:rsidR="009A53FD" w:rsidRPr="00A6284F">
        <w:rPr>
          <w:rFonts w:eastAsia="Times New Roman"/>
          <w:color w:val="000000"/>
          <w:sz w:val="24"/>
          <w:lang w:val="sq-AL"/>
        </w:rPr>
        <w:t xml:space="preserve"> </w:t>
      </w:r>
      <w:r w:rsidRPr="00A6284F">
        <w:rPr>
          <w:rFonts w:eastAsia="Times New Roman"/>
          <w:b/>
          <w:color w:val="000000"/>
          <w:sz w:val="24"/>
          <w:lang w:val="sq-AL"/>
        </w:rPr>
        <w:t>mbrojtjen e natyrës</w:t>
      </w:r>
      <w:r w:rsidRPr="00A6284F">
        <w:rPr>
          <w:rFonts w:eastAsia="Times New Roman"/>
          <w:color w:val="000000"/>
          <w:sz w:val="24"/>
          <w:lang w:val="sq-AL"/>
        </w:rPr>
        <w:t xml:space="preserve">, posaçërisht me miratimin e planit të veprimit për </w:t>
      </w:r>
      <w:proofErr w:type="spellStart"/>
      <w:r w:rsidRPr="00A6284F">
        <w:rPr>
          <w:rFonts w:eastAsia="Times New Roman"/>
          <w:color w:val="000000"/>
          <w:sz w:val="24"/>
          <w:lang w:val="sq-AL"/>
        </w:rPr>
        <w:t>biodiversitetin</w:t>
      </w:r>
      <w:proofErr w:type="spellEnd"/>
      <w:r w:rsidRPr="00A6284F">
        <w:rPr>
          <w:rFonts w:eastAsia="Times New Roman"/>
          <w:color w:val="000000"/>
          <w:sz w:val="24"/>
          <w:lang w:val="sq-AL"/>
        </w:rPr>
        <w:t xml:space="preserve"> 2016-2020. Janë marrë hapa për të filluar inventarizimin dhe </w:t>
      </w:r>
      <w:proofErr w:type="spellStart"/>
      <w:r w:rsidRPr="00A6284F">
        <w:rPr>
          <w:rFonts w:eastAsia="Times New Roman"/>
          <w:color w:val="000000"/>
          <w:sz w:val="24"/>
          <w:lang w:val="sq-AL"/>
        </w:rPr>
        <w:t>hartëzimin</w:t>
      </w:r>
      <w:proofErr w:type="spellEnd"/>
      <w:r w:rsidRPr="00A6284F">
        <w:rPr>
          <w:rFonts w:eastAsia="Times New Roman"/>
          <w:color w:val="000000"/>
          <w:sz w:val="24"/>
          <w:lang w:val="sq-AL"/>
        </w:rPr>
        <w:t xml:space="preserve"> e llojeve të </w:t>
      </w:r>
      <w:proofErr w:type="spellStart"/>
      <w:r w:rsidRPr="00A6284F">
        <w:rPr>
          <w:rFonts w:eastAsia="Times New Roman"/>
          <w:color w:val="000000"/>
          <w:sz w:val="24"/>
          <w:lang w:val="sq-AL"/>
        </w:rPr>
        <w:t>habitateve</w:t>
      </w:r>
      <w:proofErr w:type="spellEnd"/>
      <w:r w:rsidRPr="00A6284F">
        <w:rPr>
          <w:rFonts w:eastAsia="Times New Roman"/>
          <w:color w:val="000000"/>
          <w:sz w:val="24"/>
          <w:lang w:val="sq-AL"/>
        </w:rPr>
        <w:t xml:space="preserve"> natyrore dhe të </w:t>
      </w:r>
      <w:proofErr w:type="spellStart"/>
      <w:r w:rsidRPr="00A6284F">
        <w:rPr>
          <w:rFonts w:eastAsia="Times New Roman"/>
          <w:color w:val="000000"/>
          <w:sz w:val="24"/>
          <w:lang w:val="sq-AL"/>
        </w:rPr>
        <w:t>biodiversitetit</w:t>
      </w:r>
      <w:proofErr w:type="spellEnd"/>
      <w:r w:rsidRPr="00A6284F">
        <w:rPr>
          <w:rFonts w:eastAsia="Times New Roman"/>
          <w:color w:val="000000"/>
          <w:sz w:val="24"/>
          <w:lang w:val="sq-AL"/>
        </w:rPr>
        <w:t>, por përcaktimi i</w:t>
      </w:r>
      <w:r w:rsidR="009A53FD" w:rsidRPr="00A6284F">
        <w:rPr>
          <w:rFonts w:eastAsia="Times New Roman"/>
          <w:color w:val="000000"/>
          <w:sz w:val="24"/>
          <w:lang w:val="sq-AL"/>
        </w:rPr>
        <w:t xml:space="preserve"> </w:t>
      </w:r>
      <w:r w:rsidRPr="00A6284F">
        <w:rPr>
          <w:rFonts w:eastAsia="Times New Roman"/>
          <w:color w:val="000000"/>
          <w:sz w:val="24"/>
          <w:lang w:val="sq-AL"/>
        </w:rPr>
        <w:t>lokacioneve Natyra 2000 është ende në një fazë shumë të hershme, për shkak të mungesës së kapaciteteve teknike dhe të stafit në institucionet përkatëse.</w:t>
      </w:r>
    </w:p>
    <w:p w:rsidR="009A53FD" w:rsidRPr="00A6284F" w:rsidRDefault="009A53FD" w:rsidP="00AE7BB1">
      <w:pPr>
        <w:spacing w:before="120" w:line="276" w:lineRule="exact"/>
        <w:ind w:left="144" w:right="144"/>
        <w:jc w:val="both"/>
        <w:textAlignment w:val="baseline"/>
        <w:rPr>
          <w:rFonts w:eastAsia="Times New Roman"/>
          <w:color w:val="000000"/>
          <w:sz w:val="24"/>
          <w:lang w:val="sq-AL"/>
        </w:rPr>
      </w:pPr>
    </w:p>
    <w:p w:rsidR="00AE7BB1" w:rsidRPr="00A6284F" w:rsidRDefault="00AE7BB1" w:rsidP="00AE7BB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Dokumentet e planifikimi hapësinor dhe planet e infrastrukturës duhet të sigurojnë se respektohen detyrimet për mbrojtjen e natyrës, posaçërisht në zonat tashmë të mbrojtura si parqe kombëtare dhe rajonale, dhe lokacionet potenciale të Natyra 2000.</w:t>
      </w:r>
    </w:p>
    <w:p w:rsidR="00AE7BB1" w:rsidRPr="00A6284F" w:rsidRDefault="00AE7BB1" w:rsidP="00AE7BB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lastRenderedPageBreak/>
        <w:t xml:space="preserve">Tek </w:t>
      </w:r>
      <w:r w:rsidRPr="00A6284F">
        <w:rPr>
          <w:rFonts w:eastAsia="Times New Roman"/>
          <w:b/>
          <w:color w:val="000000"/>
          <w:spacing w:val="-1"/>
          <w:sz w:val="24"/>
          <w:lang w:val="sq-AL"/>
        </w:rPr>
        <w:t>ndotja industriale dhe menaxhimi i rreziqeve</w:t>
      </w:r>
      <w:r w:rsidRPr="00A6284F">
        <w:rPr>
          <w:rFonts w:eastAsia="Times New Roman"/>
          <w:color w:val="000000"/>
          <w:spacing w:val="-1"/>
          <w:sz w:val="24"/>
          <w:lang w:val="sq-AL"/>
        </w:rPr>
        <w:t xml:space="preserve"> nuk janë vërejtur zhvillime në lidhje me harmonizimin me </w:t>
      </w:r>
      <w:r w:rsidR="009A53FD" w:rsidRPr="00A6284F">
        <w:rPr>
          <w:rFonts w:eastAsia="Times New Roman"/>
          <w:i/>
          <w:color w:val="000000"/>
          <w:spacing w:val="-1"/>
          <w:sz w:val="24"/>
          <w:lang w:val="sq-AL"/>
        </w:rPr>
        <w:t>a</w:t>
      </w:r>
      <w:r w:rsidRPr="00A6284F">
        <w:rPr>
          <w:rFonts w:eastAsia="Times New Roman"/>
          <w:i/>
          <w:color w:val="000000"/>
          <w:spacing w:val="-1"/>
          <w:sz w:val="24"/>
          <w:lang w:val="sq-AL"/>
        </w:rPr>
        <w:t>cquis</w:t>
      </w:r>
      <w:r w:rsidRPr="00A6284F">
        <w:rPr>
          <w:rFonts w:eastAsia="Times New Roman"/>
          <w:color w:val="000000"/>
          <w:spacing w:val="-1"/>
          <w:sz w:val="24"/>
          <w:lang w:val="sq-AL"/>
        </w:rPr>
        <w:t xml:space="preserve">, i cili mbetet ende në një faze të hershme. Zbatimi i pamjaftueshëm i legjislacionit dhe llogaridhënia e pamjaftueshme e ndotësve po ngadalëson përparimin në krijimin e një sistemi për parandalimin e fatkeqësive industriale dhe kimike. Mbeturinat e rrezikshme minerare, si dhe shkarkimet industriale drejtpërdrejtë në lumenj dhe </w:t>
      </w:r>
      <w:proofErr w:type="spellStart"/>
      <w:r w:rsidRPr="00A6284F">
        <w:rPr>
          <w:rFonts w:eastAsia="Times New Roman"/>
          <w:color w:val="000000"/>
          <w:spacing w:val="-1"/>
          <w:sz w:val="24"/>
          <w:lang w:val="sq-AL"/>
        </w:rPr>
        <w:t>deponitë</w:t>
      </w:r>
      <w:proofErr w:type="spellEnd"/>
      <w:r w:rsidRPr="00A6284F">
        <w:rPr>
          <w:rFonts w:eastAsia="Times New Roman"/>
          <w:color w:val="000000"/>
          <w:spacing w:val="-1"/>
          <w:sz w:val="24"/>
          <w:lang w:val="sq-AL"/>
        </w:rPr>
        <w:t xml:space="preserve"> industriale</w:t>
      </w:r>
      <w:r w:rsidR="009A53FD" w:rsidRPr="00A6284F">
        <w:rPr>
          <w:rFonts w:eastAsia="Times New Roman"/>
          <w:color w:val="000000"/>
          <w:spacing w:val="-1"/>
          <w:sz w:val="24"/>
          <w:lang w:val="sq-AL"/>
        </w:rPr>
        <w:t xml:space="preserve"> </w:t>
      </w:r>
      <w:r w:rsidRPr="00A6284F">
        <w:rPr>
          <w:rFonts w:eastAsia="Times New Roman"/>
          <w:color w:val="000000"/>
          <w:spacing w:val="-1"/>
          <w:sz w:val="24"/>
          <w:lang w:val="sq-AL"/>
        </w:rPr>
        <w:t>vazhdojnë të përbëjnë rrezik serioz ndaj dheut dhe ujit. Ende mbetet të përcaktohet vendndodhja e stabilitetit të ardhshëm për depozitim të mbeturinave të rrezikshme dhe të kontraktohet operatori.</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është vërejtur progres në lidhje me </w:t>
      </w:r>
      <w:r w:rsidRPr="00A6284F">
        <w:rPr>
          <w:rFonts w:eastAsia="Times New Roman"/>
          <w:b/>
          <w:color w:val="000000"/>
          <w:sz w:val="24"/>
          <w:lang w:val="sq-AL"/>
        </w:rPr>
        <w:t>kimika</w:t>
      </w:r>
      <w:r w:rsidR="009A53FD" w:rsidRPr="00A6284F">
        <w:rPr>
          <w:rFonts w:eastAsia="Times New Roman"/>
          <w:b/>
          <w:color w:val="000000"/>
          <w:sz w:val="24"/>
          <w:lang w:val="sq-AL"/>
        </w:rPr>
        <w:t>t</w:t>
      </w:r>
      <w:r w:rsidRPr="00A6284F">
        <w:rPr>
          <w:rFonts w:eastAsia="Times New Roman"/>
          <w:b/>
          <w:color w:val="000000"/>
          <w:sz w:val="24"/>
          <w:lang w:val="sq-AL"/>
        </w:rPr>
        <w:t>et</w:t>
      </w:r>
      <w:r w:rsidRPr="00A6284F">
        <w:rPr>
          <w:rFonts w:eastAsia="Times New Roman"/>
          <w:color w:val="000000"/>
          <w:sz w:val="24"/>
          <w:lang w:val="sq-AL"/>
        </w:rPr>
        <w:t xml:space="preserve">, ku harmonizimi me </w:t>
      </w:r>
      <w:r w:rsidR="009A53FD" w:rsidRPr="00A6284F">
        <w:rPr>
          <w:rFonts w:eastAsia="Times New Roman"/>
          <w:i/>
          <w:color w:val="000000"/>
          <w:sz w:val="24"/>
          <w:lang w:val="sq-AL"/>
        </w:rPr>
        <w:t>a</w:t>
      </w:r>
      <w:r w:rsidRPr="00A6284F">
        <w:rPr>
          <w:rFonts w:eastAsia="Times New Roman"/>
          <w:i/>
          <w:color w:val="000000"/>
          <w:sz w:val="24"/>
          <w:lang w:val="sq-AL"/>
        </w:rPr>
        <w:t>cquis</w:t>
      </w:r>
      <w:r w:rsidR="009A53FD" w:rsidRPr="00A6284F">
        <w:rPr>
          <w:rFonts w:eastAsia="Times New Roman"/>
          <w:i/>
          <w:color w:val="000000"/>
          <w:sz w:val="24"/>
          <w:lang w:val="sq-AL"/>
        </w:rPr>
        <w:t xml:space="preserve"> </w:t>
      </w:r>
      <w:r w:rsidRPr="00A6284F">
        <w:rPr>
          <w:rFonts w:eastAsia="Times New Roman"/>
          <w:color w:val="000000"/>
          <w:sz w:val="24"/>
          <w:lang w:val="sq-AL"/>
        </w:rPr>
        <w:t>mbetet në një fazë të hershme. Kosova</w:t>
      </w:r>
      <w:r w:rsidR="009A53FD" w:rsidRPr="00A6284F">
        <w:rPr>
          <w:rFonts w:eastAsia="Times New Roman"/>
          <w:color w:val="000000"/>
          <w:sz w:val="24"/>
          <w:lang w:val="sq-AL"/>
        </w:rPr>
        <w:t xml:space="preserve"> </w:t>
      </w:r>
      <w:r w:rsidRPr="00A6284F">
        <w:rPr>
          <w:rFonts w:eastAsia="Times New Roman"/>
          <w:color w:val="000000"/>
          <w:sz w:val="24"/>
          <w:lang w:val="sq-AL"/>
        </w:rPr>
        <w:t xml:space="preserve">nuk është palë e Konventës së Roterdamit dhe korniza </w:t>
      </w:r>
      <w:proofErr w:type="spellStart"/>
      <w:r w:rsidRPr="00A6284F">
        <w:rPr>
          <w:rFonts w:eastAsia="Times New Roman"/>
          <w:color w:val="000000"/>
          <w:sz w:val="24"/>
          <w:lang w:val="sq-AL"/>
        </w:rPr>
        <w:t>rregullative</w:t>
      </w:r>
      <w:proofErr w:type="spellEnd"/>
      <w:r w:rsidRPr="00A6284F">
        <w:rPr>
          <w:rFonts w:eastAsia="Times New Roman"/>
          <w:color w:val="000000"/>
          <w:sz w:val="24"/>
          <w:lang w:val="sq-AL"/>
        </w:rPr>
        <w:t xml:space="preserve"> për eksportin dhe importin e </w:t>
      </w:r>
      <w:r w:rsidR="009A53FD" w:rsidRPr="00A6284F">
        <w:rPr>
          <w:rFonts w:eastAsia="Times New Roman"/>
          <w:color w:val="000000"/>
          <w:sz w:val="24"/>
          <w:lang w:val="sq-AL"/>
        </w:rPr>
        <w:t>kimikateve</w:t>
      </w:r>
      <w:r w:rsidRPr="00A6284F">
        <w:rPr>
          <w:rFonts w:eastAsia="Times New Roman"/>
          <w:color w:val="000000"/>
          <w:sz w:val="24"/>
          <w:lang w:val="sq-AL"/>
        </w:rPr>
        <w:t xml:space="preserve"> të dëmshme mbetet ende të zbatohet. Ende mbetet të themelohet një </w:t>
      </w:r>
      <w:r w:rsidR="009A53FD" w:rsidRPr="00A6284F">
        <w:rPr>
          <w:rFonts w:eastAsia="Times New Roman"/>
          <w:color w:val="000000"/>
          <w:sz w:val="24"/>
          <w:lang w:val="sq-AL"/>
        </w:rPr>
        <w:t>zyrë</w:t>
      </w:r>
      <w:r w:rsidRPr="00A6284F">
        <w:rPr>
          <w:rFonts w:eastAsia="Times New Roman"/>
          <w:color w:val="000000"/>
          <w:sz w:val="24"/>
          <w:lang w:val="sq-AL"/>
        </w:rPr>
        <w:t xml:space="preserve"> inform</w:t>
      </w:r>
      <w:r w:rsidR="009A53FD" w:rsidRPr="00A6284F">
        <w:rPr>
          <w:rFonts w:eastAsia="Times New Roman"/>
          <w:color w:val="000000"/>
          <w:sz w:val="24"/>
          <w:lang w:val="sq-AL"/>
        </w:rPr>
        <w:t xml:space="preserve">uese </w:t>
      </w:r>
      <w:r w:rsidRPr="00A6284F">
        <w:rPr>
          <w:rFonts w:eastAsia="Times New Roman"/>
          <w:color w:val="000000"/>
          <w:sz w:val="24"/>
          <w:lang w:val="sq-AL"/>
        </w:rPr>
        <w:t xml:space="preserve">dhe një qendër për kontrollin e helmimit </w:t>
      </w:r>
      <w:r w:rsidR="009A53FD" w:rsidRPr="00A6284F">
        <w:rPr>
          <w:rFonts w:eastAsia="Times New Roman"/>
          <w:color w:val="000000"/>
          <w:sz w:val="24"/>
          <w:lang w:val="sq-AL"/>
        </w:rPr>
        <w:t>me kimikate.</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Ende mbetet të miratohet draft ligji për </w:t>
      </w:r>
      <w:r w:rsidRPr="00A6284F">
        <w:rPr>
          <w:rFonts w:eastAsia="Times New Roman"/>
          <w:b/>
          <w:color w:val="000000"/>
          <w:sz w:val="24"/>
          <w:lang w:val="sq-AL"/>
        </w:rPr>
        <w:t>zhurmën</w:t>
      </w:r>
      <w:r w:rsidRPr="00A6284F">
        <w:rPr>
          <w:rFonts w:eastAsia="Times New Roman"/>
          <w:color w:val="000000"/>
          <w:sz w:val="24"/>
          <w:lang w:val="sq-AL"/>
        </w:rPr>
        <w:t>. Ende duhet të zhvillohen hartat strategjike të zhurmës dhe planet e veprimit dhe duhet të merret veprim efektiv për të zbatuar ligjin (sapo të miratohet).</w:t>
      </w:r>
    </w:p>
    <w:p w:rsidR="00AE7BB1" w:rsidRPr="00A6284F" w:rsidRDefault="00AE7BB1" w:rsidP="00AE7BB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w:t>
      </w:r>
      <w:r w:rsidR="009A53FD" w:rsidRPr="00A6284F">
        <w:rPr>
          <w:rFonts w:eastAsia="Times New Roman"/>
          <w:color w:val="000000"/>
          <w:sz w:val="24"/>
          <w:lang w:val="sq-AL"/>
        </w:rPr>
        <w:t xml:space="preserve"> </w:t>
      </w:r>
      <w:r w:rsidRPr="00A6284F">
        <w:rPr>
          <w:rFonts w:eastAsia="Times New Roman"/>
          <w:color w:val="000000"/>
          <w:sz w:val="24"/>
          <w:lang w:val="sq-AL"/>
        </w:rPr>
        <w:t xml:space="preserve">nuk është pjesë e </w:t>
      </w:r>
      <w:r w:rsidRPr="00A6284F">
        <w:rPr>
          <w:rFonts w:eastAsia="Times New Roman"/>
          <w:b/>
          <w:color w:val="000000"/>
          <w:sz w:val="24"/>
          <w:lang w:val="sq-AL"/>
        </w:rPr>
        <w:t>mekanizmit për mbrojte civile,</w:t>
      </w:r>
      <w:r w:rsidR="009A53FD" w:rsidRPr="00A6284F">
        <w:rPr>
          <w:rFonts w:eastAsia="Times New Roman"/>
          <w:b/>
          <w:color w:val="000000"/>
          <w:sz w:val="24"/>
          <w:lang w:val="sq-AL"/>
        </w:rPr>
        <w:t xml:space="preserve"> </w:t>
      </w:r>
      <w:r w:rsidRPr="00A6284F">
        <w:rPr>
          <w:rFonts w:eastAsia="Times New Roman"/>
          <w:color w:val="000000"/>
          <w:sz w:val="24"/>
          <w:lang w:val="sq-AL"/>
        </w:rPr>
        <w:t xml:space="preserve">por është përfituese e programeve rajonale për mbrojtjen civile sipas Instrumentit për </w:t>
      </w:r>
      <w:r w:rsidR="00DF5E0E" w:rsidRPr="00A6284F">
        <w:rPr>
          <w:rFonts w:eastAsia="Times New Roman"/>
          <w:color w:val="000000"/>
          <w:sz w:val="24"/>
          <w:lang w:val="sq-AL"/>
        </w:rPr>
        <w:t xml:space="preserve">Asistencën </w:t>
      </w:r>
      <w:r w:rsidRPr="00A6284F">
        <w:rPr>
          <w:rFonts w:eastAsia="Times New Roman"/>
          <w:color w:val="000000"/>
          <w:sz w:val="24"/>
          <w:lang w:val="sq-AL"/>
        </w:rPr>
        <w:t xml:space="preserve">e </w:t>
      </w:r>
      <w:r w:rsidR="00DF5E0E" w:rsidRPr="00A6284F">
        <w:rPr>
          <w:rFonts w:eastAsia="Times New Roman"/>
          <w:color w:val="000000"/>
          <w:sz w:val="24"/>
          <w:lang w:val="sq-AL"/>
        </w:rPr>
        <w:t>P</w:t>
      </w:r>
      <w:r w:rsidRPr="00A6284F">
        <w:rPr>
          <w:rFonts w:eastAsia="Times New Roman"/>
          <w:color w:val="000000"/>
          <w:sz w:val="24"/>
          <w:lang w:val="sq-AL"/>
        </w:rPr>
        <w:t xml:space="preserve">ara-anëtarësimit (IPA) që nga viti 2010. Ende nevojitet progres i konsiderueshëm në fusha të rëndësishme, siç janë qendra </w:t>
      </w:r>
      <w:proofErr w:type="spellStart"/>
      <w:r w:rsidRPr="00A6284F">
        <w:rPr>
          <w:rFonts w:eastAsia="Times New Roman"/>
          <w:color w:val="000000"/>
          <w:sz w:val="24"/>
          <w:lang w:val="sq-AL"/>
        </w:rPr>
        <w:t>operacionale</w:t>
      </w:r>
      <w:proofErr w:type="spellEnd"/>
      <w:r w:rsidRPr="00A6284F">
        <w:rPr>
          <w:rFonts w:eastAsia="Times New Roman"/>
          <w:color w:val="000000"/>
          <w:sz w:val="24"/>
          <w:lang w:val="sq-AL"/>
        </w:rPr>
        <w:t xml:space="preserve"> dhe sistemi i komunikimit emergjent. Vlerësimi paraprak i rreziqeve nga përmbytjet është në një fazë të hershme të përgatitjes.</w:t>
      </w:r>
    </w:p>
    <w:p w:rsidR="00AE7BB1" w:rsidRPr="00A6284F" w:rsidRDefault="00AE7BB1" w:rsidP="00DF5E0E">
      <w:pPr>
        <w:spacing w:before="126" w:line="259"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Ndryshimet klimatike</w:t>
      </w:r>
    </w:p>
    <w:p w:rsidR="00AE7BB1" w:rsidRPr="00A6284F" w:rsidRDefault="00AE7BB1" w:rsidP="00AE7BB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Strategjia dhe plani i veprimit për ndryshimet klimatike 2019-2028 është miratuar nga qeveria dhe nëse zbatohet plotësisht do të mund të sigurojë një bazë të shëndoshë për të trajtuar ndryshimet klimatike. Megjithatë, nuk është arritur progres në harmonizimin e legjislacionit. Këshilli kombëtar për mjedisin dhe ndryshimet klimatike dhe Koordinatori për ndryshime klimatike nuk kanë marrë masa konkrete për të integruar veprimet klimatike ose për të rritur ndërgjegjësimin e publikut. Dëshmitë për integrimin e ndryshimeve klimatike në projektet qeveritare janë të pakta.</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Edhe pse Kosova nuk është palë nënshkruese e Konventës kornizë të OKB-së për ndryshimet klimatike dhe prandaj nuk ka kontribut të përcaktuar nga shteti për Marrëveshjen e Parisit 2015, zbatimi i plotë i strategjisë për ndryshimet klimatike duhet </w:t>
      </w:r>
      <w:r w:rsidR="0025006C" w:rsidRPr="00A6284F">
        <w:rPr>
          <w:rFonts w:eastAsia="Times New Roman"/>
          <w:color w:val="000000"/>
          <w:sz w:val="24"/>
          <w:lang w:val="sq-AL"/>
        </w:rPr>
        <w:t xml:space="preserve">të </w:t>
      </w:r>
      <w:r w:rsidRPr="00A6284F">
        <w:rPr>
          <w:rFonts w:eastAsia="Times New Roman"/>
          <w:color w:val="000000"/>
          <w:sz w:val="24"/>
          <w:lang w:val="sq-AL"/>
        </w:rPr>
        <w:t xml:space="preserve">ndihmojë në arritjen e objektivave </w:t>
      </w:r>
      <w:r w:rsidR="0025006C" w:rsidRPr="00A6284F">
        <w:rPr>
          <w:rFonts w:eastAsia="Times New Roman"/>
          <w:color w:val="000000"/>
          <w:sz w:val="24"/>
          <w:lang w:val="sq-AL"/>
        </w:rPr>
        <w:t>të marrëveshjes p</w:t>
      </w:r>
      <w:r w:rsidRPr="00A6284F">
        <w:rPr>
          <w:rFonts w:eastAsia="Times New Roman"/>
          <w:color w:val="000000"/>
          <w:sz w:val="24"/>
          <w:lang w:val="sq-AL"/>
        </w:rPr>
        <w:t>ë</w:t>
      </w:r>
      <w:r w:rsidR="0025006C" w:rsidRPr="00A6284F">
        <w:rPr>
          <w:rFonts w:eastAsia="Times New Roman"/>
          <w:color w:val="000000"/>
          <w:sz w:val="24"/>
          <w:lang w:val="sq-AL"/>
        </w:rPr>
        <w:t>r</w:t>
      </w:r>
      <w:r w:rsidRPr="00A6284F">
        <w:rPr>
          <w:rFonts w:eastAsia="Times New Roman"/>
          <w:color w:val="000000"/>
          <w:sz w:val="24"/>
          <w:lang w:val="sq-AL"/>
        </w:rPr>
        <w:t xml:space="preserve"> </w:t>
      </w:r>
      <w:r w:rsidR="0025006C" w:rsidRPr="00A6284F">
        <w:rPr>
          <w:rFonts w:eastAsia="Times New Roman"/>
          <w:color w:val="000000"/>
          <w:sz w:val="24"/>
          <w:lang w:val="sq-AL"/>
        </w:rPr>
        <w:t xml:space="preserve">zvogëlim të </w:t>
      </w:r>
      <w:r w:rsidRPr="00A6284F">
        <w:rPr>
          <w:rFonts w:eastAsia="Times New Roman"/>
          <w:color w:val="000000"/>
          <w:sz w:val="24"/>
          <w:lang w:val="sq-AL"/>
        </w:rPr>
        <w:t>emetimeve dhe qëndrueshmëri ndaj klimës</w:t>
      </w:r>
      <w:r w:rsidR="0025006C" w:rsidRPr="00A6284F">
        <w:rPr>
          <w:rFonts w:eastAsia="Times New Roman"/>
          <w:color w:val="000000"/>
          <w:sz w:val="24"/>
          <w:lang w:val="sq-AL"/>
        </w:rPr>
        <w:t>.</w:t>
      </w:r>
      <w:r w:rsidRPr="00A6284F">
        <w:rPr>
          <w:rFonts w:eastAsia="Times New Roman"/>
          <w:color w:val="000000"/>
          <w:sz w:val="24"/>
          <w:lang w:val="sq-AL"/>
        </w:rPr>
        <w:t xml:space="preserve"> </w:t>
      </w:r>
    </w:p>
    <w:p w:rsidR="00AE7BB1" w:rsidRPr="00A6284F" w:rsidRDefault="00AE7BB1" w:rsidP="00AE7BB1">
      <w:pPr>
        <w:spacing w:before="118"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Sa i përket transparencës së veprimit klimatik, përpilimi i raporteve të inventarit të gazrave me efekt serrë dhe raportimi u ndërprenë pas vitit 2015. Kosova ende duhet të </w:t>
      </w:r>
      <w:r w:rsidR="0025006C" w:rsidRPr="00A6284F">
        <w:rPr>
          <w:rFonts w:eastAsia="Times New Roman"/>
          <w:color w:val="000000"/>
          <w:spacing w:val="-1"/>
          <w:sz w:val="24"/>
          <w:lang w:val="sq-AL"/>
        </w:rPr>
        <w:t>bëjë përafrimin me</w:t>
      </w:r>
      <w:r w:rsidRPr="00A6284F">
        <w:rPr>
          <w:rFonts w:eastAsia="Times New Roman"/>
          <w:color w:val="000000"/>
          <w:spacing w:val="-1"/>
          <w:sz w:val="24"/>
          <w:lang w:val="sq-AL"/>
        </w:rPr>
        <w:t xml:space="preserve"> </w:t>
      </w:r>
      <w:r w:rsidR="0025006C" w:rsidRPr="00A6284F">
        <w:rPr>
          <w:rFonts w:eastAsia="Times New Roman"/>
          <w:color w:val="000000"/>
          <w:spacing w:val="-1"/>
          <w:sz w:val="24"/>
          <w:lang w:val="sq-AL"/>
        </w:rPr>
        <w:t>a</w:t>
      </w:r>
      <w:r w:rsidRPr="00A6284F">
        <w:rPr>
          <w:rFonts w:eastAsia="Times New Roman"/>
          <w:i/>
          <w:color w:val="000000"/>
          <w:spacing w:val="-1"/>
          <w:sz w:val="24"/>
          <w:lang w:val="sq-AL"/>
        </w:rPr>
        <w:t xml:space="preserve">cquis </w:t>
      </w:r>
      <w:r w:rsidR="0025006C" w:rsidRPr="00A6284F">
        <w:rPr>
          <w:rFonts w:eastAsia="Times New Roman"/>
          <w:color w:val="000000"/>
          <w:spacing w:val="-1"/>
          <w:sz w:val="24"/>
          <w:lang w:val="sq-AL"/>
        </w:rPr>
        <w:t>mbi</w:t>
      </w:r>
      <w:r w:rsidRPr="00A6284F">
        <w:rPr>
          <w:rFonts w:eastAsia="Times New Roman"/>
          <w:color w:val="000000"/>
          <w:spacing w:val="-1"/>
          <w:sz w:val="24"/>
          <w:lang w:val="sq-AL"/>
        </w:rPr>
        <w:t xml:space="preserve"> klimë</w:t>
      </w:r>
      <w:r w:rsidR="0025006C" w:rsidRPr="00A6284F">
        <w:rPr>
          <w:rFonts w:eastAsia="Times New Roman"/>
          <w:color w:val="000000"/>
          <w:spacing w:val="-1"/>
          <w:sz w:val="24"/>
          <w:lang w:val="sq-AL"/>
        </w:rPr>
        <w:t>n</w:t>
      </w:r>
      <w:r w:rsidRPr="00A6284F">
        <w:rPr>
          <w:rFonts w:eastAsia="Times New Roman"/>
          <w:color w:val="000000"/>
          <w:spacing w:val="-1"/>
          <w:sz w:val="24"/>
          <w:lang w:val="sq-AL"/>
        </w:rPr>
        <w:t>. Kapacitetet administrative dhe aktivitetet e vetëdijesimit duhen të përforcohen në masë të konsiderueshme.</w:t>
      </w: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25006C" w:rsidRPr="00A6284F" w:rsidRDefault="0025006C" w:rsidP="00AE7BB1">
      <w:pPr>
        <w:spacing w:before="130" w:after="110" w:line="274" w:lineRule="exact"/>
        <w:ind w:left="144"/>
        <w:textAlignment w:val="baseline"/>
        <w:rPr>
          <w:rFonts w:eastAsia="Times New Roman"/>
          <w:b/>
          <w:color w:val="000000"/>
          <w:spacing w:val="10"/>
          <w:sz w:val="24"/>
          <w:lang w:val="sq-AL"/>
        </w:rPr>
      </w:pPr>
    </w:p>
    <w:p w:rsidR="0025006C" w:rsidRPr="00A6284F" w:rsidRDefault="0025006C" w:rsidP="00AE7BB1">
      <w:pPr>
        <w:spacing w:before="130" w:after="110" w:line="274" w:lineRule="exact"/>
        <w:ind w:left="144"/>
        <w:textAlignment w:val="baseline"/>
        <w:rPr>
          <w:rFonts w:eastAsia="Times New Roman"/>
          <w:b/>
          <w:color w:val="000000"/>
          <w:spacing w:val="10"/>
          <w:sz w:val="24"/>
          <w:lang w:val="sq-AL"/>
        </w:rPr>
      </w:pP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98371F" w:rsidRPr="00A6284F" w:rsidRDefault="0098371F" w:rsidP="00AE7BB1">
      <w:pPr>
        <w:spacing w:before="130" w:after="110" w:line="274" w:lineRule="exact"/>
        <w:ind w:left="144"/>
        <w:textAlignment w:val="baseline"/>
        <w:rPr>
          <w:rFonts w:eastAsia="Times New Roman"/>
          <w:b/>
          <w:color w:val="000000"/>
          <w:spacing w:val="10"/>
          <w:sz w:val="24"/>
          <w:lang w:val="sq-AL"/>
        </w:rPr>
      </w:pPr>
    </w:p>
    <w:p w:rsidR="00AE7BB1" w:rsidRPr="00A6284F" w:rsidRDefault="00AE7BB1" w:rsidP="00AE7BB1">
      <w:pPr>
        <w:spacing w:before="130" w:after="110" w:line="274" w:lineRule="exact"/>
        <w:ind w:left="144"/>
        <w:textAlignment w:val="baseline"/>
        <w:rPr>
          <w:rFonts w:eastAsia="Times New Roman"/>
          <w:b/>
          <w:color w:val="000000"/>
          <w:spacing w:val="10"/>
          <w:sz w:val="24"/>
          <w:lang w:val="sq-AL"/>
        </w:rPr>
      </w:pPr>
      <w:r w:rsidRPr="00A6284F">
        <w:rPr>
          <w:rFonts w:eastAsia="Times New Roman"/>
          <w:b/>
          <w:color w:val="000000"/>
          <w:spacing w:val="10"/>
          <w:sz w:val="24"/>
          <w:lang w:val="sq-AL"/>
        </w:rPr>
        <w:lastRenderedPageBreak/>
        <w:t>6.21 Politikat e transportit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25006C">
        <w:trPr>
          <w:trHeight w:hRule="exact" w:val="4014"/>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9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është në një </w:t>
            </w:r>
            <w:r w:rsidRPr="00A6284F">
              <w:rPr>
                <w:rFonts w:eastAsia="Times New Roman"/>
                <w:b/>
                <w:color w:val="000000"/>
                <w:sz w:val="24"/>
                <w:lang w:val="sq-AL"/>
              </w:rPr>
              <w:t>fazë të hershme/ka një nivel përgatitjeje</w:t>
            </w:r>
            <w:r w:rsidRPr="00A6284F">
              <w:rPr>
                <w:rFonts w:eastAsia="Times New Roman"/>
                <w:color w:val="000000"/>
                <w:sz w:val="24"/>
                <w:lang w:val="sq-AL"/>
              </w:rPr>
              <w:t xml:space="preserve"> në fushën e politikave</w:t>
            </w:r>
            <w:r w:rsidR="0025006C" w:rsidRPr="00A6284F">
              <w:rPr>
                <w:rFonts w:eastAsia="Times New Roman"/>
                <w:color w:val="000000"/>
                <w:sz w:val="24"/>
                <w:lang w:val="sq-AL"/>
              </w:rPr>
              <w:t xml:space="preserve"> </w:t>
            </w:r>
            <w:r w:rsidRPr="00A6284F">
              <w:rPr>
                <w:rFonts w:eastAsia="Times New Roman"/>
                <w:color w:val="000000"/>
                <w:sz w:val="24"/>
                <w:lang w:val="sq-AL"/>
              </w:rPr>
              <w:t>të transportit. Pak progres është arritur, në veçanti me ratifikimin e Traktatit të komunitetit për transport.</w:t>
            </w:r>
          </w:p>
          <w:p w:rsidR="00AE7BB1" w:rsidRPr="00A6284F" w:rsidRDefault="00AE7BB1" w:rsidP="007E58F5">
            <w:pPr>
              <w:spacing w:before="123" w:line="276" w:lineRule="exact"/>
              <w:ind w:left="144"/>
              <w:textAlignment w:val="baseline"/>
              <w:rPr>
                <w:rFonts w:eastAsia="Times New Roman"/>
                <w:color w:val="000000"/>
                <w:sz w:val="24"/>
                <w:lang w:val="sq-AL"/>
              </w:rPr>
            </w:pPr>
            <w:r w:rsidRPr="00A6284F">
              <w:rPr>
                <w:rFonts w:eastAsia="Times New Roman"/>
                <w:color w:val="000000"/>
                <w:sz w:val="24"/>
                <w:lang w:val="sq-AL"/>
              </w:rPr>
              <w:t>Në vitin vijues, Kosova duhet posaçërisht:</w:t>
            </w:r>
          </w:p>
          <w:p w:rsidR="00AE7BB1" w:rsidRPr="00A6284F" w:rsidRDefault="00AE7BB1" w:rsidP="007E58F5">
            <w:pPr>
              <w:spacing w:before="13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urgjentisht të përmirësojë sigurinë rrugore duke synuar zvogëlimin e fataliteteve</w:t>
            </w:r>
            <w:r w:rsidR="000F4E74" w:rsidRPr="00A6284F">
              <w:rPr>
                <w:rFonts w:eastAsia="Times New Roman"/>
                <w:color w:val="000000"/>
                <w:sz w:val="24"/>
                <w:lang w:val="sq-AL"/>
              </w:rPr>
              <w:t xml:space="preserve"> rrugore dhe lëndimeve serioze n</w:t>
            </w:r>
            <w:r w:rsidRPr="00A6284F">
              <w:rPr>
                <w:rFonts w:eastAsia="Times New Roman"/>
                <w:color w:val="000000"/>
                <w:sz w:val="24"/>
                <w:lang w:val="sq-AL"/>
              </w:rPr>
              <w:t>ë trafiku</w:t>
            </w:r>
            <w:r w:rsidR="000F4E74" w:rsidRPr="00A6284F">
              <w:rPr>
                <w:rFonts w:eastAsia="Times New Roman"/>
                <w:color w:val="000000"/>
                <w:sz w:val="24"/>
                <w:lang w:val="sq-AL"/>
              </w:rPr>
              <w:t>n</w:t>
            </w:r>
            <w:r w:rsidRPr="00A6284F">
              <w:rPr>
                <w:rFonts w:eastAsia="Times New Roman"/>
                <w:color w:val="000000"/>
                <w:sz w:val="24"/>
                <w:lang w:val="sq-AL"/>
              </w:rPr>
              <w:t xml:space="preserve"> rrugor dhe të krijojë një sistem për grumbullimin e vazhdueshëm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nga </w:t>
            </w:r>
            <w:r w:rsidR="000F4E74" w:rsidRPr="00A6284F">
              <w:rPr>
                <w:rFonts w:eastAsia="Times New Roman"/>
                <w:color w:val="000000"/>
                <w:sz w:val="24"/>
                <w:lang w:val="sq-AL"/>
              </w:rPr>
              <w:t>aksidentet rrugore</w:t>
            </w:r>
            <w:r w:rsidRPr="00A6284F">
              <w:rPr>
                <w:rFonts w:eastAsia="Times New Roman"/>
                <w:color w:val="000000"/>
                <w:sz w:val="24"/>
                <w:lang w:val="sq-AL"/>
              </w:rPr>
              <w:t>;</w:t>
            </w:r>
          </w:p>
          <w:p w:rsidR="00AE7BB1" w:rsidRPr="00A6284F" w:rsidRDefault="00AE7BB1"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përforcojë kapacitetet dhe profesionalizmin e rregullatorit të hekurudhave, si dhe të sigurojë financim të mjaftueshëm;</w:t>
            </w:r>
          </w:p>
          <w:p w:rsidR="00AE7BB1" w:rsidRPr="00A6284F" w:rsidRDefault="00AE7BB1" w:rsidP="007E58F5">
            <w:pPr>
              <w:spacing w:before="142" w:after="86"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legjislacionin për Sistemin Inteligjent të Transportit (ITS), të zhvillojë kornizën strategjike për zbatimin e ITS-së në rrjetet themelore, duke siguruar kapacitete e resurse të mjaftueshme për zbatimin e tij.</w:t>
            </w:r>
          </w:p>
        </w:tc>
      </w:tr>
    </w:tbl>
    <w:p w:rsidR="00AE7BB1" w:rsidRPr="00A6284F" w:rsidRDefault="00AE7BB1" w:rsidP="00AE7BB1">
      <w:pPr>
        <w:spacing w:after="92" w:line="20" w:lineRule="exact"/>
        <w:rPr>
          <w:lang w:val="sq-AL"/>
        </w:rPr>
      </w:pPr>
    </w:p>
    <w:p w:rsidR="00AE7BB1" w:rsidRPr="00A6284F" w:rsidRDefault="00AE7BB1" w:rsidP="00AE7BB1">
      <w:pPr>
        <w:spacing w:before="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transportit në përgjithësi</w:t>
      </w:r>
      <w:r w:rsidRPr="00A6284F">
        <w:rPr>
          <w:rFonts w:eastAsia="Times New Roman"/>
          <w:color w:val="000000"/>
          <w:sz w:val="24"/>
          <w:lang w:val="sq-AL"/>
        </w:rPr>
        <w:t xml:space="preserve">, është bërë progres me ratifikimin e Traktatit të komunitetit për transport në tetor të vitit 2018. Korniza ligjore nuk është harmonizuar me </w:t>
      </w:r>
      <w:r w:rsidR="00A6284F" w:rsidRPr="00A6284F">
        <w:rPr>
          <w:rFonts w:eastAsia="Times New Roman"/>
          <w:i/>
          <w:color w:val="000000"/>
          <w:sz w:val="24"/>
          <w:lang w:val="sq-AL"/>
        </w:rPr>
        <w:t>a</w:t>
      </w:r>
      <w:r w:rsidRPr="00A6284F">
        <w:rPr>
          <w:rFonts w:eastAsia="Times New Roman"/>
          <w:i/>
          <w:color w:val="000000"/>
          <w:sz w:val="24"/>
          <w:lang w:val="sq-AL"/>
        </w:rPr>
        <w:t>cquis</w:t>
      </w:r>
      <w:r w:rsidR="00A6284F" w:rsidRPr="00A6284F">
        <w:rPr>
          <w:rFonts w:eastAsia="Times New Roman"/>
          <w:i/>
          <w:color w:val="000000"/>
          <w:sz w:val="24"/>
          <w:lang w:val="sq-AL"/>
        </w:rPr>
        <w:t xml:space="preserve"> </w:t>
      </w:r>
      <w:r w:rsidRPr="00A6284F">
        <w:rPr>
          <w:rFonts w:eastAsia="Times New Roman"/>
          <w:color w:val="000000"/>
          <w:sz w:val="24"/>
          <w:lang w:val="sq-AL"/>
        </w:rPr>
        <w:t xml:space="preserve">për rregullimin e orës verore. Duhet të bëhen përpjekje shtesë për të përfunduar harmonizimin me </w:t>
      </w:r>
      <w:r w:rsidR="00A6284F" w:rsidRPr="00A6284F">
        <w:rPr>
          <w:rFonts w:eastAsia="Times New Roman"/>
          <w:color w:val="000000"/>
          <w:sz w:val="24"/>
          <w:lang w:val="sq-AL"/>
        </w:rPr>
        <w:t>a</w:t>
      </w:r>
      <w:r w:rsidRPr="00A6284F">
        <w:rPr>
          <w:rFonts w:eastAsia="Times New Roman"/>
          <w:i/>
          <w:color w:val="000000"/>
          <w:sz w:val="24"/>
          <w:lang w:val="sq-AL"/>
        </w:rPr>
        <w:t>cquis</w:t>
      </w:r>
      <w:r w:rsidR="00A6284F" w:rsidRPr="00A6284F">
        <w:rPr>
          <w:rFonts w:eastAsia="Times New Roman"/>
          <w:i/>
          <w:color w:val="000000"/>
          <w:sz w:val="24"/>
          <w:lang w:val="sq-AL"/>
        </w:rPr>
        <w:t xml:space="preserve"> </w:t>
      </w:r>
      <w:r w:rsidRPr="00A6284F">
        <w:rPr>
          <w:rFonts w:eastAsia="Times New Roman"/>
          <w:color w:val="000000"/>
          <w:sz w:val="24"/>
          <w:lang w:val="sq-AL"/>
        </w:rPr>
        <w:t xml:space="preserve">për detyrimet e shërbimeve publike, duke përfshirë për procedurat dhe kriteret për dhënien e kontratave të shërbimeve publike në transportin rrugor. Nevojiten përpjekje të mëtejshme për të zbatuar masat e reformës së </w:t>
      </w:r>
      <w:proofErr w:type="spellStart"/>
      <w:r w:rsidRPr="00A6284F">
        <w:rPr>
          <w:rFonts w:eastAsia="Times New Roman"/>
          <w:color w:val="000000"/>
          <w:sz w:val="24"/>
          <w:lang w:val="sq-AL"/>
        </w:rPr>
        <w:t>konektivitetit</w:t>
      </w:r>
      <w:proofErr w:type="spellEnd"/>
      <w:r w:rsidRPr="00A6284F">
        <w:rPr>
          <w:rFonts w:eastAsia="Times New Roman"/>
          <w:color w:val="000000"/>
          <w:sz w:val="24"/>
          <w:lang w:val="sq-AL"/>
        </w:rPr>
        <w:t xml:space="preserve">, me fokus të veçantë në masat që lidhen me kalimet kufitare, sigurinë rrugore dhe planet e mirëmbajtjes (rrugore dhe hekurudhore). Sektori hekurudhor duhet të zhvillohet më tej dhe shërbimet e tij të përmirësohen. Nevojiten përpjekje për harmonizimin me Direktivën e sistemit të transportit inteligjent dhe Direktivën e </w:t>
      </w:r>
      <w:proofErr w:type="spellStart"/>
      <w:r w:rsidRPr="00A6284F">
        <w:rPr>
          <w:rFonts w:eastAsia="Times New Roman"/>
          <w:color w:val="000000"/>
          <w:sz w:val="24"/>
          <w:lang w:val="sq-AL"/>
        </w:rPr>
        <w:t>interoperabilitetit</w:t>
      </w:r>
      <w:proofErr w:type="spellEnd"/>
      <w:r w:rsidRPr="00A6284F">
        <w:rPr>
          <w:rFonts w:eastAsia="Times New Roman"/>
          <w:color w:val="000000"/>
          <w:sz w:val="24"/>
          <w:lang w:val="sq-AL"/>
        </w:rPr>
        <w:t xml:space="preserve"> hekurudhor. Duhet të mbahen përpjekjet për të harmonizuar legjislacionin e BE-së për të drejtat e pasagjerëve në të gjitha format e transportit.</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transporti rrugor</w:t>
      </w:r>
      <w:r w:rsidRPr="00A6284F">
        <w:rPr>
          <w:rFonts w:eastAsia="Times New Roman"/>
          <w:color w:val="000000"/>
          <w:spacing w:val="-1"/>
          <w:sz w:val="24"/>
          <w:lang w:val="sq-AL"/>
        </w:rPr>
        <w:t xml:space="preserve"> nuk ka pasur zhvillime domethënëse në lidhje me zvogëlimin e fataliteteve dhe lëndimeve serioze në trafik. Inspektimi teknik i automjeteve vazhdon të jetë i mangët dhe nevojiten përmirësime në kontrollet rrugor</w:t>
      </w:r>
      <w:r w:rsidR="00E64E8F" w:rsidRPr="00A6284F">
        <w:rPr>
          <w:rFonts w:eastAsia="Times New Roman"/>
          <w:color w:val="000000"/>
          <w:spacing w:val="-1"/>
          <w:sz w:val="24"/>
          <w:lang w:val="sq-AL"/>
        </w:rPr>
        <w:t>e</w:t>
      </w:r>
      <w:r w:rsidR="000F4E74" w:rsidRPr="00A6284F">
        <w:rPr>
          <w:rFonts w:eastAsia="Times New Roman"/>
          <w:color w:val="000000"/>
          <w:spacing w:val="-1"/>
          <w:sz w:val="24"/>
          <w:lang w:val="sq-AL"/>
        </w:rPr>
        <w:t xml:space="preserve"> </w:t>
      </w:r>
      <w:r w:rsidR="00E64E8F" w:rsidRPr="00A6284F">
        <w:rPr>
          <w:rFonts w:eastAsia="Times New Roman"/>
          <w:color w:val="000000"/>
          <w:spacing w:val="-1"/>
          <w:sz w:val="24"/>
          <w:lang w:val="sq-AL"/>
        </w:rPr>
        <w:t xml:space="preserve">si </w:t>
      </w:r>
      <w:r w:rsidRPr="00A6284F">
        <w:rPr>
          <w:rFonts w:eastAsia="Times New Roman"/>
          <w:color w:val="000000"/>
          <w:spacing w:val="-1"/>
          <w:sz w:val="24"/>
          <w:lang w:val="sq-AL"/>
        </w:rPr>
        <w:t xml:space="preserve">dhe në kompetencat dhe kapacitetet ligjore të zyrtarëve inspektues. Gjithashtu është i nevojshëm informimi, edukimi dhe trajnimi më i mirë i vozitësve. Harmonizimi me </w:t>
      </w:r>
      <w:r w:rsidR="000F4E74" w:rsidRPr="00A6284F">
        <w:rPr>
          <w:rFonts w:eastAsia="Times New Roman"/>
          <w:i/>
          <w:color w:val="000000"/>
          <w:spacing w:val="-1"/>
          <w:sz w:val="24"/>
          <w:lang w:val="sq-AL"/>
        </w:rPr>
        <w:t>a</w:t>
      </w:r>
      <w:r w:rsidRPr="00A6284F">
        <w:rPr>
          <w:rFonts w:eastAsia="Times New Roman"/>
          <w:i/>
          <w:color w:val="000000"/>
          <w:spacing w:val="-1"/>
          <w:sz w:val="24"/>
          <w:lang w:val="sq-AL"/>
        </w:rPr>
        <w:t>cquis</w:t>
      </w:r>
      <w:r w:rsidR="000F4E74" w:rsidRPr="00A6284F">
        <w:rPr>
          <w:rFonts w:eastAsia="Times New Roman"/>
          <w:i/>
          <w:color w:val="000000"/>
          <w:spacing w:val="-1"/>
          <w:sz w:val="24"/>
          <w:lang w:val="sq-AL"/>
        </w:rPr>
        <w:t xml:space="preserve"> </w:t>
      </w:r>
      <w:r w:rsidRPr="00A6284F">
        <w:rPr>
          <w:rFonts w:eastAsia="Times New Roman"/>
          <w:color w:val="000000"/>
          <w:spacing w:val="-1"/>
          <w:sz w:val="24"/>
          <w:lang w:val="sq-AL"/>
        </w:rPr>
        <w:t xml:space="preserve">mbi legjislacionin social dhe sigurinë rrugore, që është thelbësor për zvogëlimin e fataliteteve mbetet i pa përfunduar. Nevojiten përpjekje shtesë për të krijuar një sistem në të gjithë Kosovën për grumbullimin e vazhdueshëm të </w:t>
      </w:r>
      <w:proofErr w:type="spellStart"/>
      <w:r w:rsidRPr="00A6284F">
        <w:rPr>
          <w:rFonts w:eastAsia="Times New Roman"/>
          <w:color w:val="000000"/>
          <w:spacing w:val="-1"/>
          <w:sz w:val="24"/>
          <w:lang w:val="sq-AL"/>
        </w:rPr>
        <w:t>të</w:t>
      </w:r>
      <w:proofErr w:type="spellEnd"/>
      <w:r w:rsidRPr="00A6284F">
        <w:rPr>
          <w:rFonts w:eastAsia="Times New Roman"/>
          <w:color w:val="000000"/>
          <w:spacing w:val="-1"/>
          <w:sz w:val="24"/>
          <w:lang w:val="sq-AL"/>
        </w:rPr>
        <w:t xml:space="preserve"> dhënave nga ndeshjet në rrugë.</w:t>
      </w:r>
      <w:r w:rsidR="000F4E74"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Nuk është shënuar progres në </w:t>
      </w:r>
      <w:r w:rsidR="00E64E8F" w:rsidRPr="00A6284F">
        <w:rPr>
          <w:rFonts w:eastAsia="Times New Roman"/>
          <w:color w:val="000000"/>
          <w:spacing w:val="-1"/>
          <w:sz w:val="24"/>
          <w:lang w:val="sq-AL"/>
        </w:rPr>
        <w:t xml:space="preserve">përafrimin </w:t>
      </w:r>
      <w:r w:rsidRPr="00A6284F">
        <w:rPr>
          <w:rFonts w:eastAsia="Times New Roman"/>
          <w:color w:val="000000"/>
          <w:spacing w:val="-1"/>
          <w:sz w:val="24"/>
          <w:lang w:val="sq-AL"/>
        </w:rPr>
        <w:t xml:space="preserve">e kornizës ligjore për mallrat e rrezikshme me </w:t>
      </w:r>
      <w:r w:rsidR="0083280B" w:rsidRPr="00A6284F">
        <w:rPr>
          <w:rFonts w:eastAsia="Times New Roman"/>
          <w:color w:val="000000"/>
          <w:spacing w:val="-1"/>
          <w:sz w:val="24"/>
          <w:lang w:val="sq-AL"/>
        </w:rPr>
        <w:t>a</w:t>
      </w:r>
      <w:r w:rsidRPr="00A6284F">
        <w:rPr>
          <w:rFonts w:eastAsia="Times New Roman"/>
          <w:color w:val="000000"/>
          <w:spacing w:val="-1"/>
          <w:sz w:val="24"/>
          <w:lang w:val="sq-AL"/>
        </w:rPr>
        <w:t>cquis</w:t>
      </w:r>
      <w:r w:rsidR="0083280B"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ose </w:t>
      </w:r>
      <w:r w:rsidR="00E64E8F" w:rsidRPr="00A6284F">
        <w:rPr>
          <w:rFonts w:eastAsia="Times New Roman"/>
          <w:color w:val="000000"/>
          <w:spacing w:val="-1"/>
          <w:sz w:val="24"/>
          <w:lang w:val="sq-AL"/>
        </w:rPr>
        <w:t xml:space="preserve">përafrimin </w:t>
      </w:r>
      <w:r w:rsidRPr="00A6284F">
        <w:rPr>
          <w:rFonts w:eastAsia="Times New Roman"/>
          <w:color w:val="000000"/>
          <w:spacing w:val="-1"/>
          <w:sz w:val="24"/>
          <w:lang w:val="sq-AL"/>
        </w:rPr>
        <w:t xml:space="preserve">e mëtejmë të legjislacionit për qasjen në treg </w:t>
      </w:r>
      <w:r w:rsidR="00E64E8F" w:rsidRPr="00A6284F">
        <w:rPr>
          <w:rFonts w:eastAsia="Times New Roman"/>
          <w:color w:val="000000"/>
          <w:spacing w:val="-1"/>
          <w:sz w:val="24"/>
          <w:lang w:val="sq-AL"/>
        </w:rPr>
        <w:t xml:space="preserve">sa i përket </w:t>
      </w:r>
      <w:r w:rsidRPr="00A6284F">
        <w:rPr>
          <w:rFonts w:eastAsia="Times New Roman"/>
          <w:color w:val="000000"/>
          <w:spacing w:val="-1"/>
          <w:sz w:val="24"/>
          <w:lang w:val="sq-AL"/>
        </w:rPr>
        <w:t>transporti</w:t>
      </w:r>
      <w:r w:rsidR="00E64E8F" w:rsidRPr="00A6284F">
        <w:rPr>
          <w:rFonts w:eastAsia="Times New Roman"/>
          <w:color w:val="000000"/>
          <w:spacing w:val="-1"/>
          <w:sz w:val="24"/>
          <w:lang w:val="sq-AL"/>
        </w:rPr>
        <w:t xml:space="preserve">t të </w:t>
      </w:r>
      <w:r w:rsidRPr="00A6284F">
        <w:rPr>
          <w:rFonts w:eastAsia="Times New Roman"/>
          <w:color w:val="000000"/>
          <w:spacing w:val="-1"/>
          <w:sz w:val="24"/>
          <w:lang w:val="sq-AL"/>
        </w:rPr>
        <w:t xml:space="preserve">mallrave dhe pasagjerëve. Kriteret për qasjen në profesionin e operatorit të transportit rrugor gjithashtu kërkon harmonizim të mëtejshëm. Nuk ka pasur progres në harmonizimin e legjislacionit për automjetet e pastra dhe efikase në energji në transport rrugor, si dhe për zhvillimin e infrastrukturës për lëndë djegëse alternative. Duhet të bëhet i zbatueshëm legjislacioni ose korniza </w:t>
      </w:r>
      <w:proofErr w:type="spellStart"/>
      <w:r w:rsidRPr="00A6284F">
        <w:rPr>
          <w:rFonts w:eastAsia="Times New Roman"/>
          <w:color w:val="000000"/>
          <w:spacing w:val="-1"/>
          <w:sz w:val="24"/>
          <w:lang w:val="sq-AL"/>
        </w:rPr>
        <w:t>rregullatore</w:t>
      </w:r>
      <w:proofErr w:type="spellEnd"/>
      <w:r w:rsidRPr="00A6284F">
        <w:rPr>
          <w:rFonts w:eastAsia="Times New Roman"/>
          <w:color w:val="000000"/>
          <w:spacing w:val="-1"/>
          <w:sz w:val="24"/>
          <w:lang w:val="sq-AL"/>
        </w:rPr>
        <w:t xml:space="preserve"> për zbatimin e ITS</w:t>
      </w:r>
      <w:r w:rsidRPr="00A6284F">
        <w:rPr>
          <w:rFonts w:eastAsia="Times New Roman"/>
          <w:color w:val="000000"/>
          <w:sz w:val="24"/>
          <w:lang w:val="sq-AL"/>
        </w:rPr>
        <w:t>. Kosova mbetet ende të miratojë dhe të zbatojë rregullat në lidhje me dënimet për shkeljen e Marrëveshjes Evropiane për Punën e Flotave të Automjeteve të angazhuara në Transport Rrugor Ndërkombëtar.</w:t>
      </w:r>
    </w:p>
    <w:p w:rsidR="00AE7BB1" w:rsidRPr="00A6284F" w:rsidRDefault="00AE7BB1" w:rsidP="00AE7BB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transportit hekurudhor,</w:t>
      </w:r>
      <w:r w:rsidRPr="00A6284F">
        <w:rPr>
          <w:rFonts w:eastAsia="Times New Roman"/>
          <w:color w:val="000000"/>
          <w:sz w:val="24"/>
          <w:lang w:val="sq-AL"/>
        </w:rPr>
        <w:t xml:space="preserve"> ka pak progres në harmonizimin e legjislacionit me </w:t>
      </w:r>
      <w:r w:rsidR="00C016EF" w:rsidRPr="00A6284F">
        <w:rPr>
          <w:rFonts w:eastAsia="Times New Roman"/>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 Rehabilitimi i Linjës hekurudhore 10 është shtyrë dhe do të ketë nevojë për rritje të kapaciteteve të kompanisë infrastrukturore të hekurudhave.</w:t>
      </w:r>
    </w:p>
    <w:p w:rsidR="00AE7BB1" w:rsidRPr="00A6284F" w:rsidRDefault="00AE7BB1" w:rsidP="00AE7BB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aviacioni</w:t>
      </w:r>
      <w:r w:rsidRPr="00A6284F">
        <w:rPr>
          <w:rFonts w:eastAsia="Times New Roman"/>
          <w:color w:val="000000"/>
          <w:sz w:val="24"/>
          <w:lang w:val="sq-AL"/>
        </w:rPr>
        <w:t xml:space="preserve">, Kosova ka treguar progres në harmonizimin me </w:t>
      </w:r>
      <w:r w:rsidR="00C016EF" w:rsidRPr="00A6284F">
        <w:rPr>
          <w:rFonts w:eastAsia="Times New Roman"/>
          <w:i/>
          <w:color w:val="000000"/>
          <w:sz w:val="24"/>
          <w:lang w:val="sq-AL"/>
        </w:rPr>
        <w:t>a</w:t>
      </w:r>
      <w:r w:rsidRPr="00A6284F">
        <w:rPr>
          <w:rFonts w:eastAsia="Times New Roman"/>
          <w:i/>
          <w:color w:val="000000"/>
          <w:sz w:val="24"/>
          <w:lang w:val="sq-AL"/>
        </w:rPr>
        <w:t>cquis</w:t>
      </w:r>
      <w:r w:rsidR="00C016EF" w:rsidRPr="00A6284F">
        <w:rPr>
          <w:rFonts w:eastAsia="Times New Roman"/>
          <w:i/>
          <w:color w:val="000000"/>
          <w:sz w:val="24"/>
          <w:lang w:val="sq-AL"/>
        </w:rPr>
        <w:t xml:space="preserve"> </w:t>
      </w:r>
      <w:r w:rsidRPr="00A6284F">
        <w:rPr>
          <w:rFonts w:eastAsia="Times New Roman"/>
          <w:color w:val="000000"/>
          <w:sz w:val="24"/>
          <w:lang w:val="sq-AL"/>
        </w:rPr>
        <w:t xml:space="preserve">dhe ka plotësuar gati të gjitha kërkesat sipas fazës së parë kalimtare të Marrëveshjes për zonën e përbashkët evropiane të aviacionit (ECAA). Nevojiten veprime për të zbatuar ato pak dispozita që kanë mbetur në fushën e rregullimit ekonomik, në veçanti lidhur me ligjin e punës. Mungesa e të ardhurave, </w:t>
      </w:r>
      <w:r w:rsidRPr="00A6284F">
        <w:rPr>
          <w:rFonts w:eastAsia="Times New Roman"/>
          <w:color w:val="000000"/>
          <w:sz w:val="24"/>
          <w:lang w:val="sq-AL"/>
        </w:rPr>
        <w:lastRenderedPageBreak/>
        <w:t>nga menaxhim</w:t>
      </w:r>
      <w:r w:rsidR="00C016EF" w:rsidRPr="00A6284F">
        <w:rPr>
          <w:rFonts w:eastAsia="Times New Roman"/>
          <w:color w:val="000000"/>
          <w:sz w:val="24"/>
          <w:lang w:val="sq-AL"/>
        </w:rPr>
        <w:t>i i hapësirës së sipërme ajrore e kufizojnë</w:t>
      </w:r>
      <w:r w:rsidRPr="00A6284F">
        <w:rPr>
          <w:rFonts w:eastAsia="Times New Roman"/>
          <w:color w:val="000000"/>
          <w:sz w:val="24"/>
          <w:lang w:val="sq-AL"/>
        </w:rPr>
        <w:t xml:space="preserve"> aftësinë e Kosovës </w:t>
      </w:r>
      <w:r w:rsidR="00C016EF" w:rsidRPr="00A6284F">
        <w:rPr>
          <w:rFonts w:eastAsia="Times New Roman"/>
          <w:color w:val="000000"/>
          <w:sz w:val="24"/>
          <w:lang w:val="sq-AL"/>
        </w:rPr>
        <w:t>q</w:t>
      </w:r>
      <w:r w:rsidRPr="00A6284F">
        <w:rPr>
          <w:rFonts w:eastAsia="Times New Roman"/>
          <w:color w:val="000000"/>
          <w:sz w:val="24"/>
          <w:lang w:val="sq-AL"/>
        </w:rPr>
        <w:t>ë të invest</w:t>
      </w:r>
      <w:r w:rsidR="00C016EF" w:rsidRPr="00A6284F">
        <w:rPr>
          <w:rFonts w:eastAsia="Times New Roman"/>
          <w:color w:val="000000"/>
          <w:sz w:val="24"/>
          <w:lang w:val="sq-AL"/>
        </w:rPr>
        <w:t xml:space="preserve">oj </w:t>
      </w:r>
      <w:r w:rsidRPr="00A6284F">
        <w:rPr>
          <w:rFonts w:eastAsia="Times New Roman"/>
          <w:color w:val="000000"/>
          <w:sz w:val="24"/>
          <w:lang w:val="sq-AL"/>
        </w:rPr>
        <w:t>në trajnime dhe në zhvillimin e infrastrukturës.</w:t>
      </w:r>
    </w:p>
    <w:p w:rsidR="00AE7BB1" w:rsidRPr="00A6284F" w:rsidRDefault="00AE7BB1" w:rsidP="00AE7BB1">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Komisioni është angazhuar me Kosovën në përdorimin e instrumenteve të duhura për të rritur kuptueshmërinë e </w:t>
      </w:r>
      <w:r w:rsidR="00C016EF" w:rsidRPr="00A6284F">
        <w:rPr>
          <w:rFonts w:eastAsia="Times New Roman"/>
          <w:color w:val="000000"/>
          <w:sz w:val="24"/>
          <w:lang w:val="sq-AL"/>
        </w:rPr>
        <w:t>a</w:t>
      </w:r>
      <w:r w:rsidRPr="00A6284F">
        <w:rPr>
          <w:rFonts w:eastAsia="Times New Roman"/>
          <w:i/>
          <w:color w:val="000000"/>
          <w:sz w:val="24"/>
          <w:lang w:val="sq-AL"/>
        </w:rPr>
        <w:t>cquis</w:t>
      </w:r>
      <w:r w:rsidR="00C016EF" w:rsidRPr="00A6284F">
        <w:rPr>
          <w:rFonts w:eastAsia="Times New Roman"/>
          <w:i/>
          <w:color w:val="000000"/>
          <w:sz w:val="24"/>
          <w:lang w:val="sq-AL"/>
        </w:rPr>
        <w:t xml:space="preserve"> </w:t>
      </w:r>
      <w:r w:rsidRPr="00A6284F">
        <w:rPr>
          <w:rFonts w:eastAsia="Times New Roman"/>
          <w:color w:val="000000"/>
          <w:sz w:val="24"/>
          <w:lang w:val="sq-AL"/>
        </w:rPr>
        <w:t xml:space="preserve">në fushën e </w:t>
      </w:r>
      <w:r w:rsidRPr="00A6284F">
        <w:rPr>
          <w:rFonts w:eastAsia="Times New Roman"/>
          <w:b/>
          <w:color w:val="000000"/>
          <w:sz w:val="24"/>
          <w:lang w:val="sq-AL"/>
        </w:rPr>
        <w:t>sigurisë së aviacionit</w:t>
      </w:r>
      <w:r w:rsidR="00C016EF" w:rsidRPr="00A6284F">
        <w:rPr>
          <w:rFonts w:eastAsia="Times New Roman"/>
          <w:b/>
          <w:color w:val="000000"/>
          <w:sz w:val="24"/>
          <w:lang w:val="sq-AL"/>
        </w:rPr>
        <w:t xml:space="preserve"> </w:t>
      </w:r>
      <w:r w:rsidRPr="00A6284F">
        <w:rPr>
          <w:rFonts w:eastAsia="Times New Roman"/>
          <w:color w:val="000000"/>
          <w:sz w:val="24"/>
          <w:lang w:val="sq-AL"/>
        </w:rPr>
        <w:t>dhe për të siguruar harmonizimin gradual.</w:t>
      </w:r>
    </w:p>
    <w:p w:rsidR="00AE7BB1" w:rsidRPr="00A6284F" w:rsidRDefault="00AE7BB1" w:rsidP="00AE7BB1">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Nuk janë vërejtur zhvillime në </w:t>
      </w:r>
      <w:r w:rsidRPr="00A6284F">
        <w:rPr>
          <w:rFonts w:eastAsia="Times New Roman"/>
          <w:b/>
          <w:color w:val="000000"/>
          <w:sz w:val="24"/>
          <w:lang w:val="sq-AL"/>
        </w:rPr>
        <w:t>transportin e kombinuar</w:t>
      </w:r>
      <w:r w:rsidRPr="00A6284F">
        <w:rPr>
          <w:rFonts w:eastAsia="Times New Roman"/>
          <w:color w:val="000000"/>
          <w:sz w:val="24"/>
          <w:lang w:val="sq-AL"/>
        </w:rPr>
        <w:t xml:space="preserve">. Prioritet duhet të jetë zbatimi i strategjisë së transportit </w:t>
      </w:r>
      <w:r w:rsidR="00C016EF" w:rsidRPr="00A6284F">
        <w:rPr>
          <w:rFonts w:eastAsia="Times New Roman"/>
          <w:color w:val="000000"/>
          <w:sz w:val="24"/>
          <w:lang w:val="sq-AL"/>
        </w:rPr>
        <w:t>shumë-</w:t>
      </w:r>
      <w:r w:rsidRPr="00A6284F">
        <w:rPr>
          <w:rFonts w:eastAsia="Times New Roman"/>
          <w:color w:val="000000"/>
          <w:sz w:val="24"/>
          <w:lang w:val="sq-AL"/>
        </w:rPr>
        <w:t>modal.</w:t>
      </w:r>
    </w:p>
    <w:p w:rsidR="00AE7BB1" w:rsidRPr="00A6284F" w:rsidRDefault="00AE7BB1" w:rsidP="00AE7BB1">
      <w:pPr>
        <w:spacing w:before="126" w:after="104" w:line="274" w:lineRule="exact"/>
        <w:ind w:left="144"/>
        <w:textAlignment w:val="baseline"/>
        <w:rPr>
          <w:rFonts w:eastAsia="Times New Roman"/>
          <w:b/>
          <w:color w:val="000000"/>
          <w:spacing w:val="19"/>
          <w:sz w:val="24"/>
          <w:lang w:val="sq-AL"/>
        </w:rPr>
      </w:pPr>
      <w:r w:rsidRPr="00A6284F">
        <w:rPr>
          <w:rFonts w:eastAsia="Times New Roman"/>
          <w:b/>
          <w:color w:val="000000"/>
          <w:spacing w:val="19"/>
          <w:sz w:val="24"/>
          <w:lang w:val="sq-AL"/>
        </w:rPr>
        <w:t>6.22 Energjia</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AE7BB1" w:rsidRPr="00A6284F" w:rsidTr="007E58F5">
        <w:trPr>
          <w:trHeight w:hRule="exact" w:val="4324"/>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AE7BB1" w:rsidRPr="00A6284F" w:rsidRDefault="00AE7BB1" w:rsidP="007E58F5">
            <w:pPr>
              <w:spacing w:before="24"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Kosova</w:t>
            </w:r>
            <w:r w:rsidR="00C016EF" w:rsidRPr="00A6284F">
              <w:rPr>
                <w:rFonts w:eastAsia="Times New Roman"/>
                <w:color w:val="000000"/>
                <w:sz w:val="24"/>
                <w:lang w:val="sq-AL"/>
              </w:rPr>
              <w:t xml:space="preserve"> </w:t>
            </w:r>
            <w:r w:rsidRPr="00A6284F">
              <w:rPr>
                <w:rFonts w:eastAsia="Times New Roman"/>
                <w:color w:val="000000"/>
                <w:sz w:val="24"/>
                <w:lang w:val="sq-AL"/>
              </w:rPr>
              <w:t>ka</w:t>
            </w:r>
            <w:r w:rsidR="00C016EF" w:rsidRPr="00A6284F">
              <w:rPr>
                <w:rFonts w:eastAsia="Times New Roman"/>
                <w:color w:val="000000"/>
                <w:sz w:val="24"/>
                <w:lang w:val="sq-AL"/>
              </w:rPr>
              <w:t xml:space="preserve"> </w:t>
            </w:r>
            <w:r w:rsidR="00C016EF" w:rsidRPr="00A6284F">
              <w:rPr>
                <w:rFonts w:eastAsia="Times New Roman"/>
                <w:b/>
                <w:color w:val="000000"/>
                <w:sz w:val="24"/>
                <w:lang w:val="sq-AL"/>
              </w:rPr>
              <w:t xml:space="preserve">një </w:t>
            </w:r>
            <w:r w:rsidRPr="00A6284F">
              <w:rPr>
                <w:rFonts w:eastAsia="Times New Roman"/>
                <w:b/>
                <w:color w:val="000000"/>
                <w:sz w:val="24"/>
                <w:lang w:val="sq-AL"/>
              </w:rPr>
              <w:t xml:space="preserve">nivel </w:t>
            </w:r>
            <w:r w:rsidR="00C016EF" w:rsidRPr="00A6284F">
              <w:rPr>
                <w:rFonts w:eastAsia="Times New Roman"/>
                <w:b/>
                <w:color w:val="000000"/>
                <w:sz w:val="24"/>
                <w:lang w:val="sq-AL"/>
              </w:rPr>
              <w:t xml:space="preserve">të </w:t>
            </w:r>
            <w:r w:rsidRPr="00A6284F">
              <w:rPr>
                <w:rFonts w:eastAsia="Times New Roman"/>
                <w:b/>
                <w:color w:val="000000"/>
                <w:sz w:val="24"/>
                <w:lang w:val="sq-AL"/>
              </w:rPr>
              <w:t>përgatitje</w:t>
            </w:r>
            <w:r w:rsidR="00C016EF" w:rsidRPr="00A6284F">
              <w:rPr>
                <w:rFonts w:eastAsia="Times New Roman"/>
                <w:b/>
                <w:color w:val="000000"/>
                <w:sz w:val="24"/>
                <w:lang w:val="sq-AL"/>
              </w:rPr>
              <w:t>s</w:t>
            </w:r>
            <w:r w:rsidRPr="00A6284F">
              <w:rPr>
                <w:rFonts w:eastAsia="Times New Roman"/>
                <w:b/>
                <w:color w:val="000000"/>
                <w:sz w:val="24"/>
                <w:lang w:val="sq-AL"/>
              </w:rPr>
              <w:t xml:space="preserve"> </w:t>
            </w:r>
            <w:r w:rsidRPr="00A6284F">
              <w:rPr>
                <w:rFonts w:eastAsia="Times New Roman"/>
                <w:color w:val="000000"/>
                <w:sz w:val="24"/>
                <w:lang w:val="sq-AL"/>
              </w:rPr>
              <w:t xml:space="preserve">në fushën e energjisë. </w:t>
            </w:r>
            <w:r w:rsidR="00C016EF" w:rsidRPr="00A6284F">
              <w:rPr>
                <w:rFonts w:eastAsia="Times New Roman"/>
                <w:color w:val="000000"/>
                <w:sz w:val="24"/>
                <w:lang w:val="sq-AL"/>
              </w:rPr>
              <w:t>N</w:t>
            </w:r>
            <w:r w:rsidRPr="00A6284F">
              <w:rPr>
                <w:rFonts w:eastAsia="Times New Roman"/>
                <w:color w:val="000000"/>
                <w:sz w:val="24"/>
                <w:lang w:val="sq-AL"/>
              </w:rPr>
              <w:t>ë këtë fushë</w:t>
            </w:r>
            <w:r w:rsidR="00C016EF" w:rsidRPr="00A6284F">
              <w:rPr>
                <w:rFonts w:eastAsia="Times New Roman"/>
                <w:color w:val="000000"/>
                <w:sz w:val="24"/>
                <w:lang w:val="sq-AL"/>
              </w:rPr>
              <w:t xml:space="preserve"> ka</w:t>
            </w:r>
            <w:r w:rsidR="00C016EF" w:rsidRPr="00A6284F">
              <w:rPr>
                <w:rFonts w:eastAsia="Times New Roman"/>
                <w:b/>
                <w:color w:val="000000"/>
                <w:sz w:val="24"/>
                <w:lang w:val="sq-AL"/>
              </w:rPr>
              <w:t xml:space="preserve"> </w:t>
            </w:r>
            <w:r w:rsidR="00C016EF" w:rsidRPr="00A6284F">
              <w:rPr>
                <w:rFonts w:eastAsia="Times New Roman"/>
                <w:color w:val="000000"/>
                <w:sz w:val="24"/>
                <w:lang w:val="sq-AL"/>
              </w:rPr>
              <w:t>pasur</w:t>
            </w:r>
            <w:r w:rsidR="00C016EF" w:rsidRPr="00A6284F">
              <w:rPr>
                <w:rFonts w:eastAsia="Times New Roman"/>
                <w:b/>
                <w:color w:val="000000"/>
                <w:sz w:val="24"/>
                <w:lang w:val="sq-AL"/>
              </w:rPr>
              <w:t xml:space="preserve"> pak progres</w:t>
            </w:r>
            <w:r w:rsidRPr="00A6284F">
              <w:rPr>
                <w:rFonts w:eastAsia="Times New Roman"/>
                <w:color w:val="000000"/>
                <w:sz w:val="24"/>
                <w:lang w:val="sq-AL"/>
              </w:rPr>
              <w:t xml:space="preserve">, duke përfshirë miratimin e programit për zbatimin e strategjisë 2018-2020 dhe zbatimin e mëtejmë të pakos së tretë të energjisë, sidomos harmonizimin me </w:t>
            </w:r>
            <w:r w:rsidR="00C016EF" w:rsidRPr="00A6284F">
              <w:rPr>
                <w:rFonts w:eastAsia="Times New Roman"/>
                <w:color w:val="000000"/>
                <w:sz w:val="24"/>
                <w:lang w:val="sq-AL"/>
              </w:rPr>
              <w:t>a</w:t>
            </w:r>
            <w:r w:rsidRPr="00A6284F">
              <w:rPr>
                <w:rFonts w:eastAsia="Times New Roman"/>
                <w:i/>
                <w:color w:val="000000"/>
                <w:sz w:val="24"/>
                <w:lang w:val="sq-AL"/>
              </w:rPr>
              <w:t>cquis</w:t>
            </w:r>
            <w:r w:rsidR="00C016EF" w:rsidRPr="00A6284F">
              <w:rPr>
                <w:rFonts w:eastAsia="Times New Roman"/>
                <w:i/>
                <w:color w:val="000000"/>
                <w:sz w:val="24"/>
                <w:lang w:val="sq-AL"/>
              </w:rPr>
              <w:t xml:space="preserve"> p</w:t>
            </w:r>
            <w:r w:rsidRPr="00A6284F">
              <w:rPr>
                <w:rFonts w:eastAsia="Times New Roman"/>
                <w:color w:val="000000"/>
                <w:sz w:val="24"/>
                <w:lang w:val="sq-AL"/>
              </w:rPr>
              <w:t xml:space="preserve">ër </w:t>
            </w:r>
            <w:proofErr w:type="spellStart"/>
            <w:r w:rsidRPr="00A6284F">
              <w:rPr>
                <w:rFonts w:eastAsia="Times New Roman"/>
                <w:color w:val="000000"/>
                <w:sz w:val="24"/>
                <w:lang w:val="sq-AL"/>
              </w:rPr>
              <w:t>efiçiencën</w:t>
            </w:r>
            <w:proofErr w:type="spellEnd"/>
            <w:r w:rsidRPr="00A6284F">
              <w:rPr>
                <w:rFonts w:eastAsia="Times New Roman"/>
                <w:color w:val="000000"/>
                <w:sz w:val="24"/>
                <w:lang w:val="sq-AL"/>
              </w:rPr>
              <w:t xml:space="preserve"> e energjisë.</w:t>
            </w:r>
          </w:p>
          <w:p w:rsidR="00AE7BB1" w:rsidRPr="00A6284F" w:rsidRDefault="00AE7BB1" w:rsidP="007E58F5">
            <w:pPr>
              <w:spacing w:before="117" w:line="276" w:lineRule="exact"/>
              <w:ind w:left="144"/>
              <w:textAlignment w:val="baseline"/>
              <w:rPr>
                <w:rFonts w:eastAsia="Times New Roman"/>
                <w:color w:val="000000"/>
                <w:spacing w:val="-1"/>
                <w:sz w:val="24"/>
                <w:lang w:val="sq-AL"/>
              </w:rPr>
            </w:pPr>
            <w:r w:rsidRPr="00A6284F">
              <w:rPr>
                <w:rFonts w:eastAsia="Times New Roman"/>
                <w:color w:val="000000"/>
                <w:spacing w:val="-1"/>
                <w:sz w:val="24"/>
                <w:lang w:val="sq-AL"/>
              </w:rPr>
              <w:t>Në vitin vijues, Kosova duhet:</w:t>
            </w:r>
          </w:p>
          <w:p w:rsidR="00AE7BB1" w:rsidRPr="00A6284F" w:rsidRDefault="00AE7BB1"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përgatitet për</w:t>
            </w:r>
            <w:r w:rsidR="00C016EF" w:rsidRPr="00A6284F">
              <w:rPr>
                <w:rFonts w:eastAsia="Times New Roman"/>
                <w:color w:val="000000"/>
                <w:sz w:val="24"/>
                <w:lang w:val="sq-AL"/>
              </w:rPr>
              <w:t xml:space="preserve"> </w:t>
            </w:r>
            <w:proofErr w:type="spellStart"/>
            <w:r w:rsidRPr="00A6284F">
              <w:rPr>
                <w:rFonts w:eastAsia="Times New Roman"/>
                <w:color w:val="000000"/>
                <w:sz w:val="24"/>
                <w:lang w:val="sq-AL"/>
              </w:rPr>
              <w:t>dekomisionimin</w:t>
            </w:r>
            <w:proofErr w:type="spellEnd"/>
            <w:r w:rsidRPr="00A6284F">
              <w:rPr>
                <w:rFonts w:eastAsia="Times New Roman"/>
                <w:color w:val="000000"/>
                <w:sz w:val="24"/>
                <w:lang w:val="sq-AL"/>
              </w:rPr>
              <w:t xml:space="preserve"> e termocentralit Kosova A dhe avancimin mjedisor të Kosovës B;</w:t>
            </w:r>
          </w:p>
          <w:p w:rsidR="00AE7BB1" w:rsidRPr="00A6284F" w:rsidRDefault="00AE7BB1" w:rsidP="007E58F5">
            <w:pPr>
              <w:spacing w:before="13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ta bëjë plotësisht funksional Fondin për </w:t>
            </w:r>
            <w:proofErr w:type="spellStart"/>
            <w:r w:rsidR="00C016EF" w:rsidRPr="00A6284F">
              <w:rPr>
                <w:rFonts w:eastAsia="Times New Roman"/>
                <w:color w:val="000000"/>
                <w:sz w:val="24"/>
                <w:lang w:val="sq-AL"/>
              </w:rPr>
              <w:t>efiçiencë</w:t>
            </w:r>
            <w:proofErr w:type="spellEnd"/>
            <w:r w:rsidRPr="00A6284F">
              <w:rPr>
                <w:rFonts w:eastAsia="Times New Roman"/>
                <w:color w:val="000000"/>
                <w:sz w:val="24"/>
                <w:lang w:val="sq-AL"/>
              </w:rPr>
              <w:t xml:space="preserve"> të energjisë dhe të rrisë stimujt për </w:t>
            </w:r>
            <w:proofErr w:type="spellStart"/>
            <w:r w:rsidRPr="00A6284F">
              <w:rPr>
                <w:rFonts w:eastAsia="Times New Roman"/>
                <w:color w:val="000000"/>
                <w:sz w:val="24"/>
                <w:lang w:val="sq-AL"/>
              </w:rPr>
              <w:t>efiçiencë</w:t>
            </w:r>
            <w:proofErr w:type="spellEnd"/>
            <w:r w:rsidRPr="00A6284F">
              <w:rPr>
                <w:rFonts w:eastAsia="Times New Roman"/>
                <w:color w:val="000000"/>
                <w:sz w:val="24"/>
                <w:lang w:val="sq-AL"/>
              </w:rPr>
              <w:t xml:space="preserve"> të energjisë për sektorin privat dhe </w:t>
            </w:r>
            <w:r w:rsidR="00C016EF" w:rsidRPr="00A6284F">
              <w:rPr>
                <w:rFonts w:eastAsia="Times New Roman"/>
                <w:color w:val="000000"/>
                <w:sz w:val="24"/>
                <w:lang w:val="sq-AL"/>
              </w:rPr>
              <w:t xml:space="preserve"> </w:t>
            </w:r>
            <w:r w:rsidRPr="00A6284F">
              <w:rPr>
                <w:rFonts w:eastAsia="Times New Roman"/>
                <w:color w:val="000000"/>
                <w:sz w:val="24"/>
                <w:lang w:val="sq-AL"/>
              </w:rPr>
              <w:t>ekonomitë familjare;</w:t>
            </w:r>
          </w:p>
          <w:p w:rsidR="00AE7BB1" w:rsidRPr="00A6284F" w:rsidRDefault="00AE7BB1" w:rsidP="007E58F5">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përqendrohet në energjinë e </w:t>
            </w:r>
            <w:r w:rsidR="00C016EF" w:rsidRPr="00A6284F">
              <w:rPr>
                <w:rFonts w:eastAsia="Times New Roman"/>
                <w:color w:val="000000"/>
                <w:sz w:val="24"/>
                <w:lang w:val="sq-AL"/>
              </w:rPr>
              <w:t>ripërtërishme</w:t>
            </w:r>
            <w:r w:rsidRPr="00A6284F">
              <w:rPr>
                <w:rFonts w:eastAsia="Times New Roman"/>
                <w:color w:val="000000"/>
                <w:sz w:val="24"/>
                <w:lang w:val="sq-AL"/>
              </w:rPr>
              <w:t>, duke përfshirë futjen e skemave të mbështetjes të bazuara në treg dhe adresimin e pengesave të investimeve;</w:t>
            </w:r>
          </w:p>
          <w:p w:rsidR="00AE7BB1" w:rsidRPr="00A6284F" w:rsidRDefault="00AE7BB1" w:rsidP="007E58F5">
            <w:pPr>
              <w:spacing w:before="139" w:after="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miratojë një plan që përfshin rregullimin gradual të tarifave të energjisë, që reflektojnë rritjet e pritshme të kostove dhe masat lehtësuese për</w:t>
            </w:r>
            <w:r w:rsidR="00C016EF" w:rsidRPr="00A6284F">
              <w:rPr>
                <w:rFonts w:eastAsia="Times New Roman"/>
                <w:color w:val="000000"/>
                <w:sz w:val="24"/>
                <w:lang w:val="sq-AL"/>
              </w:rPr>
              <w:t xml:space="preserve"> </w:t>
            </w:r>
            <w:r w:rsidRPr="00A6284F">
              <w:rPr>
                <w:rFonts w:eastAsia="Times New Roman"/>
                <w:color w:val="000000"/>
                <w:sz w:val="24"/>
                <w:lang w:val="sq-AL"/>
              </w:rPr>
              <w:t>konsumatorët e cenueshëm.</w:t>
            </w:r>
          </w:p>
        </w:tc>
      </w:tr>
    </w:tbl>
    <w:p w:rsidR="00AE7BB1" w:rsidRPr="00A6284F" w:rsidRDefault="00AE7BB1" w:rsidP="00AE7BB1">
      <w:pPr>
        <w:spacing w:after="98" w:line="20" w:lineRule="exact"/>
        <w:rPr>
          <w:lang w:val="sq-AL"/>
        </w:rPr>
      </w:pPr>
    </w:p>
    <w:p w:rsidR="00AE7BB1" w:rsidRPr="00A6284F" w:rsidRDefault="00AE7BB1" w:rsidP="00AE7BB1">
      <w:pPr>
        <w:spacing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miratuar programin e zbatimit për vitet 2018-2020 për të funksionalizuar orientimet e politikave të përcaktuara në Strategjinë e energjisë 2017-2026. Programi ka për qëllim të adresojë disa nga problemet energjike dhe mjedisore në një periudhë afatmesme. Kosova vazhdon të mbështetet </w:t>
      </w:r>
      <w:r w:rsidR="00F23D22" w:rsidRPr="00A6284F">
        <w:rPr>
          <w:rFonts w:eastAsia="Times New Roman"/>
          <w:color w:val="000000"/>
          <w:sz w:val="24"/>
          <w:lang w:val="sq-AL"/>
        </w:rPr>
        <w:t xml:space="preserve">pothuajse </w:t>
      </w:r>
      <w:r w:rsidRPr="00A6284F">
        <w:rPr>
          <w:rFonts w:eastAsia="Times New Roman"/>
          <w:color w:val="000000"/>
          <w:sz w:val="24"/>
          <w:lang w:val="sq-AL"/>
        </w:rPr>
        <w:t>ekskluzivisht në linjit</w:t>
      </w:r>
      <w:r w:rsidR="00F23D22" w:rsidRPr="00A6284F">
        <w:rPr>
          <w:rFonts w:eastAsia="Times New Roman"/>
          <w:color w:val="000000"/>
          <w:sz w:val="24"/>
          <w:lang w:val="sq-AL"/>
        </w:rPr>
        <w:t>in</w:t>
      </w:r>
      <w:r w:rsidRPr="00A6284F">
        <w:rPr>
          <w:rFonts w:eastAsia="Times New Roman"/>
          <w:color w:val="000000"/>
          <w:sz w:val="24"/>
          <w:lang w:val="sq-AL"/>
        </w:rPr>
        <w:t xml:space="preserve"> si burim </w:t>
      </w:r>
      <w:r w:rsidR="00F23D22" w:rsidRPr="00A6284F">
        <w:rPr>
          <w:rFonts w:eastAsia="Times New Roman"/>
          <w:color w:val="000000"/>
          <w:sz w:val="24"/>
          <w:lang w:val="sq-AL"/>
        </w:rPr>
        <w:t xml:space="preserve">i </w:t>
      </w:r>
      <w:r w:rsidRPr="00A6284F">
        <w:rPr>
          <w:rFonts w:eastAsia="Times New Roman"/>
          <w:color w:val="000000"/>
          <w:sz w:val="24"/>
          <w:lang w:val="sq-AL"/>
        </w:rPr>
        <w:t>energji</w:t>
      </w:r>
      <w:r w:rsidR="00F23D22" w:rsidRPr="00A6284F">
        <w:rPr>
          <w:rFonts w:eastAsia="Times New Roman"/>
          <w:color w:val="000000"/>
          <w:sz w:val="24"/>
          <w:lang w:val="sq-AL"/>
        </w:rPr>
        <w:t>së</w:t>
      </w:r>
      <w:r w:rsidRPr="00A6284F">
        <w:rPr>
          <w:rFonts w:eastAsia="Times New Roman"/>
          <w:color w:val="000000"/>
          <w:sz w:val="24"/>
          <w:lang w:val="sq-AL"/>
        </w:rPr>
        <w:t xml:space="preserve"> dhe në dy termocentrale të vjetruara</w:t>
      </w:r>
      <w:r w:rsidR="00F23D22" w:rsidRPr="00A6284F">
        <w:rPr>
          <w:rFonts w:eastAsia="Times New Roman"/>
          <w:color w:val="000000"/>
          <w:sz w:val="24"/>
          <w:lang w:val="sq-AL"/>
        </w:rPr>
        <w:t xml:space="preserve"> </w:t>
      </w:r>
      <w:r w:rsidRPr="00A6284F">
        <w:rPr>
          <w:rFonts w:eastAsia="Times New Roman"/>
          <w:color w:val="000000"/>
          <w:sz w:val="24"/>
          <w:lang w:val="sq-AL"/>
        </w:rPr>
        <w:t>me qymyr</w:t>
      </w:r>
      <w:r w:rsidR="00F23D22" w:rsidRPr="00A6284F">
        <w:rPr>
          <w:rFonts w:eastAsia="Times New Roman"/>
          <w:color w:val="000000"/>
          <w:sz w:val="24"/>
          <w:lang w:val="sq-AL"/>
        </w:rPr>
        <w:t>, që janë shumë ndotëse</w:t>
      </w:r>
      <w:r w:rsidRPr="00A6284F">
        <w:rPr>
          <w:rFonts w:eastAsia="Times New Roman"/>
          <w:color w:val="000000"/>
          <w:sz w:val="24"/>
          <w:lang w:val="sq-AL"/>
        </w:rPr>
        <w:t>. Kjo i shton në mënyrë të konsiderueshme problemet e rënda të ndotjes së ajrit.</w:t>
      </w:r>
    </w:p>
    <w:p w:rsidR="00AE7BB1" w:rsidRPr="00A6284F" w:rsidRDefault="00AE7BB1" w:rsidP="00A41D12">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siguria e furnizimit</w:t>
      </w:r>
      <w:r w:rsidRPr="00A6284F">
        <w:rPr>
          <w:rFonts w:eastAsia="Times New Roman"/>
          <w:color w:val="000000"/>
          <w:sz w:val="24"/>
          <w:lang w:val="sq-AL"/>
        </w:rPr>
        <w:t xml:space="preserve"> nuk janë vërejtur zhvillime domethënëse edhe pse siguria e sistemit të transmetimit të energjisë vazhdon të përfitojë nga investimet dhe mirëmbajtja. Nuk është bërë progres në funksionalizimin e linjës së re të transmetimit me Shqipëri, e cila mbetet jo funksionale për shkak të mosmarrëveshjes së vjetër energjetike me Serbinë  dhe mungesës së marrëveshjes së </w:t>
      </w:r>
      <w:proofErr w:type="spellStart"/>
      <w:r w:rsidRPr="00A6284F">
        <w:rPr>
          <w:rFonts w:eastAsia="Times New Roman"/>
          <w:color w:val="000000"/>
          <w:sz w:val="24"/>
          <w:lang w:val="sq-AL"/>
        </w:rPr>
        <w:t>koneksionit</w:t>
      </w:r>
      <w:proofErr w:type="spellEnd"/>
      <w:r w:rsidRPr="00A6284F">
        <w:rPr>
          <w:rFonts w:eastAsia="Times New Roman"/>
          <w:color w:val="000000"/>
          <w:sz w:val="24"/>
          <w:lang w:val="sq-AL"/>
        </w:rPr>
        <w:t xml:space="preserve"> m</w:t>
      </w:r>
      <w:r w:rsidR="00D50628" w:rsidRPr="00A6284F">
        <w:rPr>
          <w:rFonts w:eastAsia="Times New Roman"/>
          <w:color w:val="000000"/>
          <w:sz w:val="24"/>
          <w:lang w:val="sq-AL"/>
        </w:rPr>
        <w:t>e</w:t>
      </w:r>
      <w:r w:rsidRPr="00A6284F">
        <w:rPr>
          <w:rFonts w:eastAsia="Times New Roman"/>
          <w:color w:val="000000"/>
          <w:sz w:val="24"/>
          <w:lang w:val="sq-AL"/>
        </w:rPr>
        <w:t xml:space="preserve">s Rrjetit Evropian të Operatorëve të Sistemit të Transmisionit për Energjisë Elektrike dhe Operatorit të sistemit të transmisionit të Kosovës. Mungesa e zgjidhjes politike të mosmarrëveshjes </w:t>
      </w:r>
      <w:r w:rsidR="00D50628" w:rsidRPr="00A6284F">
        <w:rPr>
          <w:rFonts w:eastAsia="Times New Roman"/>
          <w:color w:val="000000"/>
          <w:sz w:val="24"/>
          <w:lang w:val="sq-AL"/>
        </w:rPr>
        <w:t xml:space="preserve">rezultoi edhe me </w:t>
      </w:r>
      <w:r w:rsidRPr="00A6284F">
        <w:rPr>
          <w:rFonts w:eastAsia="Times New Roman"/>
          <w:color w:val="000000"/>
          <w:sz w:val="24"/>
          <w:lang w:val="sq-AL"/>
        </w:rPr>
        <w:t>devijime të energjisë me origjinë nga Kosova dhe Serbia, gjë që rezultoi në devijime të frekuencës në të gjithë zonën sinkron të kontinentit të Evropës në dimrin 2017/2018.</w:t>
      </w:r>
    </w:p>
    <w:p w:rsidR="00AE7BB1" w:rsidRPr="00A6284F" w:rsidRDefault="00AE7BB1" w:rsidP="00AE7BB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Humbjet në shpërndarje mbeten të larta dhe duhet të përmirësohen investimet dhe mirëmbajtja e rrjetit të shpërndarjes. Nuk ka pasur përparim në harmonizimin e legjislacionit me </w:t>
      </w:r>
      <w:r w:rsidR="00A41D12" w:rsidRPr="00A6284F">
        <w:rPr>
          <w:rFonts w:eastAsia="Times New Roman"/>
          <w:i/>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 xml:space="preserve"> në fushën e rezervave të detyrueshme të naftës dhe derivateve të naftës. Rezervat e tanishme të vlerësuara të naftës janë të mjaftueshme vetëm për katër ditë.</w:t>
      </w:r>
    </w:p>
    <w:p w:rsidR="00AE7BB1" w:rsidRPr="00A6284F" w:rsidRDefault="00AE7BB1" w:rsidP="00AE7BB1">
      <w:pPr>
        <w:spacing w:before="120"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Përveç miratimit të një udhëzimi administrativ për sigurinë e furnizimit me gaz natyror, Kosova </w:t>
      </w:r>
      <w:r w:rsidR="00A41D12" w:rsidRPr="00A6284F">
        <w:rPr>
          <w:rFonts w:eastAsia="Times New Roman"/>
          <w:color w:val="000000"/>
          <w:sz w:val="24"/>
          <w:lang w:val="sq-AL"/>
        </w:rPr>
        <w:t xml:space="preserve">ka </w:t>
      </w:r>
      <w:r w:rsidRPr="00A6284F">
        <w:rPr>
          <w:rFonts w:eastAsia="Times New Roman"/>
          <w:color w:val="000000"/>
          <w:sz w:val="24"/>
          <w:lang w:val="sq-AL"/>
        </w:rPr>
        <w:t>bër</w:t>
      </w:r>
      <w:r w:rsidR="00A41D12" w:rsidRPr="00A6284F">
        <w:rPr>
          <w:rFonts w:eastAsia="Times New Roman"/>
          <w:color w:val="000000"/>
          <w:sz w:val="24"/>
          <w:lang w:val="sq-AL"/>
        </w:rPr>
        <w:t>ë</w:t>
      </w:r>
      <w:r w:rsidRPr="00A6284F">
        <w:rPr>
          <w:rFonts w:eastAsia="Times New Roman"/>
          <w:color w:val="000000"/>
          <w:sz w:val="24"/>
          <w:lang w:val="sq-AL"/>
        </w:rPr>
        <w:t xml:space="preserve"> </w:t>
      </w:r>
      <w:r w:rsidR="00A41D12" w:rsidRPr="00A6284F">
        <w:rPr>
          <w:rFonts w:eastAsia="Times New Roman"/>
          <w:color w:val="000000"/>
          <w:sz w:val="24"/>
          <w:lang w:val="sq-AL"/>
        </w:rPr>
        <w:t xml:space="preserve">progres </w:t>
      </w:r>
      <w:r w:rsidRPr="00A6284F">
        <w:rPr>
          <w:rFonts w:eastAsia="Times New Roman"/>
          <w:color w:val="000000"/>
          <w:sz w:val="24"/>
          <w:lang w:val="sq-AL"/>
        </w:rPr>
        <w:t xml:space="preserve">në përmirësimin e </w:t>
      </w:r>
      <w:r w:rsidR="00A41D12" w:rsidRPr="00A6284F">
        <w:rPr>
          <w:rFonts w:eastAsia="Times New Roman"/>
          <w:color w:val="000000"/>
          <w:sz w:val="24"/>
          <w:lang w:val="sq-AL"/>
        </w:rPr>
        <w:t xml:space="preserve">historikut </w:t>
      </w:r>
      <w:r w:rsidRPr="00A6284F">
        <w:rPr>
          <w:rFonts w:eastAsia="Times New Roman"/>
          <w:color w:val="000000"/>
          <w:sz w:val="24"/>
          <w:lang w:val="sq-AL"/>
        </w:rPr>
        <w:t xml:space="preserve">të saj të përputhjes me </w:t>
      </w:r>
      <w:r w:rsidR="00A41D12" w:rsidRPr="00A6284F">
        <w:rPr>
          <w:rFonts w:eastAsia="Times New Roman"/>
          <w:color w:val="000000"/>
          <w:sz w:val="24"/>
          <w:lang w:val="sq-AL"/>
        </w:rPr>
        <w:t>a</w:t>
      </w:r>
      <w:r w:rsidRPr="00A6284F">
        <w:rPr>
          <w:rFonts w:eastAsia="Times New Roman"/>
          <w:i/>
          <w:color w:val="000000"/>
          <w:sz w:val="24"/>
          <w:lang w:val="sq-AL"/>
        </w:rPr>
        <w:t>cquis</w:t>
      </w:r>
      <w:r w:rsidR="00A41D12" w:rsidRPr="00A6284F">
        <w:rPr>
          <w:rFonts w:eastAsia="Times New Roman"/>
          <w:i/>
          <w:color w:val="000000"/>
          <w:sz w:val="24"/>
          <w:lang w:val="sq-AL"/>
        </w:rPr>
        <w:t xml:space="preserve"> </w:t>
      </w:r>
      <w:r w:rsidR="00A41D12" w:rsidRPr="00A6284F">
        <w:rPr>
          <w:rFonts w:eastAsia="Times New Roman"/>
          <w:color w:val="000000"/>
          <w:sz w:val="24"/>
          <w:lang w:val="sq-AL"/>
        </w:rPr>
        <w:t>për</w:t>
      </w:r>
      <w:r w:rsidR="00A41D12" w:rsidRPr="00A6284F">
        <w:rPr>
          <w:rFonts w:eastAsia="Times New Roman"/>
          <w:i/>
          <w:color w:val="000000"/>
          <w:sz w:val="24"/>
          <w:lang w:val="sq-AL"/>
        </w:rPr>
        <w:t xml:space="preserve"> </w:t>
      </w:r>
      <w:r w:rsidRPr="00A6284F">
        <w:rPr>
          <w:rFonts w:eastAsia="Times New Roman"/>
          <w:color w:val="000000"/>
          <w:sz w:val="24"/>
          <w:lang w:val="sq-AL"/>
        </w:rPr>
        <w:t>gazi</w:t>
      </w:r>
      <w:r w:rsidR="00A41D12" w:rsidRPr="00A6284F">
        <w:rPr>
          <w:rFonts w:eastAsia="Times New Roman"/>
          <w:color w:val="000000"/>
          <w:sz w:val="24"/>
          <w:lang w:val="sq-AL"/>
        </w:rPr>
        <w:t>n</w:t>
      </w:r>
      <w:r w:rsidRPr="00A6284F">
        <w:rPr>
          <w:rFonts w:eastAsia="Times New Roman"/>
          <w:color w:val="000000"/>
          <w:sz w:val="24"/>
          <w:lang w:val="sq-AL"/>
        </w:rPr>
        <w:t>. Studimi i para-</w:t>
      </w:r>
      <w:proofErr w:type="spellStart"/>
      <w:r w:rsidRPr="00A6284F">
        <w:rPr>
          <w:rFonts w:eastAsia="Times New Roman"/>
          <w:color w:val="000000"/>
          <w:sz w:val="24"/>
          <w:lang w:val="sq-AL"/>
        </w:rPr>
        <w:t>fizibilitetit</w:t>
      </w:r>
      <w:proofErr w:type="spellEnd"/>
      <w:r w:rsidRPr="00A6284F">
        <w:rPr>
          <w:rFonts w:eastAsia="Times New Roman"/>
          <w:color w:val="000000"/>
          <w:sz w:val="24"/>
          <w:lang w:val="sq-AL"/>
        </w:rPr>
        <w:t xml:space="preserve"> për lidhjen e tubacionit të mundshëm të gazit m</w:t>
      </w:r>
      <w:r w:rsidR="00A41D12" w:rsidRPr="00A6284F">
        <w:rPr>
          <w:rFonts w:eastAsia="Times New Roman"/>
          <w:color w:val="000000"/>
          <w:sz w:val="24"/>
          <w:lang w:val="sq-AL"/>
        </w:rPr>
        <w:t>e</w:t>
      </w:r>
      <w:r w:rsidRPr="00A6284F">
        <w:rPr>
          <w:rFonts w:eastAsia="Times New Roman"/>
          <w:color w:val="000000"/>
          <w:sz w:val="24"/>
          <w:lang w:val="sq-AL"/>
        </w:rPr>
        <w:t>s Kosovës dhe Shqipërisë në projektin e tubacionit Trans</w:t>
      </w:r>
      <w:r w:rsidR="00A41D12" w:rsidRPr="00A6284F">
        <w:rPr>
          <w:rFonts w:eastAsia="Times New Roman"/>
          <w:color w:val="000000"/>
          <w:sz w:val="24"/>
          <w:lang w:val="sq-AL"/>
        </w:rPr>
        <w:t>-</w:t>
      </w:r>
      <w:r w:rsidRPr="00A6284F">
        <w:rPr>
          <w:rFonts w:eastAsia="Times New Roman"/>
          <w:color w:val="000000"/>
          <w:sz w:val="24"/>
          <w:lang w:val="sq-AL"/>
        </w:rPr>
        <w:t xml:space="preserve">Adriatik (TAP) përfundoi në nëntor </w:t>
      </w:r>
      <w:r w:rsidR="00A41D12" w:rsidRPr="00A6284F">
        <w:rPr>
          <w:rFonts w:eastAsia="Times New Roman"/>
          <w:color w:val="000000"/>
          <w:sz w:val="24"/>
          <w:lang w:val="sq-AL"/>
        </w:rPr>
        <w:t xml:space="preserve">të vitit </w:t>
      </w:r>
      <w:r w:rsidRPr="00A6284F">
        <w:rPr>
          <w:rFonts w:eastAsia="Times New Roman"/>
          <w:color w:val="000000"/>
          <w:sz w:val="24"/>
          <w:lang w:val="sq-AL"/>
        </w:rPr>
        <w:t xml:space="preserve">2018. Projekti varet nga ndërtimi i tubacionit Jon-Adriatik dhe sistemi i transmetimit të gazit në </w:t>
      </w:r>
      <w:r w:rsidR="00A41D12" w:rsidRPr="00A6284F">
        <w:rPr>
          <w:rFonts w:eastAsia="Times New Roman"/>
          <w:color w:val="000000"/>
          <w:sz w:val="24"/>
          <w:lang w:val="sq-AL"/>
        </w:rPr>
        <w:t>Fushe Krujë</w:t>
      </w:r>
      <w:r w:rsidRPr="00A6284F">
        <w:rPr>
          <w:rFonts w:eastAsia="Times New Roman"/>
          <w:color w:val="000000"/>
          <w:sz w:val="24"/>
          <w:lang w:val="sq-AL"/>
        </w:rPr>
        <w:t xml:space="preserve"> në Shqipëri.</w:t>
      </w:r>
    </w:p>
    <w:p w:rsidR="00AE7BB1" w:rsidRPr="00A6284F" w:rsidRDefault="00AE7BB1" w:rsidP="00AE7BB1">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Sa i përket </w:t>
      </w:r>
      <w:r w:rsidRPr="00A6284F">
        <w:rPr>
          <w:rFonts w:eastAsia="Times New Roman"/>
          <w:b/>
          <w:color w:val="000000"/>
          <w:sz w:val="24"/>
          <w:lang w:val="sq-AL"/>
        </w:rPr>
        <w:t>tregut të brendshëm të energjisë</w:t>
      </w:r>
      <w:r w:rsidRPr="00A6284F">
        <w:rPr>
          <w:rFonts w:eastAsia="Times New Roman"/>
          <w:color w:val="000000"/>
          <w:sz w:val="24"/>
          <w:lang w:val="sq-AL"/>
        </w:rPr>
        <w:t>, ka pasur progres në zbatimin e Pakos</w:t>
      </w:r>
      <w:r w:rsidR="00A6284F" w:rsidRPr="00A6284F">
        <w:rPr>
          <w:rFonts w:eastAsia="Times New Roman"/>
          <w:color w:val="000000"/>
          <w:sz w:val="24"/>
          <w:lang w:val="sq-AL"/>
        </w:rPr>
        <w:t xml:space="preserve"> </w:t>
      </w:r>
      <w:r w:rsidRPr="00A6284F">
        <w:rPr>
          <w:rFonts w:eastAsia="Times New Roman"/>
          <w:color w:val="000000"/>
          <w:sz w:val="24"/>
          <w:lang w:val="sq-AL"/>
        </w:rPr>
        <w:t>së Tretë të Energjisë dhe ka përfunduar certifikimi i operatorit të sistemit të transmisionit. Megjithatë, mungesa e integrimit rajonal dhe mosmarrëveshja e vjetër midis operatorëve të sistemeve të transmisionit të Kosovës dhe Serbisë po kufizon fushëveprimin për të zhvilluar konkurrencën.</w:t>
      </w:r>
    </w:p>
    <w:p w:rsidR="00AE7BB1" w:rsidRPr="00A6284F" w:rsidRDefault="00AE7BB1" w:rsidP="00AE7BB1">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Për sa i përket projektit të termocentralit </w:t>
      </w:r>
      <w:r w:rsidR="00106EC6" w:rsidRPr="00A6284F">
        <w:rPr>
          <w:rFonts w:eastAsia="Times New Roman"/>
          <w:color w:val="000000"/>
          <w:sz w:val="24"/>
          <w:lang w:val="sq-AL"/>
        </w:rPr>
        <w:t>të ri “Kosova e Re” me bazë t</w:t>
      </w:r>
      <w:r w:rsidRPr="00A6284F">
        <w:rPr>
          <w:rFonts w:eastAsia="Times New Roman"/>
          <w:color w:val="000000"/>
          <w:sz w:val="24"/>
          <w:lang w:val="sq-AL"/>
        </w:rPr>
        <w:t>hëngjilli</w:t>
      </w:r>
      <w:r w:rsidR="00106EC6" w:rsidRPr="00A6284F">
        <w:rPr>
          <w:rFonts w:eastAsia="Times New Roman"/>
          <w:color w:val="000000"/>
          <w:sz w:val="24"/>
          <w:lang w:val="sq-AL"/>
        </w:rPr>
        <w:t>n</w:t>
      </w:r>
      <w:r w:rsidRPr="00A6284F">
        <w:rPr>
          <w:rFonts w:eastAsia="Times New Roman"/>
          <w:color w:val="000000"/>
          <w:sz w:val="24"/>
          <w:lang w:val="sq-AL"/>
        </w:rPr>
        <w:t xml:space="preserve">, përzgjedhja e një </w:t>
      </w:r>
      <w:proofErr w:type="spellStart"/>
      <w:r w:rsidR="00106EC6" w:rsidRPr="00A6284F">
        <w:rPr>
          <w:rFonts w:eastAsia="Times New Roman"/>
          <w:color w:val="000000"/>
          <w:sz w:val="24"/>
          <w:lang w:val="sq-AL"/>
        </w:rPr>
        <w:t>punëkryesi</w:t>
      </w:r>
      <w:proofErr w:type="spellEnd"/>
      <w:r w:rsidRPr="00A6284F">
        <w:rPr>
          <w:rFonts w:eastAsia="Times New Roman"/>
          <w:color w:val="000000"/>
          <w:sz w:val="24"/>
          <w:lang w:val="sq-AL"/>
        </w:rPr>
        <w:t xml:space="preserve"> është në proces e sipër. Pas tërheqjes së Bankës Botërore nga garancia e pjesshme e huas, marrëveshjet e financimit për projektin e vlerësuar </w:t>
      </w:r>
      <w:r w:rsidR="00106EC6" w:rsidRPr="00A6284F">
        <w:rPr>
          <w:rFonts w:eastAsia="Times New Roman"/>
          <w:color w:val="000000"/>
          <w:sz w:val="24"/>
          <w:lang w:val="sq-AL"/>
        </w:rPr>
        <w:t>me</w:t>
      </w:r>
      <w:r w:rsidRPr="00A6284F">
        <w:rPr>
          <w:rFonts w:eastAsia="Times New Roman"/>
          <w:color w:val="000000"/>
          <w:sz w:val="24"/>
          <w:lang w:val="sq-AL"/>
        </w:rPr>
        <w:t xml:space="preserve"> mbi 1 miliardë euro mbete</w:t>
      </w:r>
      <w:r w:rsidR="00106EC6" w:rsidRPr="00A6284F">
        <w:rPr>
          <w:rFonts w:eastAsia="Times New Roman"/>
          <w:color w:val="000000"/>
          <w:sz w:val="24"/>
          <w:lang w:val="sq-AL"/>
        </w:rPr>
        <w:t>t</w:t>
      </w:r>
      <w:r w:rsidRPr="00A6284F">
        <w:rPr>
          <w:rFonts w:eastAsia="Times New Roman"/>
          <w:color w:val="000000"/>
          <w:sz w:val="24"/>
          <w:lang w:val="sq-AL"/>
        </w:rPr>
        <w:t xml:space="preserve"> </w:t>
      </w:r>
      <w:r w:rsidR="00106EC6" w:rsidRPr="00A6284F">
        <w:rPr>
          <w:rFonts w:eastAsia="Times New Roman"/>
          <w:color w:val="000000"/>
          <w:sz w:val="24"/>
          <w:lang w:val="sq-AL"/>
        </w:rPr>
        <w:t>t</w:t>
      </w:r>
      <w:r w:rsidRPr="00A6284F">
        <w:rPr>
          <w:rFonts w:eastAsia="Times New Roman"/>
          <w:color w:val="000000"/>
          <w:sz w:val="24"/>
          <w:lang w:val="sq-AL"/>
        </w:rPr>
        <w:t>ë</w:t>
      </w:r>
      <w:r w:rsidR="00106EC6" w:rsidRPr="00A6284F">
        <w:rPr>
          <w:rFonts w:eastAsia="Times New Roman"/>
          <w:color w:val="000000"/>
          <w:sz w:val="24"/>
          <w:lang w:val="sq-AL"/>
        </w:rPr>
        <w:t xml:space="preserve"> rregullohet</w:t>
      </w:r>
      <w:r w:rsidRPr="00A6284F">
        <w:rPr>
          <w:rFonts w:eastAsia="Times New Roman"/>
          <w:color w:val="000000"/>
          <w:sz w:val="24"/>
          <w:lang w:val="sq-AL"/>
        </w:rPr>
        <w:t>. Kjo e fundit mund të ketë një ndikim të madh në financat publike, tarifat dhe në mjedis dhe kjo duhet të vlerësohet me kujdes. Korniza kontraktuale për ndërtimin e centralit të ri, që përfshin përcaktimin e një blerësi të vetëm të energjisë elektrike të prodhuar, mund të ndikojë negativisht në hapjen e tregut.</w:t>
      </w:r>
    </w:p>
    <w:p w:rsidR="00E0616C" w:rsidRPr="00A6284F" w:rsidRDefault="00106EC6" w:rsidP="00AE7BB1">
      <w:pPr>
        <w:spacing w:before="118"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U</w:t>
      </w:r>
      <w:r w:rsidR="00AE7BB1" w:rsidRPr="00A6284F">
        <w:rPr>
          <w:rFonts w:eastAsia="Times New Roman"/>
          <w:color w:val="000000"/>
          <w:sz w:val="24"/>
          <w:lang w:val="sq-AL"/>
        </w:rPr>
        <w:t xml:space="preserve">rgjentisht </w:t>
      </w:r>
      <w:r w:rsidRPr="00A6284F">
        <w:rPr>
          <w:rFonts w:eastAsia="Times New Roman"/>
          <w:color w:val="000000"/>
          <w:sz w:val="24"/>
          <w:lang w:val="sq-AL"/>
        </w:rPr>
        <w:t xml:space="preserve">duhen ndërmarr </w:t>
      </w:r>
      <w:r w:rsidR="00AE7BB1" w:rsidRPr="00A6284F">
        <w:rPr>
          <w:rFonts w:eastAsia="Times New Roman"/>
          <w:color w:val="000000"/>
          <w:sz w:val="24"/>
          <w:lang w:val="sq-AL"/>
        </w:rPr>
        <w:t xml:space="preserve">masa mjedisore në Kosovën B për të </w:t>
      </w:r>
      <w:r w:rsidRPr="00A6284F">
        <w:rPr>
          <w:rFonts w:eastAsia="Times New Roman"/>
          <w:color w:val="000000"/>
          <w:sz w:val="24"/>
          <w:lang w:val="sq-AL"/>
        </w:rPr>
        <w:t>zvogëluar</w:t>
      </w:r>
      <w:r w:rsidR="00AE7BB1" w:rsidRPr="00A6284F">
        <w:rPr>
          <w:rFonts w:eastAsia="Times New Roman"/>
          <w:color w:val="000000"/>
          <w:sz w:val="24"/>
          <w:lang w:val="sq-AL"/>
        </w:rPr>
        <w:t xml:space="preserve"> nivelin e emetimeve të gaz</w:t>
      </w:r>
      <w:r w:rsidRPr="00A6284F">
        <w:rPr>
          <w:rFonts w:eastAsia="Times New Roman"/>
          <w:color w:val="000000"/>
          <w:sz w:val="24"/>
          <w:lang w:val="sq-AL"/>
        </w:rPr>
        <w:t>it</w:t>
      </w:r>
      <w:r w:rsidR="00AE7BB1" w:rsidRPr="00A6284F">
        <w:rPr>
          <w:rFonts w:eastAsia="Times New Roman"/>
          <w:color w:val="000000"/>
          <w:sz w:val="24"/>
          <w:lang w:val="sq-AL"/>
        </w:rPr>
        <w:t xml:space="preserve"> në ajër dhe për t'iu përmbajtur limitit të </w:t>
      </w:r>
      <w:r w:rsidRPr="00A6284F">
        <w:rPr>
          <w:rFonts w:eastAsia="Times New Roman"/>
          <w:color w:val="000000"/>
          <w:sz w:val="24"/>
          <w:lang w:val="sq-AL"/>
        </w:rPr>
        <w:t>emetimeve</w:t>
      </w:r>
      <w:r w:rsidR="00AE7BB1" w:rsidRPr="00A6284F">
        <w:rPr>
          <w:rFonts w:eastAsia="Times New Roman"/>
          <w:color w:val="000000"/>
          <w:sz w:val="24"/>
          <w:lang w:val="sq-AL"/>
        </w:rPr>
        <w:t xml:space="preserve">. Korporata Energjetike e Kosovës (KEK) duhet të përcaktojë orarin e të gjitha punëve në kuadrin e asistencës së planifikuar të BE-së për renovimin e Kosovës B </w:t>
      </w:r>
      <w:r w:rsidR="00773261" w:rsidRPr="00A6284F">
        <w:rPr>
          <w:rFonts w:eastAsia="Times New Roman"/>
          <w:color w:val="000000"/>
          <w:sz w:val="24"/>
          <w:lang w:val="sq-AL"/>
        </w:rPr>
        <w:t xml:space="preserve">me qëllim që të bëhet </w:t>
      </w:r>
      <w:r w:rsidR="00AE7BB1" w:rsidRPr="00A6284F">
        <w:rPr>
          <w:rFonts w:eastAsia="Times New Roman"/>
          <w:color w:val="000000"/>
          <w:sz w:val="24"/>
          <w:lang w:val="sq-AL"/>
        </w:rPr>
        <w:t>përafr</w:t>
      </w:r>
      <w:r w:rsidR="00773261" w:rsidRPr="00A6284F">
        <w:rPr>
          <w:rFonts w:eastAsia="Times New Roman"/>
          <w:color w:val="000000"/>
          <w:sz w:val="24"/>
          <w:lang w:val="sq-AL"/>
        </w:rPr>
        <w:t xml:space="preserve">imi me dispozitat e Direktivës për centralet e </w:t>
      </w:r>
      <w:r w:rsidR="00AE7BB1" w:rsidRPr="00A6284F">
        <w:rPr>
          <w:rFonts w:eastAsia="Times New Roman"/>
          <w:color w:val="000000"/>
          <w:sz w:val="24"/>
          <w:lang w:val="sq-AL"/>
        </w:rPr>
        <w:t xml:space="preserve">mëdha </w:t>
      </w:r>
      <w:r w:rsidR="00773261" w:rsidRPr="00A6284F">
        <w:rPr>
          <w:rFonts w:eastAsia="Times New Roman"/>
          <w:color w:val="000000"/>
          <w:sz w:val="24"/>
          <w:lang w:val="sq-AL"/>
        </w:rPr>
        <w:t>me</w:t>
      </w:r>
      <w:r w:rsidR="00AE7BB1" w:rsidRPr="00A6284F">
        <w:rPr>
          <w:rFonts w:eastAsia="Times New Roman"/>
          <w:color w:val="000000"/>
          <w:sz w:val="24"/>
          <w:lang w:val="sq-AL"/>
        </w:rPr>
        <w:t xml:space="preserve"> djegie </w:t>
      </w:r>
      <w:r w:rsidR="00773261" w:rsidRPr="00A6284F">
        <w:rPr>
          <w:rFonts w:eastAsia="Times New Roman"/>
          <w:color w:val="000000"/>
          <w:sz w:val="24"/>
          <w:lang w:val="sq-AL"/>
        </w:rPr>
        <w:t>në lidhje me</w:t>
      </w:r>
      <w:r w:rsidR="00AE7BB1" w:rsidRPr="00A6284F">
        <w:rPr>
          <w:rFonts w:eastAsia="Times New Roman"/>
          <w:color w:val="000000"/>
          <w:sz w:val="24"/>
          <w:lang w:val="sq-AL"/>
        </w:rPr>
        <w:t xml:space="preserve"> emetimet e pluhurit dhe oksideve të azotit (</w:t>
      </w:r>
      <w:proofErr w:type="spellStart"/>
      <w:r w:rsidR="00AE7BB1" w:rsidRPr="00A6284F">
        <w:rPr>
          <w:rFonts w:eastAsia="Times New Roman"/>
          <w:color w:val="000000"/>
          <w:sz w:val="24"/>
          <w:lang w:val="sq-AL"/>
        </w:rPr>
        <w:t>NOx</w:t>
      </w:r>
      <w:proofErr w:type="spellEnd"/>
      <w:r w:rsidR="00AE7BB1" w:rsidRPr="00A6284F">
        <w:rPr>
          <w:rFonts w:eastAsia="Times New Roman"/>
          <w:color w:val="000000"/>
          <w:sz w:val="24"/>
          <w:lang w:val="sq-AL"/>
        </w:rPr>
        <w:t xml:space="preserve">). </w:t>
      </w:r>
      <w:r w:rsidR="00773261" w:rsidRPr="00A6284F">
        <w:rPr>
          <w:rFonts w:eastAsia="Times New Roman"/>
          <w:color w:val="000000"/>
          <w:sz w:val="24"/>
          <w:lang w:val="sq-AL"/>
        </w:rPr>
        <w:t>G</w:t>
      </w:r>
      <w:r w:rsidR="00AE7BB1" w:rsidRPr="00A6284F">
        <w:rPr>
          <w:rFonts w:eastAsia="Times New Roman"/>
          <w:color w:val="000000"/>
          <w:sz w:val="24"/>
          <w:lang w:val="sq-AL"/>
        </w:rPr>
        <w:t xml:space="preserve">jithashtu </w:t>
      </w:r>
      <w:r w:rsidR="00773261" w:rsidRPr="00A6284F">
        <w:rPr>
          <w:rFonts w:eastAsia="Times New Roman"/>
          <w:color w:val="000000"/>
          <w:sz w:val="24"/>
          <w:lang w:val="sq-AL"/>
        </w:rPr>
        <w:t xml:space="preserve">duhet </w:t>
      </w:r>
      <w:r w:rsidR="00AE7BB1" w:rsidRPr="00A6284F">
        <w:rPr>
          <w:rFonts w:eastAsia="Times New Roman"/>
          <w:color w:val="000000"/>
          <w:sz w:val="24"/>
          <w:lang w:val="sq-AL"/>
        </w:rPr>
        <w:t xml:space="preserve">të bëhen përgatitje për </w:t>
      </w:r>
      <w:proofErr w:type="spellStart"/>
      <w:r w:rsidR="00AE7BB1" w:rsidRPr="00A6284F">
        <w:rPr>
          <w:rFonts w:eastAsia="Times New Roman"/>
          <w:color w:val="000000"/>
          <w:sz w:val="24"/>
          <w:lang w:val="sq-AL"/>
        </w:rPr>
        <w:t>dekomisionimin</w:t>
      </w:r>
      <w:proofErr w:type="spellEnd"/>
      <w:r w:rsidR="00AE7BB1" w:rsidRPr="00A6284F">
        <w:rPr>
          <w:rFonts w:eastAsia="Times New Roman"/>
          <w:color w:val="000000"/>
          <w:sz w:val="24"/>
          <w:lang w:val="sq-AL"/>
        </w:rPr>
        <w:t xml:space="preserve"> e njësive jo-operuese në Kosovën A, duke përfshirë identifikimin e tokës për asgjësimin e mbetjeve të rrezikshme. Korniza ligjore aktuale nuk është në përputhje me direktivat e </w:t>
      </w:r>
      <w:r w:rsidR="00773261" w:rsidRPr="00A6284F">
        <w:rPr>
          <w:rFonts w:eastAsia="Times New Roman"/>
          <w:color w:val="000000"/>
          <w:sz w:val="24"/>
          <w:lang w:val="sq-AL"/>
        </w:rPr>
        <w:t xml:space="preserve">centraleve </w:t>
      </w:r>
      <w:r w:rsidR="00AE7BB1" w:rsidRPr="00A6284F">
        <w:rPr>
          <w:rFonts w:eastAsia="Times New Roman"/>
          <w:color w:val="000000"/>
          <w:sz w:val="24"/>
          <w:lang w:val="sq-AL"/>
        </w:rPr>
        <w:t xml:space="preserve">të mëdha të djegies dhe emetimeve industriale. Kosova miratoi një plan për </w:t>
      </w:r>
      <w:r w:rsidR="00773261" w:rsidRPr="00A6284F">
        <w:rPr>
          <w:rFonts w:eastAsia="Times New Roman"/>
          <w:color w:val="000000"/>
          <w:sz w:val="24"/>
          <w:lang w:val="sq-AL"/>
        </w:rPr>
        <w:t xml:space="preserve">zvogëlimin </w:t>
      </w:r>
      <w:r w:rsidR="00AE7BB1" w:rsidRPr="00A6284F">
        <w:rPr>
          <w:rFonts w:eastAsia="Times New Roman"/>
          <w:color w:val="000000"/>
          <w:sz w:val="24"/>
          <w:lang w:val="sq-AL"/>
        </w:rPr>
        <w:t>e emetimeve në vitin 2018</w:t>
      </w:r>
      <w:r w:rsidR="009E4C9A" w:rsidRPr="00A6284F">
        <w:rPr>
          <w:rFonts w:eastAsia="Times New Roman"/>
          <w:color w:val="000000"/>
          <w:sz w:val="24"/>
          <w:lang w:val="sq-AL"/>
        </w:rPr>
        <w:t>.</w:t>
      </w:r>
    </w:p>
    <w:p w:rsidR="000A4761" w:rsidRPr="00A6284F" w:rsidRDefault="000A4761" w:rsidP="000A4761">
      <w:pPr>
        <w:spacing w:before="122" w:line="276" w:lineRule="exact"/>
        <w:ind w:left="72" w:right="144"/>
        <w:jc w:val="both"/>
        <w:textAlignment w:val="baseline"/>
        <w:rPr>
          <w:rFonts w:eastAsia="Times New Roman"/>
          <w:color w:val="000000"/>
          <w:spacing w:val="2"/>
          <w:sz w:val="24"/>
          <w:lang w:val="sq-AL"/>
        </w:rPr>
      </w:pPr>
      <w:r w:rsidRPr="00A6284F">
        <w:rPr>
          <w:rFonts w:eastAsia="Times New Roman"/>
          <w:color w:val="000000"/>
          <w:spacing w:val="2"/>
          <w:sz w:val="24"/>
          <w:lang w:val="sq-AL"/>
        </w:rPr>
        <w:t>Kosova ka bërë pak progres në</w:t>
      </w:r>
      <w:r w:rsidR="00773261" w:rsidRPr="00A6284F">
        <w:rPr>
          <w:rFonts w:eastAsia="Times New Roman"/>
          <w:color w:val="000000"/>
          <w:spacing w:val="2"/>
          <w:sz w:val="24"/>
          <w:lang w:val="sq-AL"/>
        </w:rPr>
        <w:t xml:space="preserve"> </w:t>
      </w:r>
      <w:r w:rsidRPr="00A6284F">
        <w:rPr>
          <w:rFonts w:eastAsia="Times New Roman"/>
          <w:color w:val="000000"/>
          <w:spacing w:val="2"/>
          <w:sz w:val="24"/>
          <w:lang w:val="sq-AL"/>
        </w:rPr>
        <w:t xml:space="preserve">largimin e subvencioneve të tërthorta mes kategorive të ndryshme të konsumatorëve, por tarifat për ekonomitë familjare ende nuk </w:t>
      </w:r>
      <w:r w:rsidR="00773261" w:rsidRPr="00A6284F">
        <w:rPr>
          <w:rFonts w:eastAsia="Times New Roman"/>
          <w:color w:val="000000"/>
          <w:spacing w:val="2"/>
          <w:sz w:val="24"/>
          <w:lang w:val="sq-AL"/>
        </w:rPr>
        <w:t xml:space="preserve">i </w:t>
      </w:r>
      <w:r w:rsidRPr="00A6284F">
        <w:rPr>
          <w:rFonts w:eastAsia="Times New Roman"/>
          <w:color w:val="000000"/>
          <w:spacing w:val="2"/>
          <w:sz w:val="24"/>
          <w:lang w:val="sq-AL"/>
        </w:rPr>
        <w:t xml:space="preserve">pasqyrojnë kostot. </w:t>
      </w:r>
      <w:r w:rsidR="00773261" w:rsidRPr="00A6284F">
        <w:rPr>
          <w:rFonts w:eastAsia="Times New Roman"/>
          <w:color w:val="000000"/>
          <w:spacing w:val="2"/>
          <w:sz w:val="24"/>
          <w:lang w:val="sq-AL"/>
        </w:rPr>
        <w:t xml:space="preserve">Sa i përket </w:t>
      </w:r>
      <w:r w:rsidRPr="00A6284F">
        <w:rPr>
          <w:rFonts w:eastAsia="Times New Roman"/>
          <w:color w:val="000000"/>
          <w:spacing w:val="2"/>
          <w:sz w:val="24"/>
          <w:lang w:val="sq-AL"/>
        </w:rPr>
        <w:t>presion</w:t>
      </w:r>
      <w:r w:rsidR="00773261" w:rsidRPr="00A6284F">
        <w:rPr>
          <w:rFonts w:eastAsia="Times New Roman"/>
          <w:color w:val="000000"/>
          <w:spacing w:val="2"/>
          <w:sz w:val="24"/>
          <w:lang w:val="sq-AL"/>
        </w:rPr>
        <w:t>eve</w:t>
      </w:r>
      <w:r w:rsidRPr="00A6284F">
        <w:rPr>
          <w:rFonts w:eastAsia="Times New Roman"/>
          <w:color w:val="000000"/>
          <w:spacing w:val="2"/>
          <w:sz w:val="24"/>
          <w:lang w:val="sq-AL"/>
        </w:rPr>
        <w:t xml:space="preserve"> </w:t>
      </w:r>
      <w:r w:rsidR="00773261" w:rsidRPr="00A6284F">
        <w:rPr>
          <w:rFonts w:eastAsia="Times New Roman"/>
          <w:color w:val="000000"/>
          <w:spacing w:val="2"/>
          <w:sz w:val="24"/>
          <w:lang w:val="sq-AL"/>
        </w:rPr>
        <w:t xml:space="preserve">të </w:t>
      </w:r>
      <w:r w:rsidRPr="00A6284F">
        <w:rPr>
          <w:rFonts w:eastAsia="Times New Roman"/>
          <w:color w:val="000000"/>
          <w:spacing w:val="2"/>
          <w:sz w:val="24"/>
          <w:lang w:val="sq-AL"/>
        </w:rPr>
        <w:t xml:space="preserve">pritshëm të ngritjes së çmimeve </w:t>
      </w:r>
      <w:r w:rsidR="00773261" w:rsidRPr="00A6284F">
        <w:rPr>
          <w:rFonts w:eastAsia="Times New Roman"/>
          <w:color w:val="000000"/>
          <w:spacing w:val="2"/>
          <w:sz w:val="24"/>
          <w:lang w:val="sq-AL"/>
        </w:rPr>
        <w:t>si rezultat i</w:t>
      </w:r>
      <w:r w:rsidRPr="00A6284F">
        <w:rPr>
          <w:rFonts w:eastAsia="Times New Roman"/>
          <w:color w:val="000000"/>
          <w:spacing w:val="2"/>
          <w:sz w:val="24"/>
          <w:lang w:val="sq-AL"/>
        </w:rPr>
        <w:t xml:space="preserve"> investime</w:t>
      </w:r>
      <w:r w:rsidR="00773261" w:rsidRPr="00A6284F">
        <w:rPr>
          <w:rFonts w:eastAsia="Times New Roman"/>
          <w:color w:val="000000"/>
          <w:spacing w:val="2"/>
          <w:sz w:val="24"/>
          <w:lang w:val="sq-AL"/>
        </w:rPr>
        <w:t>ve</w:t>
      </w:r>
      <w:r w:rsidRPr="00A6284F">
        <w:rPr>
          <w:rFonts w:eastAsia="Times New Roman"/>
          <w:color w:val="000000"/>
          <w:spacing w:val="2"/>
          <w:sz w:val="24"/>
          <w:lang w:val="sq-AL"/>
        </w:rPr>
        <w:t xml:space="preserve"> </w:t>
      </w:r>
      <w:r w:rsidR="00773261" w:rsidRPr="00A6284F">
        <w:rPr>
          <w:rFonts w:eastAsia="Times New Roman"/>
          <w:color w:val="000000"/>
          <w:spacing w:val="2"/>
          <w:sz w:val="24"/>
          <w:lang w:val="sq-AL"/>
        </w:rPr>
        <w:t xml:space="preserve">të </w:t>
      </w:r>
      <w:r w:rsidRPr="00A6284F">
        <w:rPr>
          <w:rFonts w:eastAsia="Times New Roman"/>
          <w:color w:val="000000"/>
          <w:spacing w:val="2"/>
          <w:sz w:val="24"/>
          <w:lang w:val="sq-AL"/>
        </w:rPr>
        <w:t xml:space="preserve">rëndësishme </w:t>
      </w:r>
      <w:r w:rsidR="00773261" w:rsidRPr="00A6284F">
        <w:rPr>
          <w:rFonts w:eastAsia="Times New Roman"/>
          <w:color w:val="000000"/>
          <w:spacing w:val="2"/>
          <w:sz w:val="24"/>
          <w:lang w:val="sq-AL"/>
        </w:rPr>
        <w:t>që n</w:t>
      </w:r>
      <w:r w:rsidRPr="00A6284F">
        <w:rPr>
          <w:rFonts w:eastAsia="Times New Roman"/>
          <w:color w:val="000000"/>
          <w:spacing w:val="2"/>
          <w:sz w:val="24"/>
          <w:lang w:val="sq-AL"/>
        </w:rPr>
        <w:t>evoj</w:t>
      </w:r>
      <w:r w:rsidR="00773261" w:rsidRPr="00A6284F">
        <w:rPr>
          <w:rFonts w:eastAsia="Times New Roman"/>
          <w:color w:val="000000"/>
          <w:spacing w:val="2"/>
          <w:sz w:val="24"/>
          <w:lang w:val="sq-AL"/>
        </w:rPr>
        <w:t xml:space="preserve">iten </w:t>
      </w:r>
      <w:r w:rsidRPr="00A6284F">
        <w:rPr>
          <w:rFonts w:eastAsia="Times New Roman"/>
          <w:color w:val="000000"/>
          <w:spacing w:val="2"/>
          <w:sz w:val="24"/>
          <w:lang w:val="sq-AL"/>
        </w:rPr>
        <w:t xml:space="preserve">në sektorin e energjisë elektrike, Kosova duhet të zhvillojë një program për mbrojtjen e konsumatorëve të </w:t>
      </w:r>
      <w:r w:rsidR="00773261" w:rsidRPr="00A6284F">
        <w:rPr>
          <w:rFonts w:eastAsia="Times New Roman"/>
          <w:color w:val="000000"/>
          <w:spacing w:val="2"/>
          <w:sz w:val="24"/>
          <w:lang w:val="sq-AL"/>
        </w:rPr>
        <w:t>cenueshëm</w:t>
      </w:r>
      <w:r w:rsidRPr="00A6284F">
        <w:rPr>
          <w:rFonts w:eastAsia="Times New Roman"/>
          <w:color w:val="000000"/>
          <w:spacing w:val="2"/>
          <w:sz w:val="24"/>
          <w:lang w:val="sq-AL"/>
        </w:rPr>
        <w:t xml:space="preserve"> në përputhje me kërkesat e Komunitetit të Energjisë. Konsumi i energjisë elektrike në veri të Kosovës, që u konsiderua si humbje në të kaluarën dhe që mbul</w:t>
      </w:r>
      <w:r w:rsidR="00773261" w:rsidRPr="00A6284F">
        <w:rPr>
          <w:rFonts w:eastAsia="Times New Roman"/>
          <w:color w:val="000000"/>
          <w:spacing w:val="2"/>
          <w:sz w:val="24"/>
          <w:lang w:val="sq-AL"/>
        </w:rPr>
        <w:t xml:space="preserve">ohej nga </w:t>
      </w:r>
      <w:r w:rsidRPr="00A6284F">
        <w:rPr>
          <w:rFonts w:eastAsia="Times New Roman"/>
          <w:color w:val="000000"/>
          <w:spacing w:val="2"/>
          <w:sz w:val="24"/>
          <w:lang w:val="sq-AL"/>
        </w:rPr>
        <w:t>tarif</w:t>
      </w:r>
      <w:r w:rsidR="00773261" w:rsidRPr="00A6284F">
        <w:rPr>
          <w:rFonts w:eastAsia="Times New Roman"/>
          <w:color w:val="000000"/>
          <w:spacing w:val="2"/>
          <w:sz w:val="24"/>
          <w:lang w:val="sq-AL"/>
        </w:rPr>
        <w:t>at</w:t>
      </w:r>
      <w:r w:rsidRPr="00A6284F">
        <w:rPr>
          <w:rFonts w:eastAsia="Times New Roman"/>
          <w:color w:val="000000"/>
          <w:spacing w:val="2"/>
          <w:sz w:val="24"/>
          <w:lang w:val="sq-AL"/>
        </w:rPr>
        <w:t xml:space="preserve"> </w:t>
      </w:r>
      <w:r w:rsidR="00773261" w:rsidRPr="00A6284F">
        <w:rPr>
          <w:rFonts w:eastAsia="Times New Roman"/>
          <w:color w:val="000000"/>
          <w:spacing w:val="2"/>
          <w:sz w:val="24"/>
          <w:lang w:val="sq-AL"/>
        </w:rPr>
        <w:t>e</w:t>
      </w:r>
      <w:r w:rsidRPr="00A6284F">
        <w:rPr>
          <w:rFonts w:eastAsia="Times New Roman"/>
          <w:color w:val="000000"/>
          <w:spacing w:val="2"/>
          <w:sz w:val="24"/>
          <w:lang w:val="sq-AL"/>
        </w:rPr>
        <w:t xml:space="preserve"> shitjes me pakicë për konsumatorët që paguajnë </w:t>
      </w:r>
      <w:r w:rsidR="00773261" w:rsidRPr="00A6284F">
        <w:rPr>
          <w:rFonts w:eastAsia="Times New Roman"/>
          <w:color w:val="000000"/>
          <w:spacing w:val="2"/>
          <w:sz w:val="24"/>
          <w:lang w:val="sq-AL"/>
        </w:rPr>
        <w:t>energjinë</w:t>
      </w:r>
      <w:r w:rsidRPr="00A6284F">
        <w:rPr>
          <w:rFonts w:eastAsia="Times New Roman"/>
          <w:color w:val="000000"/>
          <w:spacing w:val="2"/>
          <w:sz w:val="24"/>
          <w:lang w:val="sq-AL"/>
        </w:rPr>
        <w:t xml:space="preserve"> elektrike tani trajtohet si humbje e operatorit të sistemit të transmisionit. Kapaciteti dhe pavarësia e Zyrës së Rregullatorit për Energji janë dëmtuar nga ndërhyrjet politike. Si çështje prioritare, Zyra duhet të përmirësojë monitorimin e funksionimit të tregut dhe konkurrencës. Stabiliteti i tij financiar duhet të sigurohet në përputhje me legjislacionin në fuqi dhe pak</w:t>
      </w:r>
      <w:r w:rsidR="00773261" w:rsidRPr="00A6284F">
        <w:rPr>
          <w:rFonts w:eastAsia="Times New Roman"/>
          <w:color w:val="000000"/>
          <w:spacing w:val="2"/>
          <w:sz w:val="24"/>
          <w:lang w:val="sq-AL"/>
        </w:rPr>
        <w:t xml:space="preserve">on </w:t>
      </w:r>
      <w:r w:rsidRPr="00A6284F">
        <w:rPr>
          <w:rFonts w:eastAsia="Times New Roman"/>
          <w:color w:val="000000"/>
          <w:spacing w:val="2"/>
          <w:sz w:val="24"/>
          <w:lang w:val="sq-AL"/>
        </w:rPr>
        <w:t>e tretë të energjisë.</w:t>
      </w:r>
    </w:p>
    <w:p w:rsidR="00E67A42" w:rsidRPr="00A6284F" w:rsidRDefault="000A4761" w:rsidP="00E67A42">
      <w:pPr>
        <w:spacing w:before="122" w:line="276" w:lineRule="exact"/>
        <w:ind w:left="72" w:right="144"/>
        <w:jc w:val="both"/>
        <w:textAlignment w:val="baseline"/>
        <w:rPr>
          <w:rFonts w:eastAsia="Times New Roman"/>
          <w:color w:val="000000"/>
          <w:spacing w:val="-1"/>
          <w:sz w:val="24"/>
          <w:lang w:val="sq-AL"/>
        </w:rPr>
      </w:pPr>
      <w:r w:rsidRPr="00A6284F">
        <w:rPr>
          <w:rFonts w:eastAsia="Times New Roman"/>
          <w:color w:val="000000"/>
          <w:spacing w:val="2"/>
          <w:sz w:val="24"/>
          <w:lang w:val="sq-AL"/>
        </w:rPr>
        <w:t xml:space="preserve">Ka pasur pak progres në sektorin e </w:t>
      </w:r>
      <w:r w:rsidRPr="00A6284F">
        <w:rPr>
          <w:rFonts w:eastAsia="Times New Roman"/>
          <w:b/>
          <w:color w:val="000000"/>
          <w:spacing w:val="2"/>
          <w:sz w:val="24"/>
          <w:lang w:val="sq-AL"/>
        </w:rPr>
        <w:t>burimeve të</w:t>
      </w:r>
      <w:r w:rsidR="00754B54" w:rsidRPr="00A6284F">
        <w:rPr>
          <w:rFonts w:eastAsia="Times New Roman"/>
          <w:b/>
          <w:color w:val="000000"/>
          <w:spacing w:val="2"/>
          <w:sz w:val="24"/>
          <w:lang w:val="sq-AL"/>
        </w:rPr>
        <w:t xml:space="preserve"> </w:t>
      </w:r>
      <w:r w:rsidRPr="00A6284F">
        <w:rPr>
          <w:rFonts w:eastAsia="Times New Roman"/>
          <w:b/>
          <w:color w:val="000000"/>
          <w:spacing w:val="2"/>
          <w:sz w:val="24"/>
          <w:lang w:val="sq-AL"/>
        </w:rPr>
        <w:t xml:space="preserve">energjisë së </w:t>
      </w:r>
      <w:r w:rsidR="00754B54" w:rsidRPr="00A6284F">
        <w:rPr>
          <w:rFonts w:eastAsia="Times New Roman"/>
          <w:b/>
          <w:color w:val="000000"/>
          <w:spacing w:val="2"/>
          <w:sz w:val="24"/>
          <w:lang w:val="sq-AL"/>
        </w:rPr>
        <w:t>ripërtërishme</w:t>
      </w:r>
      <w:r w:rsidR="00754B54" w:rsidRPr="00A6284F">
        <w:rPr>
          <w:rFonts w:eastAsia="Times New Roman"/>
          <w:color w:val="000000"/>
          <w:spacing w:val="2"/>
          <w:sz w:val="24"/>
          <w:lang w:val="sq-AL"/>
        </w:rPr>
        <w:t xml:space="preserve">. Parku i erës me </w:t>
      </w:r>
      <w:r w:rsidRPr="00A6284F">
        <w:rPr>
          <w:rFonts w:eastAsia="Times New Roman"/>
          <w:color w:val="000000"/>
          <w:spacing w:val="2"/>
          <w:sz w:val="24"/>
          <w:lang w:val="sq-AL"/>
        </w:rPr>
        <w:t xml:space="preserve">32 MW dhe 2 projekte </w:t>
      </w:r>
      <w:proofErr w:type="spellStart"/>
      <w:r w:rsidR="00754B54" w:rsidRPr="00A6284F">
        <w:rPr>
          <w:rFonts w:eastAsia="Times New Roman"/>
          <w:color w:val="000000"/>
          <w:spacing w:val="2"/>
          <w:sz w:val="24"/>
          <w:lang w:val="sq-AL"/>
        </w:rPr>
        <w:t>solare</w:t>
      </w:r>
      <w:proofErr w:type="spellEnd"/>
      <w:r w:rsidR="00754B54" w:rsidRPr="00A6284F">
        <w:rPr>
          <w:rFonts w:eastAsia="Times New Roman"/>
          <w:color w:val="000000"/>
          <w:spacing w:val="2"/>
          <w:sz w:val="24"/>
          <w:lang w:val="sq-AL"/>
        </w:rPr>
        <w:t xml:space="preserve"> </w:t>
      </w:r>
      <w:r w:rsidRPr="00A6284F">
        <w:rPr>
          <w:rFonts w:eastAsia="Times New Roman"/>
          <w:color w:val="000000"/>
          <w:spacing w:val="2"/>
          <w:sz w:val="24"/>
          <w:lang w:val="sq-AL"/>
        </w:rPr>
        <w:t xml:space="preserve">me kapacitet prej 6 MW janë </w:t>
      </w:r>
      <w:r w:rsidR="00754B54" w:rsidRPr="00A6284F">
        <w:rPr>
          <w:rFonts w:eastAsia="Times New Roman"/>
          <w:color w:val="000000"/>
          <w:spacing w:val="2"/>
          <w:sz w:val="24"/>
          <w:lang w:val="sq-AL"/>
        </w:rPr>
        <w:t xml:space="preserve">bërë </w:t>
      </w:r>
      <w:proofErr w:type="spellStart"/>
      <w:r w:rsidR="00754B54" w:rsidRPr="00A6284F">
        <w:rPr>
          <w:rFonts w:eastAsia="Times New Roman"/>
          <w:color w:val="000000"/>
          <w:spacing w:val="2"/>
          <w:sz w:val="24"/>
          <w:lang w:val="sq-AL"/>
        </w:rPr>
        <w:t>operacionale</w:t>
      </w:r>
      <w:proofErr w:type="spellEnd"/>
      <w:r w:rsidRPr="00A6284F">
        <w:rPr>
          <w:rFonts w:eastAsia="Times New Roman"/>
          <w:color w:val="000000"/>
          <w:spacing w:val="2"/>
          <w:sz w:val="24"/>
          <w:lang w:val="sq-AL"/>
        </w:rPr>
        <w:t>. Shifrat e rishikimit të biomasës që përdoren për ngrohje nga konsumatorët e ekonomive familjare vënë Kosovën në rrugën e duhur për të arritur objektivin e saj prej 25% në vitin 2020.</w:t>
      </w:r>
      <w:r w:rsidR="00754B54" w:rsidRPr="00A6284F">
        <w:rPr>
          <w:rFonts w:eastAsia="Times New Roman"/>
          <w:color w:val="000000"/>
          <w:spacing w:val="2"/>
          <w:sz w:val="24"/>
          <w:lang w:val="sq-AL"/>
        </w:rPr>
        <w:t xml:space="preserve"> </w:t>
      </w:r>
      <w:r w:rsidRPr="00A6284F">
        <w:rPr>
          <w:rFonts w:eastAsia="Times New Roman"/>
          <w:color w:val="000000"/>
          <w:spacing w:val="-1"/>
          <w:sz w:val="24"/>
          <w:lang w:val="sq-AL"/>
        </w:rPr>
        <w:t xml:space="preserve">Derisa legjislacioni është pjesërisht </w:t>
      </w:r>
      <w:r w:rsidR="00754B54" w:rsidRPr="00A6284F">
        <w:rPr>
          <w:rFonts w:eastAsia="Times New Roman"/>
          <w:color w:val="000000"/>
          <w:spacing w:val="-1"/>
          <w:sz w:val="24"/>
          <w:lang w:val="sq-AL"/>
        </w:rPr>
        <w:t xml:space="preserve">i përafruar </w:t>
      </w:r>
      <w:r w:rsidRPr="00A6284F">
        <w:rPr>
          <w:rFonts w:eastAsia="Times New Roman"/>
          <w:color w:val="000000"/>
          <w:spacing w:val="-1"/>
          <w:sz w:val="24"/>
          <w:lang w:val="sq-AL"/>
        </w:rPr>
        <w:t xml:space="preserve">me </w:t>
      </w:r>
      <w:r w:rsidR="00754B54" w:rsidRPr="00A6284F">
        <w:rPr>
          <w:rFonts w:eastAsia="Times New Roman"/>
          <w:i/>
          <w:color w:val="000000"/>
          <w:spacing w:val="-1"/>
          <w:sz w:val="24"/>
          <w:lang w:val="sq-AL"/>
        </w:rPr>
        <w:t>a</w:t>
      </w:r>
      <w:r w:rsidRPr="00A6284F">
        <w:rPr>
          <w:rFonts w:eastAsia="Times New Roman"/>
          <w:i/>
          <w:color w:val="000000"/>
          <w:spacing w:val="-1"/>
          <w:sz w:val="24"/>
          <w:lang w:val="sq-AL"/>
        </w:rPr>
        <w:t>cquis</w:t>
      </w:r>
      <w:r w:rsidRPr="00A6284F">
        <w:rPr>
          <w:rFonts w:eastAsia="Times New Roman"/>
          <w:color w:val="000000"/>
          <w:spacing w:val="-1"/>
          <w:sz w:val="24"/>
          <w:lang w:val="sq-AL"/>
        </w:rPr>
        <w:t xml:space="preserve">, tregu i energjisë elektrike duhet të ristrukturohet për të mundësuar integrimin e gjenerimit të energjisë së </w:t>
      </w:r>
      <w:r w:rsidR="00754B54" w:rsidRPr="00A6284F">
        <w:rPr>
          <w:rFonts w:eastAsia="Times New Roman"/>
          <w:color w:val="000000"/>
          <w:spacing w:val="-1"/>
          <w:sz w:val="24"/>
          <w:lang w:val="sq-AL"/>
        </w:rPr>
        <w:t>ripërtërishme</w:t>
      </w:r>
      <w:r w:rsidRPr="00A6284F">
        <w:rPr>
          <w:rFonts w:eastAsia="Times New Roman"/>
          <w:color w:val="000000"/>
          <w:spacing w:val="-1"/>
          <w:sz w:val="24"/>
          <w:lang w:val="sq-AL"/>
        </w:rPr>
        <w:t>. Duhet të paraqitet një skemë e bazuar në treg për mbështetjen e gjenerueseve të pavarur.</w:t>
      </w:r>
      <w:r w:rsidR="00E67A42" w:rsidRPr="00A6284F">
        <w:rPr>
          <w:rFonts w:eastAsia="Times New Roman"/>
          <w:color w:val="000000"/>
          <w:spacing w:val="-1"/>
          <w:sz w:val="24"/>
          <w:lang w:val="sq-AL"/>
        </w:rPr>
        <w:t xml:space="preserve"> </w:t>
      </w:r>
    </w:p>
    <w:p w:rsidR="000A4761" w:rsidRPr="00A6284F" w:rsidRDefault="00E67A42" w:rsidP="00E67A42">
      <w:pPr>
        <w:spacing w:before="122" w:line="276"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Nuk ka pasur progres në përmbushjen kritereve për përdorimin e </w:t>
      </w:r>
      <w:proofErr w:type="spellStart"/>
      <w:r w:rsidRPr="00A6284F">
        <w:rPr>
          <w:rFonts w:eastAsia="Times New Roman"/>
          <w:color w:val="000000"/>
          <w:sz w:val="24"/>
          <w:lang w:val="sq-AL"/>
        </w:rPr>
        <w:t>bio</w:t>
      </w:r>
      <w:proofErr w:type="spellEnd"/>
      <w:r w:rsidRPr="00A6284F">
        <w:rPr>
          <w:rFonts w:eastAsia="Times New Roman"/>
          <w:color w:val="000000"/>
          <w:sz w:val="24"/>
          <w:lang w:val="sq-AL"/>
        </w:rPr>
        <w:t>-karburanteve në transport</w:t>
      </w:r>
      <w:r w:rsidR="000A4761" w:rsidRPr="00A6284F">
        <w:rPr>
          <w:rFonts w:eastAsia="Times New Roman"/>
          <w:color w:val="000000"/>
          <w:sz w:val="24"/>
          <w:lang w:val="sq-AL"/>
        </w:rPr>
        <w:t>. Miratimi i Udhëzimi</w:t>
      </w:r>
      <w:r w:rsidRPr="00A6284F">
        <w:rPr>
          <w:rFonts w:eastAsia="Times New Roman"/>
          <w:color w:val="000000"/>
          <w:sz w:val="24"/>
          <w:lang w:val="sq-AL"/>
        </w:rPr>
        <w:t>t</w:t>
      </w:r>
      <w:r w:rsidR="000A4761" w:rsidRPr="00A6284F">
        <w:rPr>
          <w:rFonts w:eastAsia="Times New Roman"/>
          <w:color w:val="000000"/>
          <w:sz w:val="24"/>
          <w:lang w:val="sq-AL"/>
        </w:rPr>
        <w:t xml:space="preserve"> Administrativ për </w:t>
      </w:r>
      <w:proofErr w:type="spellStart"/>
      <w:r w:rsidR="000A4761" w:rsidRPr="00A6284F">
        <w:rPr>
          <w:rFonts w:eastAsia="Times New Roman"/>
          <w:color w:val="000000"/>
          <w:sz w:val="24"/>
          <w:lang w:val="sq-AL"/>
        </w:rPr>
        <w:t>bio</w:t>
      </w:r>
      <w:proofErr w:type="spellEnd"/>
      <w:r w:rsidRPr="00A6284F">
        <w:rPr>
          <w:rFonts w:eastAsia="Times New Roman"/>
          <w:color w:val="000000"/>
          <w:sz w:val="24"/>
          <w:lang w:val="sq-AL"/>
        </w:rPr>
        <w:t>-</w:t>
      </w:r>
      <w:r w:rsidR="000A4761" w:rsidRPr="00A6284F">
        <w:rPr>
          <w:rFonts w:eastAsia="Times New Roman"/>
          <w:color w:val="000000"/>
          <w:sz w:val="24"/>
          <w:lang w:val="sq-AL"/>
        </w:rPr>
        <w:t>karburantet që ka për qëllim harmonizimin me Direktivat përkatëse të BE-së është në pritje për më shumë se tre vjet.</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Ka pasur progres të mirë në </w:t>
      </w:r>
      <w:r w:rsidR="00682C3E" w:rsidRPr="00A6284F">
        <w:rPr>
          <w:rFonts w:eastAsia="Times New Roman"/>
          <w:color w:val="000000"/>
          <w:sz w:val="24"/>
          <w:lang w:val="sq-AL"/>
        </w:rPr>
        <w:t xml:space="preserve">përafrimin </w:t>
      </w:r>
      <w:r w:rsidRPr="00A6284F">
        <w:rPr>
          <w:rFonts w:eastAsia="Times New Roman"/>
          <w:color w:val="000000"/>
          <w:sz w:val="24"/>
          <w:lang w:val="sq-AL"/>
        </w:rPr>
        <w:t xml:space="preserve">me </w:t>
      </w:r>
      <w:r w:rsidR="00682C3E" w:rsidRPr="00A6284F">
        <w:rPr>
          <w:rFonts w:eastAsia="Times New Roman"/>
          <w:color w:val="000000"/>
          <w:sz w:val="24"/>
          <w:lang w:val="sq-AL"/>
        </w:rPr>
        <w:t>a</w:t>
      </w:r>
      <w:r w:rsidRPr="00A6284F">
        <w:rPr>
          <w:rFonts w:eastAsia="Times New Roman"/>
          <w:i/>
          <w:color w:val="000000"/>
          <w:sz w:val="24"/>
          <w:lang w:val="sq-AL"/>
        </w:rPr>
        <w:t>cquis</w:t>
      </w:r>
      <w:r w:rsidR="00682C3E" w:rsidRPr="00A6284F">
        <w:rPr>
          <w:rFonts w:eastAsia="Times New Roman"/>
          <w:i/>
          <w:color w:val="000000"/>
          <w:sz w:val="24"/>
          <w:lang w:val="sq-AL"/>
        </w:rPr>
        <w:t xml:space="preserve"> </w:t>
      </w:r>
      <w:r w:rsidRPr="00A6284F">
        <w:rPr>
          <w:rFonts w:eastAsia="Times New Roman"/>
          <w:b/>
          <w:color w:val="000000"/>
          <w:sz w:val="24"/>
          <w:lang w:val="sq-AL"/>
        </w:rPr>
        <w:t>të energjisë elektrike</w:t>
      </w:r>
      <w:r w:rsidRPr="00A6284F">
        <w:rPr>
          <w:rFonts w:eastAsia="Times New Roman"/>
          <w:color w:val="000000"/>
          <w:sz w:val="24"/>
          <w:lang w:val="sq-AL"/>
        </w:rPr>
        <w:t xml:space="preserve">, me miratimin e Ligjit të ri për </w:t>
      </w:r>
      <w:proofErr w:type="spellStart"/>
      <w:r w:rsidR="00682C3E" w:rsidRPr="00A6284F">
        <w:rPr>
          <w:rFonts w:eastAsia="Times New Roman"/>
          <w:color w:val="000000"/>
          <w:sz w:val="24"/>
          <w:lang w:val="sq-AL"/>
        </w:rPr>
        <w:t>E</w:t>
      </w:r>
      <w:r w:rsidRPr="00A6284F">
        <w:rPr>
          <w:rFonts w:eastAsia="Times New Roman"/>
          <w:color w:val="000000"/>
          <w:sz w:val="24"/>
          <w:lang w:val="sq-AL"/>
        </w:rPr>
        <w:t>fiçiencën</w:t>
      </w:r>
      <w:proofErr w:type="spellEnd"/>
      <w:r w:rsidRPr="00A6284F">
        <w:rPr>
          <w:rFonts w:eastAsia="Times New Roman"/>
          <w:color w:val="000000"/>
          <w:sz w:val="24"/>
          <w:lang w:val="sq-AL"/>
        </w:rPr>
        <w:t xml:space="preserve"> e </w:t>
      </w:r>
      <w:r w:rsidR="00682C3E" w:rsidRPr="00A6284F">
        <w:rPr>
          <w:rFonts w:eastAsia="Times New Roman"/>
          <w:color w:val="000000"/>
          <w:sz w:val="24"/>
          <w:lang w:val="sq-AL"/>
        </w:rPr>
        <w:t>E</w:t>
      </w:r>
      <w:r w:rsidRPr="00A6284F">
        <w:rPr>
          <w:rFonts w:eastAsia="Times New Roman"/>
          <w:color w:val="000000"/>
          <w:sz w:val="24"/>
          <w:lang w:val="sq-AL"/>
        </w:rPr>
        <w:t xml:space="preserve">nergjisë, i cili është pjesërisht i </w:t>
      </w:r>
      <w:r w:rsidR="00682C3E" w:rsidRPr="00A6284F">
        <w:rPr>
          <w:rFonts w:eastAsia="Times New Roman"/>
          <w:color w:val="000000"/>
          <w:sz w:val="24"/>
          <w:lang w:val="sq-AL"/>
        </w:rPr>
        <w:t>përafruar</w:t>
      </w:r>
      <w:r w:rsidRPr="00A6284F">
        <w:rPr>
          <w:rFonts w:eastAsia="Times New Roman"/>
          <w:color w:val="000000"/>
          <w:sz w:val="24"/>
          <w:lang w:val="sq-AL"/>
        </w:rPr>
        <w:t xml:space="preserve"> me Direktivën e Efikasitetit të Energjisë të BE-së. Legjislacioni sekondar për performancën energjetike të ndërtesave duhet të plotësohet dhe të zhvillohen shërbime për auditimin e energjisë dhe vlerësuesit e energjisë. Është themeluar Fondi për </w:t>
      </w:r>
      <w:proofErr w:type="spellStart"/>
      <w:r w:rsidRPr="00A6284F">
        <w:rPr>
          <w:rFonts w:eastAsia="Times New Roman"/>
          <w:color w:val="000000"/>
          <w:sz w:val="24"/>
          <w:lang w:val="sq-AL"/>
        </w:rPr>
        <w:t>Efiçiencën</w:t>
      </w:r>
      <w:proofErr w:type="spellEnd"/>
      <w:r w:rsidRPr="00A6284F">
        <w:rPr>
          <w:rFonts w:eastAsia="Times New Roman"/>
          <w:color w:val="000000"/>
          <w:sz w:val="24"/>
          <w:lang w:val="sq-AL"/>
        </w:rPr>
        <w:t xml:space="preserve"> e Energjisë dhe është bërë emërimi i bordi i tij. Kosova duhet të sigurojë që Fondi të bëhet funksional. </w:t>
      </w:r>
      <w:r w:rsidR="00682C3E" w:rsidRPr="00A6284F">
        <w:rPr>
          <w:rFonts w:eastAsia="Times New Roman"/>
          <w:color w:val="000000"/>
          <w:sz w:val="24"/>
          <w:lang w:val="sq-AL"/>
        </w:rPr>
        <w:t xml:space="preserve">Tashmë </w:t>
      </w:r>
      <w:r w:rsidRPr="00A6284F">
        <w:rPr>
          <w:rFonts w:eastAsia="Times New Roman"/>
          <w:color w:val="000000"/>
          <w:sz w:val="24"/>
          <w:lang w:val="sq-AL"/>
        </w:rPr>
        <w:t xml:space="preserve">25 </w:t>
      </w:r>
      <w:r w:rsidR="00682C3E" w:rsidRPr="00A6284F">
        <w:rPr>
          <w:rFonts w:eastAsia="Times New Roman"/>
          <w:color w:val="000000"/>
          <w:sz w:val="24"/>
          <w:lang w:val="sq-AL"/>
        </w:rPr>
        <w:t>k</w:t>
      </w:r>
      <w:r w:rsidRPr="00A6284F">
        <w:rPr>
          <w:rFonts w:eastAsia="Times New Roman"/>
          <w:color w:val="000000"/>
          <w:sz w:val="24"/>
          <w:lang w:val="sq-AL"/>
        </w:rPr>
        <w:t>omuna kanë zhvilluar plane veprimi për efikasitet energjetik. Janë bërë investime në efikasitetin e energjisë në ndërtesat publike, por stimuj</w:t>
      </w:r>
      <w:r w:rsidR="00682C3E" w:rsidRPr="00A6284F">
        <w:rPr>
          <w:rFonts w:eastAsia="Times New Roman"/>
          <w:color w:val="000000"/>
          <w:sz w:val="24"/>
          <w:lang w:val="sq-AL"/>
        </w:rPr>
        <w:t>t</w:t>
      </w:r>
      <w:r w:rsidRPr="00A6284F">
        <w:rPr>
          <w:rFonts w:eastAsia="Times New Roman"/>
          <w:color w:val="000000"/>
          <w:sz w:val="24"/>
          <w:lang w:val="sq-AL"/>
        </w:rPr>
        <w:t xml:space="preserve"> për sektorin privat dhe ekonomitë familjare kanë mbetur prapa. Kosova  ka arritur vetëm gjysmën e objektivit të efiçiencës së </w:t>
      </w:r>
      <w:r w:rsidRPr="00A6284F">
        <w:rPr>
          <w:rFonts w:eastAsia="Times New Roman"/>
          <w:color w:val="000000"/>
          <w:sz w:val="24"/>
          <w:lang w:val="sq-AL"/>
        </w:rPr>
        <w:lastRenderedPageBreak/>
        <w:t xml:space="preserve">energjisë prej 9% deri në vitin 2018. Agjencia e Kosovës për </w:t>
      </w:r>
      <w:proofErr w:type="spellStart"/>
      <w:r w:rsidRPr="00A6284F">
        <w:rPr>
          <w:rFonts w:eastAsia="Times New Roman"/>
          <w:color w:val="000000"/>
          <w:sz w:val="24"/>
          <w:lang w:val="sq-AL"/>
        </w:rPr>
        <w:t>Efiçiencë</w:t>
      </w:r>
      <w:proofErr w:type="spellEnd"/>
      <w:r w:rsidRPr="00A6284F">
        <w:rPr>
          <w:rFonts w:eastAsia="Times New Roman"/>
          <w:color w:val="000000"/>
          <w:sz w:val="24"/>
          <w:lang w:val="sq-AL"/>
        </w:rPr>
        <w:t xml:space="preserve"> të Energjisë ka mungesë të stafit dhe </w:t>
      </w:r>
      <w:r w:rsidR="00682C3E" w:rsidRPr="00A6284F">
        <w:rPr>
          <w:rFonts w:eastAsia="Times New Roman"/>
          <w:color w:val="000000"/>
          <w:sz w:val="24"/>
          <w:lang w:val="sq-AL"/>
        </w:rPr>
        <w:t xml:space="preserve">ka </w:t>
      </w:r>
      <w:r w:rsidRPr="00A6284F">
        <w:rPr>
          <w:rFonts w:eastAsia="Times New Roman"/>
          <w:color w:val="000000"/>
          <w:sz w:val="24"/>
          <w:lang w:val="sq-AL"/>
        </w:rPr>
        <w:t>kapacitet</w:t>
      </w:r>
      <w:r w:rsidR="00682C3E" w:rsidRPr="00A6284F">
        <w:rPr>
          <w:rFonts w:eastAsia="Times New Roman"/>
          <w:color w:val="000000"/>
          <w:sz w:val="24"/>
          <w:lang w:val="sq-AL"/>
        </w:rPr>
        <w:t>e</w:t>
      </w:r>
      <w:r w:rsidRPr="00A6284F">
        <w:rPr>
          <w:rFonts w:eastAsia="Times New Roman"/>
          <w:color w:val="000000"/>
          <w:sz w:val="24"/>
          <w:lang w:val="sq-AL"/>
        </w:rPr>
        <w:t xml:space="preserve"> shumë të kufizuar për të monitoruar zbatimin e politikës së efiçiencës së energjisë. Kosova </w:t>
      </w:r>
      <w:r w:rsidR="00682C3E" w:rsidRPr="00A6284F">
        <w:rPr>
          <w:rFonts w:eastAsia="Times New Roman"/>
          <w:color w:val="000000"/>
          <w:sz w:val="24"/>
          <w:lang w:val="sq-AL"/>
        </w:rPr>
        <w:t xml:space="preserve">duhet </w:t>
      </w:r>
      <w:r w:rsidRPr="00A6284F">
        <w:rPr>
          <w:rFonts w:eastAsia="Times New Roman"/>
          <w:color w:val="000000"/>
          <w:sz w:val="24"/>
          <w:lang w:val="sq-AL"/>
        </w:rPr>
        <w:t>të vë në veprim platformën e monitorimit dhe verifikimit për kursimin e energjisë.</w:t>
      </w:r>
    </w:p>
    <w:p w:rsidR="000A4761" w:rsidRPr="00A6284F" w:rsidRDefault="000A4761" w:rsidP="000A476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Ka pasur progres në </w:t>
      </w:r>
      <w:r w:rsidRPr="00A6284F">
        <w:rPr>
          <w:rFonts w:eastAsia="Times New Roman"/>
          <w:b/>
          <w:color w:val="000000"/>
          <w:sz w:val="24"/>
          <w:lang w:val="sq-AL"/>
        </w:rPr>
        <w:t>sigurinë nukleare dhe mbrojtjen nga rrezatimi,</w:t>
      </w:r>
      <w:r w:rsidRPr="00A6284F">
        <w:rPr>
          <w:rFonts w:eastAsia="Times New Roman"/>
          <w:color w:val="000000"/>
          <w:sz w:val="24"/>
          <w:lang w:val="sq-AL"/>
        </w:rPr>
        <w:t xml:space="preserve"> sidomos me miratimin e Ligjit të ri për mbrojtjen nga rrezatimi dhe sigurinë nukleare. Megjithatë, </w:t>
      </w:r>
      <w:r w:rsidR="000E1D08" w:rsidRPr="00A6284F">
        <w:rPr>
          <w:rFonts w:eastAsia="Times New Roman"/>
          <w:color w:val="000000"/>
          <w:sz w:val="24"/>
          <w:lang w:val="sq-AL"/>
        </w:rPr>
        <w:t xml:space="preserve">duhen bërë </w:t>
      </w:r>
      <w:r w:rsidRPr="00A6284F">
        <w:rPr>
          <w:rFonts w:eastAsia="Times New Roman"/>
          <w:color w:val="000000"/>
          <w:sz w:val="24"/>
          <w:lang w:val="sq-AL"/>
        </w:rPr>
        <w:t xml:space="preserve">përpjekje të mëtejshme për </w:t>
      </w:r>
      <w:r w:rsidR="000E1D08" w:rsidRPr="00A6284F">
        <w:rPr>
          <w:rFonts w:eastAsia="Times New Roman"/>
          <w:color w:val="000000"/>
          <w:sz w:val="24"/>
          <w:lang w:val="sq-AL"/>
        </w:rPr>
        <w:t xml:space="preserve">përafrimin e </w:t>
      </w:r>
      <w:r w:rsidRPr="00A6284F">
        <w:rPr>
          <w:rFonts w:eastAsia="Times New Roman"/>
          <w:color w:val="000000"/>
          <w:sz w:val="24"/>
          <w:lang w:val="sq-AL"/>
        </w:rPr>
        <w:t xml:space="preserve">plotë </w:t>
      </w:r>
      <w:r w:rsidR="000E1D08" w:rsidRPr="00A6284F">
        <w:rPr>
          <w:rFonts w:eastAsia="Times New Roman"/>
          <w:color w:val="000000"/>
          <w:sz w:val="24"/>
          <w:lang w:val="sq-AL"/>
        </w:rPr>
        <w:t xml:space="preserve">të </w:t>
      </w:r>
      <w:r w:rsidRPr="00A6284F">
        <w:rPr>
          <w:rFonts w:eastAsia="Times New Roman"/>
          <w:color w:val="000000"/>
          <w:sz w:val="24"/>
          <w:lang w:val="sq-AL"/>
        </w:rPr>
        <w:t>kornizë</w:t>
      </w:r>
      <w:r w:rsidR="000E1D08" w:rsidRPr="00A6284F">
        <w:rPr>
          <w:rFonts w:eastAsia="Times New Roman"/>
          <w:color w:val="000000"/>
          <w:sz w:val="24"/>
          <w:lang w:val="sq-AL"/>
        </w:rPr>
        <w:t>s</w:t>
      </w:r>
      <w:r w:rsidRPr="00A6284F">
        <w:rPr>
          <w:rFonts w:eastAsia="Times New Roman"/>
          <w:color w:val="000000"/>
          <w:sz w:val="24"/>
          <w:lang w:val="sq-AL"/>
        </w:rPr>
        <w:t xml:space="preserve"> ligjore dhe </w:t>
      </w:r>
      <w:proofErr w:type="spellStart"/>
      <w:r w:rsidRPr="00A6284F">
        <w:rPr>
          <w:rFonts w:eastAsia="Times New Roman"/>
          <w:color w:val="000000"/>
          <w:sz w:val="24"/>
          <w:lang w:val="sq-AL"/>
        </w:rPr>
        <w:t>rregullative</w:t>
      </w:r>
      <w:proofErr w:type="spellEnd"/>
      <w:r w:rsidRPr="00A6284F">
        <w:rPr>
          <w:rFonts w:eastAsia="Times New Roman"/>
          <w:color w:val="000000"/>
          <w:sz w:val="24"/>
          <w:lang w:val="sq-AL"/>
        </w:rPr>
        <w:t>. Kapaciteti licenc</w:t>
      </w:r>
      <w:r w:rsidR="00C01C38" w:rsidRPr="00A6284F">
        <w:rPr>
          <w:rFonts w:eastAsia="Times New Roman"/>
          <w:color w:val="000000"/>
          <w:sz w:val="24"/>
          <w:lang w:val="sq-AL"/>
        </w:rPr>
        <w:t xml:space="preserve">ues </w:t>
      </w:r>
      <w:r w:rsidRPr="00A6284F">
        <w:rPr>
          <w:rFonts w:eastAsia="Times New Roman"/>
          <w:color w:val="000000"/>
          <w:sz w:val="24"/>
          <w:lang w:val="sq-AL"/>
        </w:rPr>
        <w:t>dhe inspekt</w:t>
      </w:r>
      <w:r w:rsidR="00C01C38" w:rsidRPr="00A6284F">
        <w:rPr>
          <w:rFonts w:eastAsia="Times New Roman"/>
          <w:color w:val="000000"/>
          <w:sz w:val="24"/>
          <w:lang w:val="sq-AL"/>
        </w:rPr>
        <w:t xml:space="preserve">ues i </w:t>
      </w:r>
      <w:r w:rsidRPr="00A6284F">
        <w:rPr>
          <w:rFonts w:eastAsia="Times New Roman"/>
          <w:color w:val="000000"/>
          <w:sz w:val="24"/>
          <w:lang w:val="sq-AL"/>
        </w:rPr>
        <w:t xml:space="preserve">Agjencisë për Mbrojtje nga Rrezatimi dhe Siguria Bërthamore mbetet i dobët dhe financimi i tij nuk është i mjaftueshëm për zbatimin e mandatit të tij. Nuk janë vërejtur zhvillime në monitorimin e rrezatimit (p.sh. uraniumit të varfëruar) dhe nuk ka kontrollim të mbeturinave radioaktive, e as plan emergjent radiologjik. Ende mbetet të gjendet zgjidhja për depozitimin e përhershëm të mbeturinave radioaktive. Sa i përket bashkëpunimit ndërkombëtar në këtë fushë, Kosova nënshkroi memorandume mirëkuptimi me Shtetet e Bashkuara, Shqipërinë dhe Maqedoninë e Veriut. </w:t>
      </w:r>
      <w:r w:rsidR="00C01C38" w:rsidRPr="00A6284F">
        <w:rPr>
          <w:rFonts w:eastAsia="Times New Roman"/>
          <w:color w:val="000000"/>
          <w:sz w:val="24"/>
          <w:lang w:val="sq-AL"/>
        </w:rPr>
        <w:t>Ajo n</w:t>
      </w:r>
      <w:r w:rsidRPr="00A6284F">
        <w:rPr>
          <w:rFonts w:eastAsia="Times New Roman"/>
          <w:color w:val="000000"/>
          <w:sz w:val="24"/>
          <w:lang w:val="sq-AL"/>
        </w:rPr>
        <w:t>uk është palë e</w:t>
      </w:r>
      <w:r w:rsidR="00C01C38" w:rsidRPr="00A6284F">
        <w:rPr>
          <w:rFonts w:eastAsia="Times New Roman"/>
          <w:color w:val="000000"/>
          <w:sz w:val="24"/>
          <w:lang w:val="sq-AL"/>
        </w:rPr>
        <w:t xml:space="preserve"> Konventës për Siguri Nukleare apo</w:t>
      </w:r>
      <w:r w:rsidRPr="00A6284F">
        <w:rPr>
          <w:rFonts w:eastAsia="Times New Roman"/>
          <w:color w:val="000000"/>
          <w:sz w:val="24"/>
          <w:lang w:val="sq-AL"/>
        </w:rPr>
        <w:t xml:space="preserve"> Konventës së Përbashkët për Sigurinë e Menaxhimit të Karburanteve të Shpenzuara dhe për Sigurinë e Menaxhimit të Mbeturinave Radioaktive.</w:t>
      </w:r>
    </w:p>
    <w:p w:rsidR="000A4761" w:rsidRPr="00A6284F" w:rsidRDefault="000A4761" w:rsidP="000A4761">
      <w:pPr>
        <w:spacing w:before="130" w:after="110" w:line="274" w:lineRule="exact"/>
        <w:ind w:left="144"/>
        <w:textAlignment w:val="baseline"/>
        <w:rPr>
          <w:rFonts w:eastAsia="Times New Roman"/>
          <w:b/>
          <w:color w:val="000000"/>
          <w:spacing w:val="7"/>
          <w:sz w:val="24"/>
          <w:lang w:val="sq-AL"/>
        </w:rPr>
      </w:pPr>
      <w:r w:rsidRPr="00A6284F">
        <w:rPr>
          <w:rFonts w:eastAsia="Times New Roman"/>
          <w:b/>
          <w:color w:val="000000"/>
          <w:spacing w:val="7"/>
          <w:sz w:val="24"/>
          <w:lang w:val="sq-AL"/>
        </w:rPr>
        <w:t>6.23 Rrjetet Trans-Evropiane</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0A4761" w:rsidRPr="00A6284F" w:rsidTr="000A4761">
        <w:trPr>
          <w:trHeight w:hRule="exact" w:val="3355"/>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0A4761" w:rsidRPr="00A6284F" w:rsidRDefault="000A4761" w:rsidP="000A4761">
            <w:pPr>
              <w:spacing w:before="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Në fushën e rrjeteve trans-evropiane</w:t>
            </w:r>
            <w:r w:rsidR="00270C15" w:rsidRPr="00A6284F">
              <w:rPr>
                <w:rFonts w:eastAsia="Times New Roman"/>
                <w:color w:val="000000"/>
                <w:sz w:val="24"/>
                <w:lang w:val="sq-AL"/>
              </w:rPr>
              <w:t xml:space="preserve"> (</w:t>
            </w:r>
            <w:proofErr w:type="spellStart"/>
            <w:r w:rsidR="00270C15" w:rsidRPr="00A6284F">
              <w:rPr>
                <w:rFonts w:eastAsia="Times New Roman"/>
                <w:color w:val="000000"/>
                <w:sz w:val="24"/>
                <w:lang w:val="sq-AL"/>
              </w:rPr>
              <w:t>TENs</w:t>
            </w:r>
            <w:proofErr w:type="spellEnd"/>
            <w:r w:rsidR="00270C15" w:rsidRPr="00A6284F">
              <w:rPr>
                <w:rFonts w:eastAsia="Times New Roman"/>
                <w:color w:val="000000"/>
                <w:sz w:val="24"/>
                <w:lang w:val="sq-AL"/>
              </w:rPr>
              <w:t>)</w:t>
            </w:r>
            <w:r w:rsidRPr="00A6284F">
              <w:rPr>
                <w:rFonts w:eastAsia="Times New Roman"/>
                <w:color w:val="000000"/>
                <w:sz w:val="24"/>
                <w:lang w:val="sq-AL"/>
              </w:rPr>
              <w:t xml:space="preserve">, Kosova ka </w:t>
            </w:r>
            <w:r w:rsidRPr="00A6284F">
              <w:rPr>
                <w:rFonts w:eastAsia="Times New Roman"/>
                <w:b/>
                <w:color w:val="000000"/>
                <w:sz w:val="24"/>
                <w:lang w:val="sq-AL"/>
              </w:rPr>
              <w:t xml:space="preserve">një nivel </w:t>
            </w:r>
            <w:r w:rsidR="00270C15" w:rsidRPr="00A6284F">
              <w:rPr>
                <w:rFonts w:eastAsia="Times New Roman"/>
                <w:b/>
                <w:color w:val="000000"/>
                <w:sz w:val="24"/>
                <w:lang w:val="sq-AL"/>
              </w:rPr>
              <w:t xml:space="preserve">të </w:t>
            </w:r>
            <w:r w:rsidRPr="00A6284F">
              <w:rPr>
                <w:rFonts w:eastAsia="Times New Roman"/>
                <w:b/>
                <w:color w:val="000000"/>
                <w:sz w:val="24"/>
                <w:lang w:val="sq-AL"/>
              </w:rPr>
              <w:t>përgatitje</w:t>
            </w:r>
            <w:r w:rsidR="00270C15" w:rsidRPr="00A6284F">
              <w:rPr>
                <w:rFonts w:eastAsia="Times New Roman"/>
                <w:b/>
                <w:color w:val="000000"/>
                <w:sz w:val="24"/>
                <w:lang w:val="sq-AL"/>
              </w:rPr>
              <w:t>s</w:t>
            </w:r>
            <w:r w:rsidRPr="00A6284F">
              <w:rPr>
                <w:rFonts w:eastAsia="Times New Roman"/>
                <w:color w:val="000000"/>
                <w:sz w:val="24"/>
                <w:lang w:val="sq-AL"/>
              </w:rPr>
              <w:t xml:space="preserve"> dhe </w:t>
            </w:r>
            <w:r w:rsidR="00270C15" w:rsidRPr="00A6284F">
              <w:rPr>
                <w:rFonts w:eastAsia="Times New Roman"/>
                <w:color w:val="000000"/>
                <w:sz w:val="24"/>
                <w:lang w:val="sq-AL"/>
              </w:rPr>
              <w:t xml:space="preserve">është </w:t>
            </w:r>
            <w:r w:rsidR="00270C15" w:rsidRPr="00A6284F">
              <w:rPr>
                <w:rFonts w:eastAsia="Times New Roman"/>
                <w:color w:val="000000"/>
                <w:sz w:val="24"/>
                <w:lang w:val="sq-AL"/>
              </w:rPr>
              <w:t>arritur</w:t>
            </w:r>
            <w:r w:rsidR="00270C15" w:rsidRPr="00A6284F">
              <w:rPr>
                <w:rFonts w:eastAsia="Times New Roman"/>
                <w:b/>
                <w:color w:val="000000"/>
                <w:sz w:val="24"/>
                <w:lang w:val="sq-AL"/>
              </w:rPr>
              <w:t xml:space="preserve"> </w:t>
            </w:r>
            <w:r w:rsidRPr="00A6284F">
              <w:rPr>
                <w:rFonts w:eastAsia="Times New Roman"/>
                <w:b/>
                <w:color w:val="000000"/>
                <w:sz w:val="24"/>
                <w:lang w:val="sq-AL"/>
              </w:rPr>
              <w:t>pak progres</w:t>
            </w:r>
            <w:r w:rsidRPr="00A6284F">
              <w:rPr>
                <w:rFonts w:eastAsia="Times New Roman"/>
                <w:color w:val="000000"/>
                <w:sz w:val="24"/>
                <w:lang w:val="sq-AL"/>
              </w:rPr>
              <w:t>, sidomos me ratifikimin e Traktatit të Komunitetit të Transportit. Më shumë duhet të bëhet në energji dhe telekomunikacion.</w:t>
            </w:r>
          </w:p>
          <w:p w:rsidR="000A4761" w:rsidRPr="00A6284F" w:rsidRDefault="000A4761" w:rsidP="000A4761">
            <w:pPr>
              <w:spacing w:before="117" w:line="276" w:lineRule="exact"/>
              <w:ind w:left="144"/>
              <w:textAlignment w:val="baseline"/>
              <w:rPr>
                <w:rFonts w:eastAsia="Times New Roman"/>
                <w:color w:val="000000"/>
                <w:sz w:val="24"/>
                <w:lang w:val="sq-AL"/>
              </w:rPr>
            </w:pPr>
            <w:r w:rsidRPr="00A6284F">
              <w:rPr>
                <w:rFonts w:eastAsia="Times New Roman"/>
                <w:color w:val="000000"/>
                <w:sz w:val="24"/>
                <w:lang w:val="sq-AL"/>
              </w:rPr>
              <w:t>Në vitin vijues, Kosova duhet posaçërisht:</w:t>
            </w:r>
          </w:p>
          <w:p w:rsidR="000A4761" w:rsidRPr="00A6284F" w:rsidRDefault="000A4761" w:rsidP="000A4761">
            <w:pPr>
              <w:spacing w:before="139"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00270C15" w:rsidRPr="00A6284F">
              <w:rPr>
                <w:rFonts w:ascii="Arial Narrow" w:eastAsia="Arial Narrow" w:hAnsi="Arial Narrow"/>
                <w:color w:val="000000"/>
                <w:lang w:val="sq-AL"/>
              </w:rPr>
              <w:t>t</w:t>
            </w:r>
            <w:r w:rsidRPr="00A6284F">
              <w:rPr>
                <w:rFonts w:eastAsia="Times New Roman"/>
                <w:color w:val="000000"/>
                <w:sz w:val="24"/>
                <w:lang w:val="sq-AL"/>
              </w:rPr>
              <w:t xml:space="preserve">ë vazhdojë me harmonizimin e kornizës ligjore me </w:t>
            </w:r>
            <w:r w:rsidR="00270C15" w:rsidRPr="00A6284F">
              <w:rPr>
                <w:rFonts w:eastAsia="Times New Roman"/>
                <w:color w:val="000000"/>
                <w:sz w:val="24"/>
                <w:lang w:val="sq-AL"/>
              </w:rPr>
              <w:t>a</w:t>
            </w:r>
            <w:r w:rsidRPr="00A6284F">
              <w:rPr>
                <w:rFonts w:eastAsia="Times New Roman"/>
                <w:color w:val="000000"/>
                <w:sz w:val="24"/>
                <w:lang w:val="sq-AL"/>
              </w:rPr>
              <w:t xml:space="preserve">cquis </w:t>
            </w:r>
            <w:r w:rsidR="00270C15" w:rsidRPr="00A6284F">
              <w:rPr>
                <w:rFonts w:eastAsia="Times New Roman"/>
                <w:color w:val="000000"/>
                <w:sz w:val="24"/>
                <w:lang w:val="sq-AL"/>
              </w:rPr>
              <w:t>(</w:t>
            </w:r>
            <w:r w:rsidRPr="00A6284F">
              <w:rPr>
                <w:rFonts w:eastAsia="Times New Roman"/>
                <w:color w:val="000000"/>
                <w:sz w:val="24"/>
                <w:lang w:val="sq-AL"/>
              </w:rPr>
              <w:t>TEN-T dhe TEN-E</w:t>
            </w:r>
            <w:r w:rsidR="00270C15" w:rsidRPr="00A6284F">
              <w:rPr>
                <w:rFonts w:eastAsia="Times New Roman"/>
                <w:color w:val="000000"/>
                <w:sz w:val="24"/>
                <w:lang w:val="sq-AL"/>
              </w:rPr>
              <w:t>)</w:t>
            </w:r>
            <w:r w:rsidRPr="00A6284F">
              <w:rPr>
                <w:rFonts w:eastAsia="Times New Roman"/>
                <w:color w:val="000000"/>
                <w:sz w:val="24"/>
                <w:lang w:val="sq-AL"/>
              </w:rPr>
              <w:t xml:space="preserve"> si dhe me implementimin e masave të reformimit të </w:t>
            </w:r>
            <w:proofErr w:type="spellStart"/>
            <w:r w:rsidR="00270C15" w:rsidRPr="00A6284F">
              <w:rPr>
                <w:rFonts w:eastAsia="Times New Roman"/>
                <w:color w:val="000000"/>
                <w:sz w:val="24"/>
                <w:lang w:val="sq-AL"/>
              </w:rPr>
              <w:t>konektivitetit</w:t>
            </w:r>
            <w:proofErr w:type="spellEnd"/>
            <w:r w:rsidRPr="00A6284F">
              <w:rPr>
                <w:rFonts w:eastAsia="Times New Roman"/>
                <w:color w:val="000000"/>
                <w:sz w:val="24"/>
                <w:lang w:val="sq-AL"/>
              </w:rPr>
              <w:t>;</w:t>
            </w:r>
          </w:p>
          <w:p w:rsidR="000A4761" w:rsidRPr="00A6284F" w:rsidRDefault="000A4761" w:rsidP="000A4761">
            <w:pPr>
              <w:spacing w:before="13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përforcojë kornizën institucionale dhe kapacitetet administrative për </w:t>
            </w:r>
            <w:r w:rsidR="00270C15" w:rsidRPr="00A6284F">
              <w:rPr>
                <w:rFonts w:eastAsia="Times New Roman"/>
                <w:color w:val="000000"/>
                <w:sz w:val="24"/>
                <w:lang w:val="sq-AL"/>
              </w:rPr>
              <w:t>implementimin e TEN</w:t>
            </w:r>
            <w:r w:rsidRPr="00A6284F">
              <w:rPr>
                <w:rFonts w:eastAsia="Times New Roman"/>
                <w:color w:val="000000"/>
                <w:sz w:val="24"/>
                <w:lang w:val="sq-AL"/>
              </w:rPr>
              <w:t>, përfshirë</w:t>
            </w:r>
            <w:r w:rsidR="00270C15" w:rsidRPr="00A6284F">
              <w:rPr>
                <w:rFonts w:eastAsia="Times New Roman"/>
                <w:color w:val="000000"/>
                <w:sz w:val="24"/>
                <w:lang w:val="sq-AL"/>
              </w:rPr>
              <w:t xml:space="preserve"> </w:t>
            </w:r>
            <w:r w:rsidRPr="00A6284F">
              <w:rPr>
                <w:rFonts w:eastAsia="Times New Roman"/>
                <w:color w:val="000000"/>
                <w:sz w:val="24"/>
                <w:lang w:val="sq-AL"/>
              </w:rPr>
              <w:t>Traktatin e Komunitetit të Transportit;</w:t>
            </w:r>
          </w:p>
          <w:p w:rsidR="000A4761" w:rsidRPr="00A6284F" w:rsidRDefault="000A4761" w:rsidP="000A4761">
            <w:pPr>
              <w:spacing w:before="139" w:after="14"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lang w:val="sq-AL"/>
              </w:rPr>
              <w:sym w:font="Symbol" w:char="F020"/>
            </w:r>
            <w:r w:rsidRPr="00A6284F">
              <w:rPr>
                <w:rFonts w:eastAsia="Times New Roman"/>
                <w:color w:val="000000"/>
                <w:sz w:val="24"/>
                <w:lang w:val="sq-AL"/>
              </w:rPr>
              <w:t xml:space="preserve">të përforcojë kapacitetin e Autoritetit </w:t>
            </w:r>
            <w:proofErr w:type="spellStart"/>
            <w:r w:rsidRPr="00A6284F">
              <w:rPr>
                <w:rFonts w:eastAsia="Times New Roman"/>
                <w:color w:val="000000"/>
                <w:sz w:val="24"/>
                <w:lang w:val="sq-AL"/>
              </w:rPr>
              <w:t>Rregullativ</w:t>
            </w:r>
            <w:proofErr w:type="spellEnd"/>
            <w:r w:rsidRPr="00A6284F">
              <w:rPr>
                <w:rFonts w:eastAsia="Times New Roman"/>
                <w:color w:val="000000"/>
                <w:sz w:val="24"/>
                <w:lang w:val="sq-AL"/>
              </w:rPr>
              <w:t xml:space="preserve"> për Komunikime Elektronike dhe Postare për të zbatuar rregulloret e tregut të telekomunikacionit.</w:t>
            </w:r>
          </w:p>
        </w:tc>
      </w:tr>
    </w:tbl>
    <w:p w:rsidR="000A4761" w:rsidRPr="00A6284F" w:rsidRDefault="000A4761" w:rsidP="000A4761">
      <w:pPr>
        <w:spacing w:after="97" w:line="20" w:lineRule="exact"/>
        <w:rPr>
          <w:lang w:val="sq-AL"/>
        </w:rPr>
      </w:pPr>
    </w:p>
    <w:p w:rsidR="000A4761" w:rsidRPr="00A6284F" w:rsidRDefault="000A4761" w:rsidP="000A4761">
      <w:pPr>
        <w:spacing w:before="3"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rrjetet e transportit</w:t>
      </w:r>
      <w:r w:rsidRPr="00A6284F">
        <w:rPr>
          <w:rFonts w:eastAsia="Times New Roman"/>
          <w:color w:val="000000"/>
          <w:sz w:val="24"/>
          <w:lang w:val="sq-AL"/>
        </w:rPr>
        <w:t xml:space="preserve">, korniza strategjike për zhvillimin e rrjetit trans-evropian të transportit </w:t>
      </w:r>
      <w:r w:rsidR="007E77DD" w:rsidRPr="00A6284F">
        <w:rPr>
          <w:rFonts w:eastAsia="Times New Roman"/>
          <w:color w:val="000000"/>
          <w:sz w:val="24"/>
          <w:lang w:val="sq-AL"/>
        </w:rPr>
        <w:t xml:space="preserve">(TEN-T) </w:t>
      </w:r>
      <w:r w:rsidRPr="00A6284F">
        <w:rPr>
          <w:rFonts w:eastAsia="Times New Roman"/>
          <w:color w:val="000000"/>
          <w:sz w:val="24"/>
          <w:lang w:val="sq-AL"/>
        </w:rPr>
        <w:t xml:space="preserve">mbulohet me strategjinë sektoriale dhe </w:t>
      </w:r>
      <w:r w:rsidR="007E77DD" w:rsidRPr="00A6284F">
        <w:rPr>
          <w:rFonts w:eastAsia="Times New Roman"/>
          <w:color w:val="000000"/>
          <w:sz w:val="24"/>
          <w:lang w:val="sq-AL"/>
        </w:rPr>
        <w:t>shumë-</w:t>
      </w:r>
      <w:r w:rsidRPr="00A6284F">
        <w:rPr>
          <w:rFonts w:eastAsia="Times New Roman"/>
          <w:color w:val="000000"/>
          <w:sz w:val="24"/>
          <w:lang w:val="sq-AL"/>
        </w:rPr>
        <w:t>modale të transportit (STMTS) 2015- 2025, bashkë me planin pesëvjeçar të veprimit. Kuvendi i Kosovës ratifikoi Traktatin e Komunitetit të Transportit në tetor të vitit 2018.</w:t>
      </w:r>
    </w:p>
    <w:p w:rsidR="007E77DD" w:rsidRPr="00A6284F" w:rsidRDefault="007E77DD" w:rsidP="000A4761">
      <w:pPr>
        <w:spacing w:before="20" w:line="276" w:lineRule="exact"/>
        <w:ind w:left="144" w:right="144"/>
        <w:jc w:val="both"/>
        <w:textAlignment w:val="baseline"/>
        <w:rPr>
          <w:rFonts w:eastAsia="Times New Roman"/>
          <w:color w:val="000000"/>
          <w:spacing w:val="3"/>
          <w:sz w:val="24"/>
          <w:lang w:val="sq-AL"/>
        </w:rPr>
      </w:pPr>
    </w:p>
    <w:p w:rsidR="000A4761" w:rsidRPr="00A6284F" w:rsidRDefault="000A4761" w:rsidP="000A476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pacing w:val="3"/>
          <w:sz w:val="24"/>
          <w:lang w:val="sq-AL"/>
        </w:rPr>
        <w:t>Ashtu si në periudhën e mëparshme, kapaciteti institucional për zbat</w:t>
      </w:r>
      <w:r w:rsidR="007E77DD" w:rsidRPr="00A6284F">
        <w:rPr>
          <w:rFonts w:eastAsia="Times New Roman"/>
          <w:color w:val="000000"/>
          <w:spacing w:val="3"/>
          <w:sz w:val="24"/>
          <w:lang w:val="sq-AL"/>
        </w:rPr>
        <w:t xml:space="preserve">imin e </w:t>
      </w:r>
      <w:r w:rsidRPr="00A6284F">
        <w:rPr>
          <w:rFonts w:eastAsia="Times New Roman"/>
          <w:color w:val="000000"/>
          <w:spacing w:val="3"/>
          <w:sz w:val="24"/>
          <w:lang w:val="sq-AL"/>
        </w:rPr>
        <w:t>projekte</w:t>
      </w:r>
      <w:r w:rsidR="007E77DD" w:rsidRPr="00A6284F">
        <w:rPr>
          <w:rFonts w:eastAsia="Times New Roman"/>
          <w:color w:val="000000"/>
          <w:spacing w:val="3"/>
          <w:sz w:val="24"/>
          <w:lang w:val="sq-AL"/>
        </w:rPr>
        <w:t>ve</w:t>
      </w:r>
      <w:r w:rsidRPr="00A6284F">
        <w:rPr>
          <w:rFonts w:eastAsia="Times New Roman"/>
          <w:color w:val="000000"/>
          <w:spacing w:val="3"/>
          <w:sz w:val="24"/>
          <w:lang w:val="sq-AL"/>
        </w:rPr>
        <w:t xml:space="preserve"> strategjike duhet të forcohet në nivel </w:t>
      </w:r>
      <w:r w:rsidR="007E77DD" w:rsidRPr="00A6284F">
        <w:rPr>
          <w:rFonts w:eastAsia="Times New Roman"/>
          <w:color w:val="000000"/>
          <w:spacing w:val="3"/>
          <w:sz w:val="24"/>
          <w:lang w:val="sq-AL"/>
        </w:rPr>
        <w:t xml:space="preserve">të pushtetit </w:t>
      </w:r>
      <w:r w:rsidRPr="00A6284F">
        <w:rPr>
          <w:rFonts w:eastAsia="Times New Roman"/>
          <w:color w:val="000000"/>
          <w:spacing w:val="3"/>
          <w:sz w:val="24"/>
          <w:lang w:val="sq-AL"/>
        </w:rPr>
        <w:t>qendror dhe lokal</w:t>
      </w:r>
      <w:r w:rsidR="007E77DD" w:rsidRPr="00A6284F">
        <w:rPr>
          <w:rFonts w:eastAsia="Times New Roman"/>
          <w:color w:val="000000"/>
          <w:spacing w:val="3"/>
          <w:sz w:val="24"/>
          <w:lang w:val="sq-AL"/>
        </w:rPr>
        <w:t xml:space="preserve"> sa i përket </w:t>
      </w:r>
      <w:r w:rsidRPr="00A6284F">
        <w:rPr>
          <w:rFonts w:eastAsia="Times New Roman"/>
          <w:color w:val="000000"/>
          <w:spacing w:val="3"/>
          <w:sz w:val="24"/>
          <w:lang w:val="sq-AL"/>
        </w:rPr>
        <w:t>prokurimi</w:t>
      </w:r>
      <w:r w:rsidR="007E77DD" w:rsidRPr="00A6284F">
        <w:rPr>
          <w:rFonts w:eastAsia="Times New Roman"/>
          <w:color w:val="000000"/>
          <w:spacing w:val="3"/>
          <w:sz w:val="24"/>
          <w:lang w:val="sq-AL"/>
        </w:rPr>
        <w:t>t</w:t>
      </w:r>
      <w:r w:rsidRPr="00A6284F">
        <w:rPr>
          <w:rFonts w:eastAsia="Times New Roman"/>
          <w:color w:val="000000"/>
          <w:spacing w:val="3"/>
          <w:sz w:val="24"/>
          <w:lang w:val="sq-AL"/>
        </w:rPr>
        <w:t xml:space="preserve"> publik, planifikimi</w:t>
      </w:r>
      <w:r w:rsidR="007E77DD" w:rsidRPr="00A6284F">
        <w:rPr>
          <w:rFonts w:eastAsia="Times New Roman"/>
          <w:color w:val="000000"/>
          <w:spacing w:val="3"/>
          <w:sz w:val="24"/>
          <w:lang w:val="sq-AL"/>
        </w:rPr>
        <w:t>t</w:t>
      </w:r>
      <w:r w:rsidRPr="00A6284F">
        <w:rPr>
          <w:rFonts w:eastAsia="Times New Roman"/>
          <w:color w:val="000000"/>
          <w:spacing w:val="3"/>
          <w:sz w:val="24"/>
          <w:lang w:val="sq-AL"/>
        </w:rPr>
        <w:t xml:space="preserve"> </w:t>
      </w:r>
      <w:r w:rsidR="007E77DD" w:rsidRPr="00A6284F">
        <w:rPr>
          <w:rFonts w:eastAsia="Times New Roman"/>
          <w:color w:val="000000"/>
          <w:spacing w:val="3"/>
          <w:sz w:val="24"/>
          <w:lang w:val="sq-AL"/>
        </w:rPr>
        <w:t xml:space="preserve">të </w:t>
      </w:r>
      <w:r w:rsidRPr="00A6284F">
        <w:rPr>
          <w:rFonts w:eastAsia="Times New Roman"/>
          <w:color w:val="000000"/>
          <w:spacing w:val="3"/>
          <w:sz w:val="24"/>
          <w:lang w:val="sq-AL"/>
        </w:rPr>
        <w:t>projekteve të investimeve, përgatitje</w:t>
      </w:r>
      <w:r w:rsidR="007E77DD" w:rsidRPr="00A6284F">
        <w:rPr>
          <w:rFonts w:eastAsia="Times New Roman"/>
          <w:color w:val="000000"/>
          <w:spacing w:val="3"/>
          <w:sz w:val="24"/>
          <w:lang w:val="sq-AL"/>
        </w:rPr>
        <w:t>s</w:t>
      </w:r>
      <w:r w:rsidRPr="00A6284F">
        <w:rPr>
          <w:rFonts w:eastAsia="Times New Roman"/>
          <w:color w:val="000000"/>
          <w:spacing w:val="3"/>
          <w:sz w:val="24"/>
          <w:lang w:val="sq-AL"/>
        </w:rPr>
        <w:t xml:space="preserve"> dhe menaxhimi</w:t>
      </w:r>
      <w:r w:rsidR="007E77DD" w:rsidRPr="00A6284F">
        <w:rPr>
          <w:rFonts w:eastAsia="Times New Roman"/>
          <w:color w:val="000000"/>
          <w:spacing w:val="3"/>
          <w:sz w:val="24"/>
          <w:lang w:val="sq-AL"/>
        </w:rPr>
        <w:t>t</w:t>
      </w:r>
      <w:r w:rsidRPr="00A6284F">
        <w:rPr>
          <w:rFonts w:eastAsia="Times New Roman"/>
          <w:color w:val="000000"/>
          <w:sz w:val="24"/>
          <w:lang w:val="sq-AL"/>
        </w:rPr>
        <w:t>. Projektet prioritare në rrjetet themelore dhe gjithëpërfshirëse ende mbeten të kryhen. Investimet e ardhshme në infrastrukturë duhet të zbatohen në përputhje me standardet e BE-së për prokurimin publik, ndihmën shtetërore dhe vlerësimin e ndikimit në mjedis. Projektet duhet të kanalizohen përmes një tubacioni të vetëm të projektit, duke konfirmuar orientimin strategjik drejt TEN-ve. Zbatimi i projektit të linjës hekurudhore 10  dhe projekti autostrada 6 është më i ngadalshëm se sa pritej. Autoritetet duhet të ndërmarrin masa të menjëhershme për të finalizuar protokollet e mbetura të kalimit kufitar hekurudhor me Maqedoninë e Veriut. Gjithashtu, kërkohet përpjekje shtesë për të siguruar hapjen e tregut hekurudhor me zgjatjen treguese të korridorit Orient/Lindja-Mesdhetare. Ndonëse ka pasur progres në miratimin e planeve të mirëmbajtjes për të gjithë rrjetin themelor (rrugor dhe hekurudhor), Kosova ende mbetet prapa në këtë drejtim dhe nevojiten përpjekje të mëtejshme.</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rrjetet e energjisë,</w:t>
      </w:r>
      <w:r w:rsidR="007E77DD" w:rsidRPr="00A6284F">
        <w:rPr>
          <w:rFonts w:eastAsia="Times New Roman"/>
          <w:b/>
          <w:color w:val="000000"/>
          <w:sz w:val="24"/>
          <w:lang w:val="sq-AL"/>
        </w:rPr>
        <w:t xml:space="preserve"> </w:t>
      </w:r>
      <w:r w:rsidRPr="00A6284F">
        <w:rPr>
          <w:rFonts w:eastAsia="Times New Roman"/>
          <w:color w:val="000000"/>
          <w:sz w:val="24"/>
          <w:lang w:val="sq-AL"/>
        </w:rPr>
        <w:t xml:space="preserve">nuk ka progres në linjën e transmisionit 400 </w:t>
      </w:r>
      <w:proofErr w:type="spellStart"/>
      <w:r w:rsidRPr="00A6284F">
        <w:rPr>
          <w:rFonts w:eastAsia="Times New Roman"/>
          <w:color w:val="000000"/>
          <w:sz w:val="24"/>
          <w:lang w:val="sq-AL"/>
        </w:rPr>
        <w:t>kV</w:t>
      </w:r>
      <w:proofErr w:type="spellEnd"/>
      <w:r w:rsidRPr="00A6284F">
        <w:rPr>
          <w:rFonts w:eastAsia="Times New Roman"/>
          <w:color w:val="000000"/>
          <w:sz w:val="24"/>
          <w:lang w:val="sq-AL"/>
        </w:rPr>
        <w:t xml:space="preserve"> dhe kontrolli i frekuencës së ngarkesës me Shqipërinë nuk janë funksionale, për shkak të moszbatimit të marrëveshjes së lidhjes mes Rrjetit Evropian të Operatorëve të Sistemit të Transmisionit për </w:t>
      </w:r>
      <w:r w:rsidRPr="00A6284F">
        <w:rPr>
          <w:rFonts w:eastAsia="Times New Roman"/>
          <w:color w:val="000000"/>
          <w:sz w:val="24"/>
          <w:lang w:val="sq-AL"/>
        </w:rPr>
        <w:lastRenderedPageBreak/>
        <w:t>Energji Elektrike dhe Operatorit të Sistemit të Transmisionit të Kosovës. Një studim para-</w:t>
      </w:r>
      <w:proofErr w:type="spellStart"/>
      <w:r w:rsidRPr="00A6284F">
        <w:rPr>
          <w:rFonts w:eastAsia="Times New Roman"/>
          <w:color w:val="000000"/>
          <w:sz w:val="24"/>
          <w:lang w:val="sq-AL"/>
        </w:rPr>
        <w:t>fizibiliteti</w:t>
      </w:r>
      <w:proofErr w:type="spellEnd"/>
      <w:r w:rsidRPr="00A6284F">
        <w:rPr>
          <w:rFonts w:eastAsia="Times New Roman"/>
          <w:color w:val="000000"/>
          <w:sz w:val="24"/>
          <w:lang w:val="sq-AL"/>
        </w:rPr>
        <w:t xml:space="preserve"> </w:t>
      </w:r>
      <w:r w:rsidR="00610AF4" w:rsidRPr="00A6284F">
        <w:rPr>
          <w:rFonts w:eastAsia="Times New Roman"/>
          <w:color w:val="000000"/>
          <w:sz w:val="24"/>
          <w:lang w:val="sq-AL"/>
        </w:rPr>
        <w:t xml:space="preserve">për </w:t>
      </w:r>
      <w:r w:rsidRPr="00A6284F">
        <w:rPr>
          <w:rFonts w:eastAsia="Times New Roman"/>
          <w:color w:val="000000"/>
          <w:sz w:val="24"/>
          <w:lang w:val="sq-AL"/>
        </w:rPr>
        <w:t>gazsjellës</w:t>
      </w:r>
      <w:r w:rsidR="00610AF4" w:rsidRPr="00A6284F">
        <w:rPr>
          <w:rFonts w:eastAsia="Times New Roman"/>
          <w:color w:val="000000"/>
          <w:sz w:val="24"/>
          <w:lang w:val="sq-AL"/>
        </w:rPr>
        <w:t>in</w:t>
      </w:r>
      <w:r w:rsidRPr="00A6284F">
        <w:rPr>
          <w:rFonts w:eastAsia="Times New Roman"/>
          <w:color w:val="000000"/>
          <w:sz w:val="24"/>
          <w:lang w:val="sq-AL"/>
        </w:rPr>
        <w:t xml:space="preserve"> m</w:t>
      </w:r>
      <w:r w:rsidR="00610AF4" w:rsidRPr="00A6284F">
        <w:rPr>
          <w:rFonts w:eastAsia="Times New Roman"/>
          <w:color w:val="000000"/>
          <w:sz w:val="24"/>
          <w:lang w:val="sq-AL"/>
        </w:rPr>
        <w:t>e</w:t>
      </w:r>
      <w:r w:rsidRPr="00A6284F">
        <w:rPr>
          <w:rFonts w:eastAsia="Times New Roman"/>
          <w:color w:val="000000"/>
          <w:sz w:val="24"/>
          <w:lang w:val="sq-AL"/>
        </w:rPr>
        <w:t>s Kosovës dhe Shqipërisë (</w:t>
      </w:r>
      <w:proofErr w:type="spellStart"/>
      <w:r w:rsidRPr="00A6284F">
        <w:rPr>
          <w:rFonts w:eastAsia="Times New Roman"/>
          <w:color w:val="000000"/>
          <w:sz w:val="24"/>
          <w:lang w:val="sq-AL"/>
        </w:rPr>
        <w:t>Alkogap</w:t>
      </w:r>
      <w:proofErr w:type="spellEnd"/>
      <w:r w:rsidRPr="00A6284F">
        <w:rPr>
          <w:rFonts w:eastAsia="Times New Roman"/>
          <w:color w:val="000000"/>
          <w:sz w:val="24"/>
          <w:lang w:val="sq-AL"/>
        </w:rPr>
        <w:t>) që rrjedh nga projekti TAP, u përfundua në nëntor të vitit 2018. Kostoja e investimit vlerësohet të jetë 211 milionë euro, duke përfshirë 61 milionë euro në Kosovë, por projekti varet nga ndërtimi i gazsjellësit Jon-Adriatik dhe sistemit të transmisionit të gazit në Fushë Krujë në Shqipëri.</w:t>
      </w:r>
    </w:p>
    <w:p w:rsidR="000A4761" w:rsidRPr="00A6284F" w:rsidRDefault="000A4761" w:rsidP="000A476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 xml:space="preserve">rrjetet </w:t>
      </w:r>
      <w:proofErr w:type="spellStart"/>
      <w:r w:rsidRPr="00A6284F">
        <w:rPr>
          <w:rFonts w:eastAsia="Times New Roman"/>
          <w:b/>
          <w:color w:val="000000"/>
          <w:sz w:val="24"/>
          <w:lang w:val="sq-AL"/>
        </w:rPr>
        <w:t>telekomunikuese</w:t>
      </w:r>
      <w:proofErr w:type="spellEnd"/>
      <w:r w:rsidRPr="00A6284F">
        <w:rPr>
          <w:rFonts w:eastAsia="Times New Roman"/>
          <w:color w:val="000000"/>
          <w:sz w:val="24"/>
          <w:lang w:val="sq-AL"/>
        </w:rPr>
        <w:t xml:space="preserve">, nuk është </w:t>
      </w:r>
      <w:r w:rsidR="009F5977" w:rsidRPr="00A6284F">
        <w:rPr>
          <w:rFonts w:eastAsia="Times New Roman"/>
          <w:color w:val="000000"/>
          <w:sz w:val="24"/>
          <w:lang w:val="sq-AL"/>
        </w:rPr>
        <w:t xml:space="preserve">shënuar </w:t>
      </w:r>
      <w:r w:rsidRPr="00A6284F">
        <w:rPr>
          <w:rFonts w:eastAsia="Times New Roman"/>
          <w:color w:val="000000"/>
          <w:sz w:val="24"/>
          <w:lang w:val="sq-AL"/>
        </w:rPr>
        <w:t>progres në forcimin e kapacitet</w:t>
      </w:r>
      <w:r w:rsidR="009F5977" w:rsidRPr="00A6284F">
        <w:rPr>
          <w:rFonts w:eastAsia="Times New Roman"/>
          <w:color w:val="000000"/>
          <w:sz w:val="24"/>
          <w:lang w:val="sq-AL"/>
        </w:rPr>
        <w:t>eve</w:t>
      </w:r>
      <w:r w:rsidRPr="00A6284F">
        <w:rPr>
          <w:rFonts w:eastAsia="Times New Roman"/>
          <w:color w:val="000000"/>
          <w:sz w:val="24"/>
          <w:lang w:val="sq-AL"/>
        </w:rPr>
        <w:t xml:space="preserve"> institucional</w:t>
      </w:r>
      <w:r w:rsidR="009F5977" w:rsidRPr="00A6284F">
        <w:rPr>
          <w:rFonts w:eastAsia="Times New Roman"/>
          <w:color w:val="000000"/>
          <w:sz w:val="24"/>
          <w:lang w:val="sq-AL"/>
        </w:rPr>
        <w:t>e</w:t>
      </w:r>
      <w:r w:rsidRPr="00A6284F">
        <w:rPr>
          <w:rFonts w:eastAsia="Times New Roman"/>
          <w:color w:val="000000"/>
          <w:sz w:val="24"/>
          <w:lang w:val="sq-AL"/>
        </w:rPr>
        <w:t xml:space="preserve"> të Autoritetit </w:t>
      </w:r>
      <w:proofErr w:type="spellStart"/>
      <w:r w:rsidRPr="00A6284F">
        <w:rPr>
          <w:rFonts w:eastAsia="Times New Roman"/>
          <w:color w:val="000000"/>
          <w:sz w:val="24"/>
          <w:lang w:val="sq-AL"/>
        </w:rPr>
        <w:t>Rregullativ</w:t>
      </w:r>
      <w:proofErr w:type="spellEnd"/>
      <w:r w:rsidRPr="00A6284F">
        <w:rPr>
          <w:rFonts w:eastAsia="Times New Roman"/>
          <w:color w:val="000000"/>
          <w:sz w:val="24"/>
          <w:lang w:val="sq-AL"/>
        </w:rPr>
        <w:t xml:space="preserve"> të Komunikimeve Elektronike dhe Postare </w:t>
      </w:r>
      <w:r w:rsidR="009F5977" w:rsidRPr="00A6284F">
        <w:rPr>
          <w:rFonts w:eastAsia="Times New Roman"/>
          <w:color w:val="000000"/>
          <w:sz w:val="24"/>
          <w:lang w:val="sq-AL"/>
        </w:rPr>
        <w:t xml:space="preserve">në </w:t>
      </w:r>
      <w:r w:rsidRPr="00A6284F">
        <w:rPr>
          <w:rFonts w:eastAsia="Times New Roman"/>
          <w:color w:val="000000"/>
          <w:sz w:val="24"/>
          <w:lang w:val="sq-AL"/>
        </w:rPr>
        <w:t>hart</w:t>
      </w:r>
      <w:r w:rsidR="009F5977" w:rsidRPr="00A6284F">
        <w:rPr>
          <w:rFonts w:eastAsia="Times New Roman"/>
          <w:color w:val="000000"/>
          <w:sz w:val="24"/>
          <w:lang w:val="sq-AL"/>
        </w:rPr>
        <w:t xml:space="preserve">imin </w:t>
      </w:r>
      <w:r w:rsidRPr="00A6284F">
        <w:rPr>
          <w:rFonts w:eastAsia="Times New Roman"/>
          <w:color w:val="000000"/>
          <w:sz w:val="24"/>
          <w:lang w:val="sq-AL"/>
        </w:rPr>
        <w:t>dhe zbat</w:t>
      </w:r>
      <w:r w:rsidR="009F5977" w:rsidRPr="00A6284F">
        <w:rPr>
          <w:rFonts w:eastAsia="Times New Roman"/>
          <w:color w:val="000000"/>
          <w:sz w:val="24"/>
          <w:lang w:val="sq-AL"/>
        </w:rPr>
        <w:t xml:space="preserve">imin e </w:t>
      </w:r>
      <w:r w:rsidRPr="00A6284F">
        <w:rPr>
          <w:rFonts w:eastAsia="Times New Roman"/>
          <w:color w:val="000000"/>
          <w:sz w:val="24"/>
          <w:lang w:val="sq-AL"/>
        </w:rPr>
        <w:t>rregullore</w:t>
      </w:r>
      <w:r w:rsidR="009F5977" w:rsidRPr="00A6284F">
        <w:rPr>
          <w:rFonts w:eastAsia="Times New Roman"/>
          <w:color w:val="000000"/>
          <w:sz w:val="24"/>
          <w:lang w:val="sq-AL"/>
        </w:rPr>
        <w:t>ve</w:t>
      </w:r>
      <w:r w:rsidRPr="00A6284F">
        <w:rPr>
          <w:rFonts w:eastAsia="Times New Roman"/>
          <w:color w:val="000000"/>
          <w:sz w:val="24"/>
          <w:lang w:val="sq-AL"/>
        </w:rPr>
        <w:t>.</w:t>
      </w:r>
    </w:p>
    <w:p w:rsidR="000A4761" w:rsidRPr="00A6284F" w:rsidRDefault="000A4761" w:rsidP="000A4761">
      <w:pPr>
        <w:spacing w:before="130" w:after="100" w:line="274" w:lineRule="exact"/>
        <w:ind w:left="144"/>
        <w:textAlignment w:val="baseline"/>
        <w:rPr>
          <w:rFonts w:eastAsia="Times New Roman"/>
          <w:b/>
          <w:color w:val="000000"/>
          <w:spacing w:val="6"/>
          <w:sz w:val="24"/>
          <w:lang w:val="sq-AL"/>
        </w:rPr>
      </w:pPr>
      <w:r w:rsidRPr="00A6284F">
        <w:rPr>
          <w:rFonts w:eastAsia="Times New Roman"/>
          <w:b/>
          <w:color w:val="000000"/>
          <w:spacing w:val="6"/>
          <w:sz w:val="24"/>
          <w:lang w:val="sq-AL"/>
        </w:rPr>
        <w:t>6.24 Shoqëria e informacionit dhe mediat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0A4761" w:rsidRPr="00A6284F" w:rsidTr="000A4761">
        <w:trPr>
          <w:trHeight w:hRule="exact" w:val="4581"/>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0A4761" w:rsidRPr="00A6284F" w:rsidRDefault="000A4761" w:rsidP="000A4761">
            <w:pPr>
              <w:spacing w:before="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w:t>
            </w:r>
            <w:r w:rsidRPr="00A6284F">
              <w:rPr>
                <w:rFonts w:eastAsia="Times New Roman"/>
                <w:b/>
                <w:color w:val="000000"/>
                <w:sz w:val="24"/>
                <w:lang w:val="sq-AL"/>
              </w:rPr>
              <w:t xml:space="preserve">një nivel përgatitjeje </w:t>
            </w:r>
            <w:r w:rsidRPr="00A6284F">
              <w:rPr>
                <w:rFonts w:eastAsia="Times New Roman"/>
                <w:color w:val="000000"/>
                <w:sz w:val="24"/>
                <w:lang w:val="sq-AL"/>
              </w:rPr>
              <w:t>për këtë fushë. Korniza l</w:t>
            </w:r>
            <w:r w:rsidR="00610AF4" w:rsidRPr="00A6284F">
              <w:rPr>
                <w:rFonts w:eastAsia="Times New Roman"/>
                <w:color w:val="000000"/>
                <w:sz w:val="24"/>
                <w:lang w:val="sq-AL"/>
              </w:rPr>
              <w:t xml:space="preserve">egjislative </w:t>
            </w:r>
            <w:r w:rsidRPr="00A6284F">
              <w:rPr>
                <w:rFonts w:eastAsia="Times New Roman"/>
                <w:color w:val="000000"/>
                <w:sz w:val="24"/>
                <w:lang w:val="sq-AL"/>
              </w:rPr>
              <w:t xml:space="preserve">kryesisht </w:t>
            </w:r>
            <w:r w:rsidR="00610AF4" w:rsidRPr="00A6284F">
              <w:rPr>
                <w:rFonts w:eastAsia="Times New Roman"/>
                <w:color w:val="000000"/>
                <w:sz w:val="24"/>
                <w:lang w:val="sq-AL"/>
              </w:rPr>
              <w:t xml:space="preserve">ekziston </w:t>
            </w:r>
            <w:r w:rsidRPr="00A6284F">
              <w:rPr>
                <w:rFonts w:eastAsia="Times New Roman"/>
                <w:color w:val="000000"/>
                <w:sz w:val="24"/>
                <w:lang w:val="sq-AL"/>
              </w:rPr>
              <w:t>por</w:t>
            </w:r>
            <w:r w:rsidR="00610AF4" w:rsidRPr="00A6284F">
              <w:rPr>
                <w:rFonts w:eastAsia="Times New Roman"/>
                <w:color w:val="000000"/>
                <w:sz w:val="24"/>
                <w:lang w:val="sq-AL"/>
              </w:rPr>
              <w:t xml:space="preserve"> </w:t>
            </w:r>
            <w:r w:rsidRPr="00A6284F">
              <w:rPr>
                <w:rFonts w:eastAsia="Times New Roman"/>
                <w:b/>
                <w:color w:val="000000"/>
                <w:sz w:val="24"/>
                <w:lang w:val="sq-AL"/>
              </w:rPr>
              <w:t>nuk ka pasur progres</w:t>
            </w:r>
            <w:r w:rsidRPr="00A6284F">
              <w:rPr>
                <w:rFonts w:eastAsia="Times New Roman"/>
                <w:color w:val="000000"/>
                <w:sz w:val="24"/>
                <w:lang w:val="sq-AL"/>
              </w:rPr>
              <w:t xml:space="preserve"> në zbatim të saj. Mbetet të miratohet një zgjidhje e qëndrueshme për financimin e transmetuesit publik. </w:t>
            </w:r>
            <w:r w:rsidR="00610AF4" w:rsidRPr="00A6284F">
              <w:rPr>
                <w:rFonts w:eastAsia="Times New Roman"/>
                <w:color w:val="000000"/>
                <w:sz w:val="24"/>
                <w:lang w:val="sq-AL"/>
              </w:rPr>
              <w:t>Ngjashëm</w:t>
            </w:r>
            <w:r w:rsidRPr="00A6284F">
              <w:rPr>
                <w:rFonts w:eastAsia="Times New Roman"/>
                <w:color w:val="000000"/>
                <w:sz w:val="24"/>
                <w:lang w:val="sq-AL"/>
              </w:rPr>
              <w:t xml:space="preserve"> </w:t>
            </w:r>
            <w:r w:rsidR="00610AF4" w:rsidRPr="00A6284F">
              <w:rPr>
                <w:rFonts w:eastAsia="Times New Roman"/>
                <w:color w:val="000000"/>
                <w:sz w:val="24"/>
                <w:lang w:val="sq-AL"/>
              </w:rPr>
              <w:t xml:space="preserve">si </w:t>
            </w:r>
            <w:r w:rsidRPr="00A6284F">
              <w:rPr>
                <w:rFonts w:eastAsia="Times New Roman"/>
                <w:color w:val="000000"/>
                <w:sz w:val="24"/>
                <w:lang w:val="sq-AL"/>
              </w:rPr>
              <w:t>në vitet e kaluara, Komisioni i Pavarur për Media nuk ka</w:t>
            </w:r>
            <w:r w:rsidR="00610AF4" w:rsidRPr="00A6284F">
              <w:rPr>
                <w:rFonts w:eastAsia="Times New Roman"/>
                <w:color w:val="000000"/>
                <w:sz w:val="24"/>
                <w:lang w:val="sq-AL"/>
              </w:rPr>
              <w:t xml:space="preserve"> </w:t>
            </w:r>
            <w:r w:rsidRPr="00A6284F">
              <w:rPr>
                <w:rFonts w:eastAsia="Times New Roman"/>
                <w:color w:val="000000"/>
                <w:sz w:val="24"/>
                <w:lang w:val="sq-AL"/>
              </w:rPr>
              <w:t>ecur përpara me procesin e kalimit nga televizioni analog në atë digjital.</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Shumica e rekomandimeve të raportit paraprak nuk janë </w:t>
            </w:r>
            <w:r w:rsidR="0062586A" w:rsidRPr="00A6284F">
              <w:rPr>
                <w:rFonts w:eastAsia="Times New Roman"/>
                <w:color w:val="000000"/>
                <w:sz w:val="24"/>
                <w:lang w:val="sq-AL"/>
              </w:rPr>
              <w:t>përcjellur. Në vitin e ardhshëm</w:t>
            </w:r>
            <w:r w:rsidRPr="00A6284F">
              <w:rPr>
                <w:rFonts w:eastAsia="Times New Roman"/>
                <w:color w:val="000000"/>
                <w:sz w:val="24"/>
                <w:lang w:val="sq-AL"/>
              </w:rPr>
              <w:t>, Kosova duhet posaçërisht:</w:t>
            </w:r>
          </w:p>
          <w:p w:rsidR="000A4761" w:rsidRPr="00A6284F" w:rsidRDefault="000A4761" w:rsidP="0062586A">
            <w:pPr>
              <w:spacing w:before="137" w:line="276" w:lineRule="exact"/>
              <w:ind w:left="144"/>
              <w:jc w:val="both"/>
              <w:textAlignment w:val="baseline"/>
              <w:rPr>
                <w:rFonts w:ascii="Arial Narrow" w:eastAsia="Arial Narrow" w:hAnsi="Arial Narrow"/>
                <w:color w:val="000000"/>
                <w:spacing w:val="2"/>
                <w:lang w:val="sq-AL"/>
              </w:rPr>
            </w:pPr>
            <w:r w:rsidRPr="00A6284F">
              <w:rPr>
                <w:rFonts w:ascii="Arial Narrow" w:eastAsia="Arial Narrow" w:hAnsi="Arial Narrow"/>
                <w:color w:val="000000"/>
                <w:lang w:val="sq-AL"/>
              </w:rPr>
              <w:t xml:space="preserve">-* </w:t>
            </w:r>
            <w:r w:rsidRPr="00A6284F">
              <w:rPr>
                <w:rFonts w:eastAsia="Times New Roman"/>
                <w:color w:val="000000"/>
                <w:spacing w:val="2"/>
                <w:sz w:val="24"/>
                <w:lang w:val="sq-AL"/>
              </w:rPr>
              <w:t xml:space="preserve">të sigurojë që rregullatorët e </w:t>
            </w:r>
            <w:proofErr w:type="spellStart"/>
            <w:r w:rsidRPr="00A6284F">
              <w:rPr>
                <w:rFonts w:eastAsia="Times New Roman"/>
                <w:color w:val="000000"/>
                <w:spacing w:val="2"/>
                <w:sz w:val="24"/>
                <w:lang w:val="sq-AL"/>
              </w:rPr>
              <w:t>telekomit</w:t>
            </w:r>
            <w:proofErr w:type="spellEnd"/>
            <w:r w:rsidRPr="00A6284F">
              <w:rPr>
                <w:rFonts w:eastAsia="Times New Roman"/>
                <w:color w:val="000000"/>
                <w:spacing w:val="2"/>
                <w:sz w:val="24"/>
                <w:lang w:val="sq-AL"/>
              </w:rPr>
              <w:t xml:space="preserve"> dhe mediave të kenë resurse adekuate për </w:t>
            </w:r>
            <w:r w:rsidR="0062586A" w:rsidRPr="00A6284F">
              <w:rPr>
                <w:rFonts w:eastAsia="Times New Roman"/>
                <w:color w:val="000000"/>
                <w:spacing w:val="2"/>
                <w:sz w:val="24"/>
                <w:lang w:val="sq-AL"/>
              </w:rPr>
              <w:t>përmbushje të</w:t>
            </w:r>
            <w:r w:rsidRPr="00A6284F">
              <w:rPr>
                <w:rFonts w:eastAsia="Times New Roman"/>
                <w:color w:val="000000"/>
                <w:spacing w:val="2"/>
                <w:sz w:val="24"/>
                <w:lang w:val="sq-AL"/>
              </w:rPr>
              <w:t xml:space="preserve"> mandate</w:t>
            </w:r>
            <w:r w:rsidR="0062586A" w:rsidRPr="00A6284F">
              <w:rPr>
                <w:rFonts w:eastAsia="Times New Roman"/>
                <w:color w:val="000000"/>
                <w:spacing w:val="2"/>
                <w:sz w:val="24"/>
                <w:lang w:val="sq-AL"/>
              </w:rPr>
              <w:t>ve</w:t>
            </w:r>
            <w:r w:rsidRPr="00A6284F">
              <w:rPr>
                <w:rFonts w:eastAsia="Times New Roman"/>
                <w:color w:val="000000"/>
                <w:spacing w:val="2"/>
                <w:sz w:val="24"/>
                <w:lang w:val="sq-AL"/>
              </w:rPr>
              <w:t xml:space="preserve"> </w:t>
            </w:r>
            <w:r w:rsidR="0062586A" w:rsidRPr="00A6284F">
              <w:rPr>
                <w:rFonts w:eastAsia="Times New Roman"/>
                <w:color w:val="000000"/>
                <w:spacing w:val="2"/>
                <w:sz w:val="24"/>
                <w:lang w:val="sq-AL"/>
              </w:rPr>
              <w:t xml:space="preserve">të </w:t>
            </w:r>
            <w:r w:rsidRPr="00A6284F">
              <w:rPr>
                <w:rFonts w:eastAsia="Times New Roman"/>
                <w:color w:val="000000"/>
                <w:spacing w:val="2"/>
                <w:sz w:val="24"/>
                <w:lang w:val="sq-AL"/>
              </w:rPr>
              <w:t>tyre në mënyrë të pavarur dhe të zhvillojë një zgjidhje për financim të qëndrueshëm të transmetuesit publik</w:t>
            </w:r>
            <w:r w:rsidRPr="00A6284F">
              <w:rPr>
                <w:rFonts w:ascii="Arial Narrow" w:eastAsia="Arial Narrow" w:hAnsi="Arial Narrow"/>
                <w:color w:val="000000"/>
                <w:spacing w:val="2"/>
                <w:lang w:val="sq-AL"/>
              </w:rPr>
              <w:t>;</w:t>
            </w:r>
          </w:p>
          <w:p w:rsidR="000A4761" w:rsidRPr="00A6284F" w:rsidRDefault="000A4761" w:rsidP="000A4761">
            <w:pPr>
              <w:spacing w:before="137" w:line="276" w:lineRule="exact"/>
              <w:ind w:left="144"/>
              <w:textAlignment w:val="baseline"/>
              <w:rPr>
                <w:rFonts w:ascii="Arial Narrow" w:eastAsia="Arial Narrow" w:hAnsi="Arial Narrow"/>
                <w:color w:val="000000"/>
                <w:spacing w:val="2"/>
                <w:lang w:val="sq-AL"/>
              </w:rPr>
            </w:pPr>
            <w:r w:rsidRPr="00A6284F">
              <w:rPr>
                <w:rFonts w:ascii="Arial Narrow" w:eastAsia="Arial Narrow" w:hAnsi="Arial Narrow"/>
                <w:color w:val="000000"/>
                <w:spacing w:val="2"/>
                <w:lang w:val="sq-AL"/>
              </w:rPr>
              <w:t xml:space="preserve">-* të </w:t>
            </w:r>
            <w:r w:rsidRPr="00A6284F">
              <w:rPr>
                <w:rFonts w:eastAsia="Times New Roman"/>
                <w:color w:val="000000"/>
                <w:spacing w:val="2"/>
                <w:sz w:val="24"/>
                <w:lang w:val="sq-AL"/>
              </w:rPr>
              <w:t>liroj dividen</w:t>
            </w:r>
            <w:r w:rsidR="00A6284F">
              <w:rPr>
                <w:rFonts w:eastAsia="Times New Roman"/>
                <w:color w:val="000000"/>
                <w:spacing w:val="2"/>
                <w:sz w:val="24"/>
                <w:lang w:val="sq-AL"/>
              </w:rPr>
              <w:t>d</w:t>
            </w:r>
            <w:r w:rsidRPr="00A6284F">
              <w:rPr>
                <w:rFonts w:eastAsia="Times New Roman"/>
                <w:color w:val="000000"/>
                <w:spacing w:val="2"/>
                <w:sz w:val="24"/>
                <w:lang w:val="sq-AL"/>
              </w:rPr>
              <w:t xml:space="preserve">in e parë </w:t>
            </w:r>
            <w:r w:rsidR="0062586A" w:rsidRPr="00A6284F">
              <w:rPr>
                <w:rFonts w:eastAsia="Times New Roman"/>
                <w:color w:val="000000"/>
                <w:spacing w:val="2"/>
                <w:sz w:val="24"/>
                <w:lang w:val="sq-AL"/>
              </w:rPr>
              <w:t>digjital</w:t>
            </w:r>
            <w:r w:rsidRPr="00A6284F">
              <w:rPr>
                <w:rFonts w:eastAsia="Times New Roman"/>
                <w:color w:val="000000"/>
                <w:spacing w:val="2"/>
                <w:sz w:val="24"/>
                <w:lang w:val="sq-AL"/>
              </w:rPr>
              <w:t>/lirimi i frekuencave;</w:t>
            </w:r>
          </w:p>
          <w:p w:rsidR="000A4761" w:rsidRPr="00A6284F" w:rsidRDefault="000A4761" w:rsidP="000A4761">
            <w:pPr>
              <w:spacing w:before="137" w:after="125" w:line="276" w:lineRule="exact"/>
              <w:ind w:left="504"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rishikoj Ligjin për Komisionin e Pavarur të Mediave për të ngritur nivelin e </w:t>
            </w:r>
            <w:proofErr w:type="spellStart"/>
            <w:r w:rsidRPr="00A6284F">
              <w:rPr>
                <w:rFonts w:eastAsia="Times New Roman"/>
                <w:color w:val="000000"/>
                <w:sz w:val="24"/>
                <w:lang w:val="sq-AL"/>
              </w:rPr>
              <w:t>disponueshmërisë</w:t>
            </w:r>
            <w:proofErr w:type="spellEnd"/>
            <w:r w:rsidRPr="00A6284F">
              <w:rPr>
                <w:rFonts w:eastAsia="Times New Roman"/>
                <w:color w:val="000000"/>
                <w:sz w:val="24"/>
                <w:lang w:val="sq-AL"/>
              </w:rPr>
              <w:t xml:space="preserve"> së të dhënave në sektorin </w:t>
            </w:r>
            <w:proofErr w:type="spellStart"/>
            <w:r w:rsidRPr="00A6284F">
              <w:rPr>
                <w:rFonts w:eastAsia="Times New Roman"/>
                <w:color w:val="000000"/>
                <w:sz w:val="24"/>
                <w:lang w:val="sq-AL"/>
              </w:rPr>
              <w:t>audiovizual</w:t>
            </w:r>
            <w:proofErr w:type="spellEnd"/>
            <w:r w:rsidRPr="00A6284F">
              <w:rPr>
                <w:rFonts w:eastAsia="Times New Roman"/>
                <w:color w:val="000000"/>
                <w:sz w:val="24"/>
                <w:lang w:val="sq-AL"/>
              </w:rPr>
              <w:t xml:space="preserve"> dhe për të zgjeruar kompetencat </w:t>
            </w:r>
            <w:proofErr w:type="spellStart"/>
            <w:r w:rsidRPr="00A6284F">
              <w:rPr>
                <w:rFonts w:eastAsia="Times New Roman"/>
                <w:color w:val="000000"/>
                <w:sz w:val="24"/>
                <w:lang w:val="sq-AL"/>
              </w:rPr>
              <w:t>rregullative</w:t>
            </w:r>
            <w:proofErr w:type="spellEnd"/>
            <w:r w:rsidRPr="00A6284F">
              <w:rPr>
                <w:rFonts w:eastAsia="Times New Roman"/>
                <w:color w:val="000000"/>
                <w:sz w:val="24"/>
                <w:lang w:val="sq-AL"/>
              </w:rPr>
              <w:t>, monitoruese dhe zbatuese të rregullatorit.</w:t>
            </w:r>
          </w:p>
        </w:tc>
      </w:tr>
    </w:tbl>
    <w:p w:rsidR="000A4761" w:rsidRPr="00A6284F" w:rsidRDefault="000A4761" w:rsidP="000A4761">
      <w:pPr>
        <w:spacing w:after="576"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komunikimet elektronike dhe teknologjitë e informacionit dhe komunikimit</w:t>
      </w:r>
      <w:r w:rsidR="0062586A" w:rsidRPr="00A6284F">
        <w:rPr>
          <w:rFonts w:eastAsia="Times New Roman"/>
          <w:b/>
          <w:color w:val="000000"/>
          <w:sz w:val="24"/>
          <w:lang w:val="sq-AL"/>
        </w:rPr>
        <w:t xml:space="preserve"> </w:t>
      </w:r>
      <w:r w:rsidRPr="00A6284F">
        <w:rPr>
          <w:rFonts w:eastAsia="Times New Roman"/>
          <w:b/>
          <w:color w:val="000000"/>
          <w:sz w:val="24"/>
          <w:lang w:val="sq-AL"/>
        </w:rPr>
        <w:t>(TIK)</w:t>
      </w:r>
      <w:r w:rsidRPr="00A6284F">
        <w:rPr>
          <w:rFonts w:eastAsia="Times New Roman"/>
          <w:color w:val="000000"/>
          <w:sz w:val="24"/>
          <w:lang w:val="sq-AL"/>
        </w:rPr>
        <w:t xml:space="preserve">, nuk ka pasur përmirësim në pavarësinë financiare dhe organizative të Autoritetit </w:t>
      </w:r>
      <w:proofErr w:type="spellStart"/>
      <w:r w:rsidRPr="00A6284F">
        <w:rPr>
          <w:rFonts w:eastAsia="Times New Roman"/>
          <w:color w:val="000000"/>
          <w:sz w:val="24"/>
          <w:lang w:val="sq-AL"/>
        </w:rPr>
        <w:t>Rregullativ</w:t>
      </w:r>
      <w:proofErr w:type="spellEnd"/>
      <w:r w:rsidRPr="00A6284F">
        <w:rPr>
          <w:rFonts w:eastAsia="Times New Roman"/>
          <w:color w:val="000000"/>
          <w:sz w:val="24"/>
          <w:lang w:val="sq-AL"/>
        </w:rPr>
        <w:t xml:space="preserve"> të Komunikimeve Elektronike dhe Postare. Agjencia e Statistikave të Kosovës publikoi të dhënat për</w:t>
      </w:r>
      <w:r w:rsidR="00411147" w:rsidRPr="00A6284F">
        <w:rPr>
          <w:rFonts w:eastAsia="Times New Roman"/>
          <w:color w:val="000000"/>
          <w:sz w:val="24"/>
          <w:lang w:val="sq-AL"/>
        </w:rPr>
        <w:t xml:space="preserve"> </w:t>
      </w:r>
      <w:r w:rsidRPr="00A6284F">
        <w:rPr>
          <w:rFonts w:eastAsia="Times New Roman"/>
          <w:color w:val="000000"/>
          <w:sz w:val="24"/>
          <w:lang w:val="sq-AL"/>
        </w:rPr>
        <w:t xml:space="preserve">përdorimin e TIK-ut. Sipas hulumtimit, 93.2% </w:t>
      </w:r>
      <w:r w:rsidR="00411147" w:rsidRPr="00A6284F">
        <w:rPr>
          <w:rFonts w:eastAsia="Times New Roman"/>
          <w:color w:val="000000"/>
          <w:sz w:val="24"/>
          <w:lang w:val="sq-AL"/>
        </w:rPr>
        <w:t xml:space="preserve">e </w:t>
      </w:r>
      <w:r w:rsidRPr="00A6284F">
        <w:rPr>
          <w:rFonts w:eastAsia="Times New Roman"/>
          <w:color w:val="000000"/>
          <w:sz w:val="24"/>
          <w:lang w:val="sq-AL"/>
        </w:rPr>
        <w:t xml:space="preserve">ekonomive familjare kishin qasje në internet, një rritje prej 4.4 </w:t>
      </w:r>
      <w:proofErr w:type="spellStart"/>
      <w:r w:rsidRPr="00A6284F">
        <w:rPr>
          <w:rFonts w:eastAsia="Times New Roman"/>
          <w:color w:val="000000"/>
          <w:sz w:val="24"/>
          <w:lang w:val="sq-AL"/>
        </w:rPr>
        <w:t>pps</w:t>
      </w:r>
      <w:proofErr w:type="spellEnd"/>
      <w:r w:rsidRPr="00A6284F">
        <w:rPr>
          <w:rFonts w:eastAsia="Times New Roman"/>
          <w:color w:val="000000"/>
          <w:sz w:val="24"/>
          <w:lang w:val="sq-AL"/>
        </w:rPr>
        <w:t xml:space="preserve"> nga viti i kaluar. Rreth 90.2% kanë pasur qasje në internet përmes lidhjeve fikse, një rritje prej 6.6 </w:t>
      </w:r>
      <w:proofErr w:type="spellStart"/>
      <w:r w:rsidRPr="00A6284F">
        <w:rPr>
          <w:rFonts w:eastAsia="Times New Roman"/>
          <w:color w:val="000000"/>
          <w:sz w:val="24"/>
          <w:lang w:val="sq-AL"/>
        </w:rPr>
        <w:t>pps</w:t>
      </w:r>
      <w:proofErr w:type="spellEnd"/>
      <w:r w:rsidRPr="00A6284F">
        <w:rPr>
          <w:rFonts w:eastAsia="Times New Roman"/>
          <w:color w:val="000000"/>
          <w:sz w:val="24"/>
          <w:lang w:val="sq-AL"/>
        </w:rPr>
        <w:t xml:space="preserve"> nga viti i kaluar, ndërsa numri i qasje</w:t>
      </w:r>
      <w:r w:rsidR="00411147" w:rsidRPr="00A6284F">
        <w:rPr>
          <w:rFonts w:eastAsia="Times New Roman"/>
          <w:color w:val="000000"/>
          <w:sz w:val="24"/>
          <w:lang w:val="sq-AL"/>
        </w:rPr>
        <w:t>ve</w:t>
      </w:r>
      <w:r w:rsidRPr="00A6284F">
        <w:rPr>
          <w:rFonts w:eastAsia="Times New Roman"/>
          <w:color w:val="000000"/>
          <w:sz w:val="24"/>
          <w:lang w:val="sq-AL"/>
        </w:rPr>
        <w:t xml:space="preserve"> në internet përmes lidhjeve mobile ka mbetur i njëjtë, në 24.6%.</w:t>
      </w:r>
    </w:p>
    <w:p w:rsidR="000A4761" w:rsidRPr="00A6284F" w:rsidRDefault="000A4761" w:rsidP="000A4761">
      <w:pPr>
        <w:spacing w:after="576" w:line="276" w:lineRule="exact"/>
        <w:rPr>
          <w:lang w:val="sq-AL"/>
        </w:rPr>
        <w:sectPr w:rsidR="000A4761" w:rsidRPr="00A6284F">
          <w:pgSz w:w="11909" w:h="16838"/>
          <w:pgMar w:top="1400" w:right="1274" w:bottom="562" w:left="1275" w:header="720" w:footer="720" w:gutter="0"/>
          <w:cols w:space="720"/>
        </w:sectPr>
      </w:pPr>
    </w:p>
    <w:p w:rsidR="000A4761" w:rsidRPr="00A6284F" w:rsidRDefault="000A4761" w:rsidP="000A4761">
      <w:pPr>
        <w:rPr>
          <w:lang w:val="sq-AL"/>
        </w:rPr>
        <w:sectPr w:rsidR="000A4761" w:rsidRPr="00A6284F">
          <w:type w:val="continuous"/>
          <w:pgSz w:w="11909" w:h="16838"/>
          <w:pgMar w:top="1400" w:right="1272" w:bottom="562" w:left="1277" w:header="720" w:footer="720" w:gutter="0"/>
          <w:cols w:space="720"/>
        </w:sectPr>
      </w:pPr>
    </w:p>
    <w:p w:rsidR="000A4761" w:rsidRPr="00A6284F" w:rsidRDefault="000A4761" w:rsidP="000A476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lastRenderedPageBreak/>
        <w:t>Objektivat afatmesëm të Agjendës Di</w:t>
      </w:r>
      <w:r w:rsidR="006F0DAB" w:rsidRPr="00A6284F">
        <w:rPr>
          <w:rFonts w:eastAsia="Times New Roman"/>
          <w:color w:val="000000"/>
          <w:sz w:val="24"/>
          <w:lang w:val="sq-AL"/>
        </w:rPr>
        <w:t>gj</w:t>
      </w:r>
      <w:r w:rsidRPr="00A6284F">
        <w:rPr>
          <w:rFonts w:eastAsia="Times New Roman"/>
          <w:color w:val="000000"/>
          <w:sz w:val="24"/>
          <w:lang w:val="sq-AL"/>
        </w:rPr>
        <w:t xml:space="preserve">itale 2013-2020 për Kosovën janë arritur plotësisht dhe strategjia është duke u zbatuar. Rregullatori i </w:t>
      </w:r>
      <w:proofErr w:type="spellStart"/>
      <w:r w:rsidRPr="00A6284F">
        <w:rPr>
          <w:rFonts w:eastAsia="Times New Roman"/>
          <w:color w:val="000000"/>
          <w:sz w:val="24"/>
          <w:lang w:val="sq-AL"/>
        </w:rPr>
        <w:t>telekomit</w:t>
      </w:r>
      <w:proofErr w:type="spellEnd"/>
      <w:r w:rsidRPr="00A6284F">
        <w:rPr>
          <w:rFonts w:eastAsia="Times New Roman"/>
          <w:color w:val="000000"/>
          <w:sz w:val="24"/>
          <w:lang w:val="sq-AL"/>
        </w:rPr>
        <w:t xml:space="preserve"> </w:t>
      </w:r>
      <w:r w:rsidR="006F0DAB" w:rsidRPr="00A6284F">
        <w:rPr>
          <w:rFonts w:eastAsia="Times New Roman"/>
          <w:color w:val="000000"/>
          <w:sz w:val="24"/>
          <w:lang w:val="sq-AL"/>
        </w:rPr>
        <w:t xml:space="preserve">e </w:t>
      </w:r>
      <w:r w:rsidRPr="00A6284F">
        <w:rPr>
          <w:rFonts w:eastAsia="Times New Roman"/>
          <w:color w:val="000000"/>
          <w:sz w:val="24"/>
          <w:lang w:val="sq-AL"/>
        </w:rPr>
        <w:t xml:space="preserve">shtyu </w:t>
      </w:r>
      <w:r w:rsidR="006F0DAB" w:rsidRPr="00A6284F">
        <w:rPr>
          <w:rFonts w:eastAsia="Times New Roman"/>
          <w:color w:val="000000"/>
          <w:sz w:val="24"/>
          <w:lang w:val="sq-AL"/>
        </w:rPr>
        <w:t xml:space="preserve">implementimin </w:t>
      </w:r>
      <w:r w:rsidRPr="00A6284F">
        <w:rPr>
          <w:rFonts w:eastAsia="Times New Roman"/>
          <w:color w:val="000000"/>
          <w:sz w:val="24"/>
          <w:lang w:val="sq-AL"/>
        </w:rPr>
        <w:t xml:space="preserve">e kodit të thirrjeve </w:t>
      </w:r>
      <w:r w:rsidR="006F0DAB" w:rsidRPr="00A6284F">
        <w:rPr>
          <w:rFonts w:eastAsia="Times New Roman"/>
          <w:color w:val="000000"/>
          <w:sz w:val="24"/>
          <w:lang w:val="sq-AL"/>
        </w:rPr>
        <w:t>“</w:t>
      </w:r>
      <w:r w:rsidRPr="00A6284F">
        <w:rPr>
          <w:rFonts w:eastAsia="Times New Roman"/>
          <w:color w:val="000000"/>
          <w:sz w:val="24"/>
          <w:lang w:val="sq-AL"/>
        </w:rPr>
        <w:t>+383</w:t>
      </w:r>
      <w:r w:rsidR="006F0DAB" w:rsidRPr="00A6284F">
        <w:rPr>
          <w:rFonts w:eastAsia="Times New Roman"/>
          <w:color w:val="000000"/>
          <w:sz w:val="24"/>
          <w:lang w:val="sq-AL"/>
        </w:rPr>
        <w:t>”</w:t>
      </w:r>
      <w:r w:rsidRPr="00A6284F">
        <w:rPr>
          <w:rFonts w:eastAsia="Times New Roman"/>
          <w:color w:val="000000"/>
          <w:sz w:val="24"/>
          <w:lang w:val="sq-AL"/>
        </w:rPr>
        <w:t xml:space="preserve"> deri për në janar të vitit 2019 me kërkesë të operatorëve, por </w:t>
      </w:r>
      <w:proofErr w:type="spellStart"/>
      <w:r w:rsidRPr="00A6284F">
        <w:rPr>
          <w:rFonts w:eastAsia="Times New Roman"/>
          <w:color w:val="000000"/>
          <w:sz w:val="24"/>
          <w:lang w:val="sq-AL"/>
        </w:rPr>
        <w:t>tranzicioni</w:t>
      </w:r>
      <w:proofErr w:type="spellEnd"/>
      <w:r w:rsidRPr="00A6284F">
        <w:rPr>
          <w:rFonts w:eastAsia="Times New Roman"/>
          <w:color w:val="000000"/>
          <w:sz w:val="24"/>
          <w:lang w:val="sq-AL"/>
        </w:rPr>
        <w:t xml:space="preserve"> u zbatua vetëm pjesërisht deri në afatin përfundimtar. Rregullatori është duke e gjobitur çdo operator 10,000 euro për çdo muaj vonesë pas afatit të janarit. Rregullatori ka rishikuar politikat e çmimeve për </w:t>
      </w:r>
      <w:proofErr w:type="spellStart"/>
      <w:r w:rsidRPr="00A6284F">
        <w:rPr>
          <w:rFonts w:eastAsia="Times New Roman"/>
          <w:color w:val="000000"/>
          <w:sz w:val="24"/>
          <w:lang w:val="sq-AL"/>
        </w:rPr>
        <w:t>alokimin</w:t>
      </w:r>
      <w:proofErr w:type="spellEnd"/>
      <w:r w:rsidRPr="00A6284F">
        <w:rPr>
          <w:rFonts w:eastAsia="Times New Roman"/>
          <w:color w:val="000000"/>
          <w:sz w:val="24"/>
          <w:lang w:val="sq-AL"/>
        </w:rPr>
        <w:t xml:space="preserve"> e frekuencave dhe kjo ka rezultuar në rënie të çmimit prej 30% për frekuencat e </w:t>
      </w:r>
      <w:proofErr w:type="spellStart"/>
      <w:r w:rsidRPr="00A6284F">
        <w:rPr>
          <w:rFonts w:eastAsia="Times New Roman"/>
          <w:color w:val="000000"/>
          <w:sz w:val="24"/>
          <w:lang w:val="sq-AL"/>
        </w:rPr>
        <w:t>alokuara</w:t>
      </w:r>
      <w:proofErr w:type="spellEnd"/>
      <w:r w:rsidRPr="00A6284F">
        <w:rPr>
          <w:rFonts w:eastAsia="Times New Roman"/>
          <w:color w:val="000000"/>
          <w:sz w:val="24"/>
          <w:lang w:val="sq-AL"/>
        </w:rPr>
        <w:t xml:space="preserve"> aktualisht për shërbimet e telefonisë mobile. Rregullatori është gjithashtu duke shqyrtuar politikat e çmimeve për shpërndarjen e frekuencave të reja dhe tarifat vjetore </w:t>
      </w:r>
      <w:proofErr w:type="spellStart"/>
      <w:r w:rsidRPr="00A6284F">
        <w:rPr>
          <w:rFonts w:eastAsia="Times New Roman"/>
          <w:color w:val="000000"/>
          <w:sz w:val="24"/>
          <w:lang w:val="sq-AL"/>
        </w:rPr>
        <w:t>rregullative</w:t>
      </w:r>
      <w:proofErr w:type="spellEnd"/>
      <w:r w:rsidRPr="00A6284F">
        <w:rPr>
          <w:rFonts w:eastAsia="Times New Roman"/>
          <w:color w:val="000000"/>
          <w:sz w:val="24"/>
          <w:lang w:val="sq-AL"/>
        </w:rPr>
        <w:t xml:space="preserve">. Autoritetet morën pjesë në përgatitjet e Marrëveshjes Rajonale </w:t>
      </w:r>
      <w:proofErr w:type="spellStart"/>
      <w:r w:rsidRPr="00A6284F">
        <w:rPr>
          <w:rFonts w:eastAsia="Times New Roman"/>
          <w:color w:val="000000"/>
          <w:sz w:val="24"/>
          <w:lang w:val="sq-AL"/>
        </w:rPr>
        <w:t>Roaming</w:t>
      </w:r>
      <w:proofErr w:type="spellEnd"/>
      <w:r w:rsidRPr="00A6284F">
        <w:rPr>
          <w:rFonts w:eastAsia="Times New Roman"/>
          <w:color w:val="000000"/>
          <w:sz w:val="24"/>
          <w:lang w:val="sq-AL"/>
        </w:rPr>
        <w:t xml:space="preserve">  dhe </w:t>
      </w:r>
      <w:r w:rsidR="006F0DAB" w:rsidRPr="00A6284F">
        <w:rPr>
          <w:rFonts w:eastAsia="Times New Roman"/>
          <w:color w:val="000000"/>
          <w:sz w:val="24"/>
          <w:lang w:val="sq-AL"/>
        </w:rPr>
        <w:t xml:space="preserve">e </w:t>
      </w:r>
      <w:r w:rsidRPr="00A6284F">
        <w:rPr>
          <w:rFonts w:eastAsia="Times New Roman"/>
          <w:color w:val="000000"/>
          <w:sz w:val="24"/>
          <w:lang w:val="sq-AL"/>
        </w:rPr>
        <w:t>nënshkruan atë në prill të vitit 2019.</w:t>
      </w:r>
    </w:p>
    <w:p w:rsidR="000A4761" w:rsidRPr="00A6284F" w:rsidRDefault="006F0DAB" w:rsidP="000A476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shoqërisë</w:t>
      </w:r>
      <w:r w:rsidR="000A4761" w:rsidRPr="00A6284F">
        <w:rPr>
          <w:rFonts w:eastAsia="Times New Roman"/>
          <w:b/>
          <w:color w:val="000000"/>
          <w:sz w:val="24"/>
          <w:lang w:val="sq-AL"/>
        </w:rPr>
        <w:t xml:space="preserve"> </w:t>
      </w:r>
      <w:r w:rsidRPr="00A6284F">
        <w:rPr>
          <w:rFonts w:eastAsia="Times New Roman"/>
          <w:b/>
          <w:color w:val="000000"/>
          <w:sz w:val="24"/>
          <w:lang w:val="sq-AL"/>
        </w:rPr>
        <w:t xml:space="preserve">së </w:t>
      </w:r>
      <w:r w:rsidR="000A4761" w:rsidRPr="00A6284F">
        <w:rPr>
          <w:rFonts w:eastAsia="Times New Roman"/>
          <w:b/>
          <w:color w:val="000000"/>
          <w:sz w:val="24"/>
          <w:lang w:val="sq-AL"/>
        </w:rPr>
        <w:t>informacionit</w:t>
      </w:r>
      <w:r w:rsidR="000A4761" w:rsidRPr="00A6284F">
        <w:rPr>
          <w:rFonts w:eastAsia="Times New Roman"/>
          <w:color w:val="000000"/>
          <w:sz w:val="24"/>
          <w:lang w:val="sq-AL"/>
        </w:rPr>
        <w:t xml:space="preserve">, disa iniciativa ligjore janë në proces e sipër. Kosova është duke punuar aktualisht në </w:t>
      </w:r>
      <w:r w:rsidRPr="00A6284F">
        <w:rPr>
          <w:rFonts w:eastAsia="Times New Roman"/>
          <w:color w:val="000000"/>
          <w:sz w:val="24"/>
          <w:lang w:val="sq-AL"/>
        </w:rPr>
        <w:t>përafrimin</w:t>
      </w:r>
      <w:r w:rsidR="000A4761" w:rsidRPr="00A6284F">
        <w:rPr>
          <w:rFonts w:eastAsia="Times New Roman"/>
          <w:color w:val="000000"/>
          <w:sz w:val="24"/>
          <w:lang w:val="sq-AL"/>
        </w:rPr>
        <w:t xml:space="preserve"> me Rregulloren </w:t>
      </w:r>
      <w:r w:rsidRPr="00A6284F">
        <w:rPr>
          <w:rFonts w:eastAsia="Times New Roman"/>
          <w:color w:val="000000"/>
          <w:sz w:val="24"/>
          <w:lang w:val="sq-AL"/>
        </w:rPr>
        <w:t xml:space="preserve">për </w:t>
      </w:r>
      <w:r w:rsidR="000A4761" w:rsidRPr="00A6284F">
        <w:rPr>
          <w:rFonts w:eastAsia="Times New Roman"/>
          <w:color w:val="000000"/>
          <w:sz w:val="24"/>
          <w:lang w:val="sq-AL"/>
        </w:rPr>
        <w:t>Shërbime</w:t>
      </w:r>
      <w:r w:rsidRPr="00A6284F">
        <w:rPr>
          <w:rFonts w:eastAsia="Times New Roman"/>
          <w:color w:val="000000"/>
          <w:sz w:val="24"/>
          <w:lang w:val="sq-AL"/>
        </w:rPr>
        <w:t>t</w:t>
      </w:r>
      <w:r w:rsidR="000A4761" w:rsidRPr="00A6284F">
        <w:rPr>
          <w:rFonts w:eastAsia="Times New Roman"/>
          <w:color w:val="000000"/>
          <w:sz w:val="24"/>
          <w:lang w:val="sq-AL"/>
        </w:rPr>
        <w:t xml:space="preserve"> </w:t>
      </w:r>
      <w:r w:rsidRPr="00A6284F">
        <w:rPr>
          <w:rFonts w:eastAsia="Times New Roman"/>
          <w:color w:val="000000"/>
          <w:sz w:val="24"/>
          <w:lang w:val="sq-AL"/>
        </w:rPr>
        <w:t>e</w:t>
      </w:r>
      <w:r w:rsidR="000A4761" w:rsidRPr="00A6284F">
        <w:rPr>
          <w:rFonts w:eastAsia="Times New Roman"/>
          <w:color w:val="000000"/>
          <w:sz w:val="24"/>
          <w:lang w:val="sq-AL"/>
        </w:rPr>
        <w:t xml:space="preserve"> Identifikimit, </w:t>
      </w:r>
      <w:proofErr w:type="spellStart"/>
      <w:r w:rsidR="000A4761" w:rsidRPr="00A6284F">
        <w:rPr>
          <w:rFonts w:eastAsia="Times New Roman"/>
          <w:color w:val="000000"/>
          <w:sz w:val="24"/>
          <w:lang w:val="sq-AL"/>
        </w:rPr>
        <w:t>Autentifikimit</w:t>
      </w:r>
      <w:proofErr w:type="spellEnd"/>
      <w:r w:rsidR="000A4761" w:rsidRPr="00A6284F">
        <w:rPr>
          <w:rFonts w:eastAsia="Times New Roman"/>
          <w:color w:val="000000"/>
          <w:sz w:val="24"/>
          <w:lang w:val="sq-AL"/>
        </w:rPr>
        <w:t xml:space="preserve"> dhe Besimit, Direktivën për Sigurinë e Rrjetit dhe Sistemeve të Informacionit dhe Direktivën për Reduktimin e Kostos </w:t>
      </w:r>
      <w:r w:rsidR="005F1AA7" w:rsidRPr="00A6284F">
        <w:rPr>
          <w:rFonts w:eastAsia="Times New Roman"/>
          <w:color w:val="000000"/>
          <w:sz w:val="24"/>
          <w:lang w:val="sq-AL"/>
        </w:rPr>
        <w:t xml:space="preserve">së rrjetit </w:t>
      </w:r>
      <w:proofErr w:type="spellStart"/>
      <w:r w:rsidR="005F1AA7" w:rsidRPr="00A6284F">
        <w:rPr>
          <w:rFonts w:eastAsia="Times New Roman"/>
          <w:color w:val="000000"/>
          <w:sz w:val="24"/>
          <w:lang w:val="sq-AL"/>
        </w:rPr>
        <w:t>brezgjerë</w:t>
      </w:r>
      <w:proofErr w:type="spellEnd"/>
      <w:r w:rsidR="000A4761" w:rsidRPr="00A6284F">
        <w:rPr>
          <w:rFonts w:eastAsia="Times New Roman"/>
          <w:color w:val="000000"/>
          <w:sz w:val="24"/>
          <w:lang w:val="sq-AL"/>
        </w:rPr>
        <w:t>. Ekipi reag</w:t>
      </w:r>
      <w:r w:rsidR="005F1AA7" w:rsidRPr="00A6284F">
        <w:rPr>
          <w:rFonts w:eastAsia="Times New Roman"/>
          <w:color w:val="000000"/>
          <w:sz w:val="24"/>
          <w:lang w:val="sq-AL"/>
        </w:rPr>
        <w:t xml:space="preserve">ues për </w:t>
      </w:r>
      <w:r w:rsidR="000A4761" w:rsidRPr="00A6284F">
        <w:rPr>
          <w:rFonts w:eastAsia="Times New Roman"/>
          <w:color w:val="000000"/>
          <w:sz w:val="24"/>
          <w:lang w:val="sq-AL"/>
        </w:rPr>
        <w:t>incidente</w:t>
      </w:r>
      <w:r w:rsidR="005F1AA7" w:rsidRPr="00A6284F">
        <w:rPr>
          <w:rFonts w:eastAsia="Times New Roman"/>
          <w:color w:val="000000"/>
          <w:sz w:val="24"/>
          <w:lang w:val="sq-AL"/>
        </w:rPr>
        <w:t>t</w:t>
      </w:r>
      <w:r w:rsidR="000A4761" w:rsidRPr="00A6284F">
        <w:rPr>
          <w:rFonts w:eastAsia="Times New Roman"/>
          <w:color w:val="000000"/>
          <w:sz w:val="24"/>
          <w:lang w:val="sq-AL"/>
        </w:rPr>
        <w:t xml:space="preserve"> </w:t>
      </w:r>
      <w:r w:rsidR="005F1AA7" w:rsidRPr="00A6284F">
        <w:rPr>
          <w:rFonts w:eastAsia="Times New Roman"/>
          <w:color w:val="000000"/>
          <w:sz w:val="24"/>
          <w:lang w:val="sq-AL"/>
        </w:rPr>
        <w:t>e</w:t>
      </w:r>
      <w:r w:rsidR="000A4761" w:rsidRPr="00A6284F">
        <w:rPr>
          <w:rFonts w:eastAsia="Times New Roman"/>
          <w:color w:val="000000"/>
          <w:sz w:val="24"/>
          <w:lang w:val="sq-AL"/>
        </w:rPr>
        <w:t xml:space="preserve"> sigurisë kompjuter</w:t>
      </w:r>
      <w:r w:rsidR="005F1AA7" w:rsidRPr="00A6284F">
        <w:rPr>
          <w:rFonts w:eastAsia="Times New Roman"/>
          <w:color w:val="000000"/>
          <w:sz w:val="24"/>
          <w:lang w:val="sq-AL"/>
        </w:rPr>
        <w:t>ike</w:t>
      </w:r>
      <w:r w:rsidR="000A4761" w:rsidRPr="00A6284F">
        <w:rPr>
          <w:rFonts w:eastAsia="Times New Roman"/>
          <w:color w:val="000000"/>
          <w:sz w:val="24"/>
          <w:lang w:val="sq-AL"/>
        </w:rPr>
        <w:t xml:space="preserve">, i krijuar në vitin 2014, ende ka mungesë </w:t>
      </w:r>
      <w:r w:rsidR="005F1AA7" w:rsidRPr="00A6284F">
        <w:rPr>
          <w:rFonts w:eastAsia="Times New Roman"/>
          <w:color w:val="000000"/>
          <w:sz w:val="24"/>
          <w:lang w:val="sq-AL"/>
        </w:rPr>
        <w:t xml:space="preserve">të </w:t>
      </w:r>
      <w:r w:rsidR="000A4761" w:rsidRPr="00A6284F">
        <w:rPr>
          <w:rFonts w:eastAsia="Times New Roman"/>
          <w:color w:val="000000"/>
          <w:sz w:val="24"/>
          <w:lang w:val="sq-AL"/>
        </w:rPr>
        <w:t>stafi</w:t>
      </w:r>
      <w:r w:rsidR="005F1AA7" w:rsidRPr="00A6284F">
        <w:rPr>
          <w:rFonts w:eastAsia="Times New Roman"/>
          <w:color w:val="000000"/>
          <w:sz w:val="24"/>
          <w:lang w:val="sq-AL"/>
        </w:rPr>
        <w:t>t</w:t>
      </w:r>
      <w:r w:rsidR="000A4761" w:rsidRPr="00A6284F">
        <w:rPr>
          <w:rFonts w:eastAsia="Times New Roman"/>
          <w:color w:val="000000"/>
          <w:sz w:val="24"/>
          <w:lang w:val="sq-AL"/>
        </w:rPr>
        <w:t>. Modernizimi i administratës publi</w:t>
      </w:r>
      <w:r w:rsidR="005F1AA7" w:rsidRPr="00A6284F">
        <w:rPr>
          <w:rFonts w:eastAsia="Times New Roman"/>
          <w:color w:val="000000"/>
          <w:sz w:val="24"/>
          <w:lang w:val="sq-AL"/>
        </w:rPr>
        <w:t>ke është një element kyç për digj</w:t>
      </w:r>
      <w:r w:rsidR="000A4761" w:rsidRPr="00A6284F">
        <w:rPr>
          <w:rFonts w:eastAsia="Times New Roman"/>
          <w:color w:val="000000"/>
          <w:sz w:val="24"/>
          <w:lang w:val="sq-AL"/>
        </w:rPr>
        <w:t>italizim të suksesshëm. Kosova duhet të bëjë më shumë përpjekje në zbatimin e kornizave dhe shërbimeve të e-qeverisjes.</w:t>
      </w:r>
    </w:p>
    <w:p w:rsidR="000A4761" w:rsidRPr="00A6284F" w:rsidRDefault="000A4761" w:rsidP="000A4761">
      <w:pPr>
        <w:spacing w:before="120"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Tek </w:t>
      </w:r>
      <w:r w:rsidRPr="00A6284F">
        <w:rPr>
          <w:rFonts w:eastAsia="Times New Roman"/>
          <w:b/>
          <w:color w:val="000000"/>
          <w:spacing w:val="-1"/>
          <w:sz w:val="24"/>
          <w:lang w:val="sq-AL"/>
        </w:rPr>
        <w:t>politika audio-vizuale</w:t>
      </w:r>
      <w:r w:rsidRPr="00A6284F">
        <w:rPr>
          <w:rFonts w:eastAsia="Times New Roman"/>
          <w:color w:val="000000"/>
          <w:spacing w:val="-1"/>
          <w:sz w:val="24"/>
          <w:lang w:val="sq-AL"/>
        </w:rPr>
        <w:t xml:space="preserve">, Komisioni i Pavarur për Media prapë ka dështuar të bëjë ndonjë </w:t>
      </w:r>
      <w:r w:rsidR="00974FDC" w:rsidRPr="00A6284F">
        <w:rPr>
          <w:rFonts w:eastAsia="Times New Roman"/>
          <w:color w:val="000000"/>
          <w:spacing w:val="-1"/>
          <w:sz w:val="24"/>
          <w:lang w:val="sq-AL"/>
        </w:rPr>
        <w:t xml:space="preserve">përparim </w:t>
      </w:r>
      <w:r w:rsidRPr="00A6284F">
        <w:rPr>
          <w:rFonts w:eastAsia="Times New Roman"/>
          <w:color w:val="000000"/>
          <w:spacing w:val="-1"/>
          <w:sz w:val="24"/>
          <w:lang w:val="sq-AL"/>
        </w:rPr>
        <w:t>substancial në implementimin e kalimit digjital, edhe pse afati i Unionit Ndërkombëtar të Telekomunikacionit ka skaduar në qershor të vitit 2015. Nuk janë ndarë e as identifikuar fonde për implement</w:t>
      </w:r>
      <w:r w:rsidR="00974FDC" w:rsidRPr="00A6284F">
        <w:rPr>
          <w:rFonts w:eastAsia="Times New Roman"/>
          <w:color w:val="000000"/>
          <w:spacing w:val="-1"/>
          <w:sz w:val="24"/>
          <w:lang w:val="sq-AL"/>
        </w:rPr>
        <w:t xml:space="preserve">im të </w:t>
      </w:r>
      <w:r w:rsidRPr="00A6284F">
        <w:rPr>
          <w:rFonts w:eastAsia="Times New Roman"/>
          <w:color w:val="000000"/>
          <w:spacing w:val="-1"/>
          <w:sz w:val="24"/>
          <w:lang w:val="sq-AL"/>
        </w:rPr>
        <w:t>kët</w:t>
      </w:r>
      <w:r w:rsidR="00974FDC" w:rsidRPr="00A6284F">
        <w:rPr>
          <w:rFonts w:eastAsia="Times New Roman"/>
          <w:color w:val="000000"/>
          <w:spacing w:val="-1"/>
          <w:sz w:val="24"/>
          <w:lang w:val="sq-AL"/>
        </w:rPr>
        <w:t>ij</w:t>
      </w:r>
      <w:r w:rsidRPr="00A6284F">
        <w:rPr>
          <w:rFonts w:eastAsia="Times New Roman"/>
          <w:color w:val="000000"/>
          <w:spacing w:val="-1"/>
          <w:sz w:val="24"/>
          <w:lang w:val="sq-AL"/>
        </w:rPr>
        <w:t xml:space="preserve"> proces</w:t>
      </w:r>
      <w:r w:rsidR="00974FDC" w:rsidRPr="00A6284F">
        <w:rPr>
          <w:rFonts w:eastAsia="Times New Roman"/>
          <w:color w:val="000000"/>
          <w:spacing w:val="-1"/>
          <w:sz w:val="24"/>
          <w:lang w:val="sq-AL"/>
        </w:rPr>
        <w:t>i</w:t>
      </w:r>
      <w:r w:rsidRPr="00A6284F">
        <w:rPr>
          <w:rFonts w:eastAsia="Times New Roman"/>
          <w:color w:val="000000"/>
          <w:spacing w:val="-1"/>
          <w:sz w:val="24"/>
          <w:lang w:val="sq-AL"/>
        </w:rPr>
        <w:t xml:space="preserve">. Ligji për Komisionin e Pavarur të Mediave i siguron atij kompetenca të mjaftueshme </w:t>
      </w:r>
      <w:proofErr w:type="spellStart"/>
      <w:r w:rsidRPr="00A6284F">
        <w:rPr>
          <w:rFonts w:eastAsia="Times New Roman"/>
          <w:color w:val="000000"/>
          <w:spacing w:val="-1"/>
          <w:sz w:val="24"/>
          <w:lang w:val="sq-AL"/>
        </w:rPr>
        <w:t>rregullative</w:t>
      </w:r>
      <w:proofErr w:type="spellEnd"/>
      <w:r w:rsidRPr="00A6284F">
        <w:rPr>
          <w:rFonts w:eastAsia="Times New Roman"/>
          <w:color w:val="000000"/>
          <w:spacing w:val="-1"/>
          <w:sz w:val="24"/>
          <w:lang w:val="sq-AL"/>
        </w:rPr>
        <w:t xml:space="preserve">, monitoruese dhe zbatuese për të nxitur pluralizmin dhe konkurrencën e tregut, por nuk ka kryer asnjë analizë </w:t>
      </w:r>
      <w:r w:rsidR="00974FDC"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tregu me vite dhe nuk i sanksionon transmetuesit në mënyrë efikase për mosrespektimin e ligjit. Kjo është pjesërisht për shkak të mungesës së të dhënave për shpërndarjen e fondeve të reklamave, audiencës dhe strukturës së pronësisë së kanaleve televizive, radios dhe programeve </w:t>
      </w:r>
      <w:proofErr w:type="spellStart"/>
      <w:r w:rsidRPr="00A6284F">
        <w:rPr>
          <w:rFonts w:eastAsia="Times New Roman"/>
          <w:color w:val="000000"/>
          <w:spacing w:val="-1"/>
          <w:sz w:val="24"/>
          <w:lang w:val="sq-AL"/>
        </w:rPr>
        <w:t>mediale</w:t>
      </w:r>
      <w:proofErr w:type="spellEnd"/>
      <w:r w:rsidRPr="00A6284F">
        <w:rPr>
          <w:rFonts w:eastAsia="Times New Roman"/>
          <w:color w:val="000000"/>
          <w:spacing w:val="-1"/>
          <w:sz w:val="24"/>
          <w:lang w:val="sq-AL"/>
        </w:rPr>
        <w:t xml:space="preserve">. Krijimi i Regjistrit të Medias mund t'i sigurojë rregullatorit të dhënat e nevojshme për të kryer analizën e duhur të tregut. Rishikimi i Ligjit për Komisionin e Pavarur për Media duhet të shtrijë kompetencat e tij </w:t>
      </w:r>
      <w:proofErr w:type="spellStart"/>
      <w:r w:rsidRPr="00A6284F">
        <w:rPr>
          <w:rFonts w:eastAsia="Times New Roman"/>
          <w:color w:val="000000"/>
          <w:spacing w:val="-1"/>
          <w:sz w:val="24"/>
          <w:lang w:val="sq-AL"/>
        </w:rPr>
        <w:t>rregullatore</w:t>
      </w:r>
      <w:proofErr w:type="spellEnd"/>
      <w:r w:rsidRPr="00A6284F">
        <w:rPr>
          <w:rFonts w:eastAsia="Times New Roman"/>
          <w:color w:val="000000"/>
          <w:spacing w:val="-1"/>
          <w:sz w:val="24"/>
          <w:lang w:val="sq-AL"/>
        </w:rPr>
        <w:t xml:space="preserve"> në shërbimet e mediave audio-vizuale në dispozicion në internet (p.sh. video sipas zgjedhjes</w:t>
      </w:r>
      <w:r w:rsidR="00974FDC" w:rsidRPr="00A6284F">
        <w:rPr>
          <w:rFonts w:eastAsia="Times New Roman"/>
          <w:color w:val="000000"/>
          <w:spacing w:val="-1"/>
          <w:sz w:val="24"/>
          <w:lang w:val="sq-AL"/>
        </w:rPr>
        <w:t xml:space="preserve"> </w:t>
      </w:r>
      <w:r w:rsidR="00C87679" w:rsidRPr="00A6284F">
        <w:rPr>
          <w:rFonts w:eastAsia="Times New Roman"/>
          <w:color w:val="000000"/>
          <w:spacing w:val="-1"/>
          <w:sz w:val="24"/>
          <w:lang w:val="sq-AL"/>
        </w:rPr>
        <w:t>“</w:t>
      </w:r>
      <w:proofErr w:type="spellStart"/>
      <w:r w:rsidR="00974FDC" w:rsidRPr="00A6284F">
        <w:rPr>
          <w:rFonts w:eastAsia="Times New Roman"/>
          <w:color w:val="000000"/>
          <w:spacing w:val="-1"/>
          <w:sz w:val="24"/>
          <w:lang w:val="sq-AL"/>
        </w:rPr>
        <w:t>VoD</w:t>
      </w:r>
      <w:proofErr w:type="spellEnd"/>
      <w:r w:rsidR="00C87679" w:rsidRPr="00A6284F">
        <w:rPr>
          <w:rFonts w:eastAsia="Times New Roman"/>
          <w:color w:val="000000"/>
          <w:spacing w:val="-1"/>
          <w:sz w:val="24"/>
          <w:lang w:val="sq-AL"/>
        </w:rPr>
        <w:t>”</w:t>
      </w:r>
      <w:r w:rsidR="00974FDC"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 </w:t>
      </w:r>
      <w:r w:rsidR="00C87679" w:rsidRPr="00A6284F">
        <w:rPr>
          <w:rFonts w:eastAsia="Times New Roman"/>
          <w:color w:val="000000"/>
          <w:spacing w:val="-1"/>
          <w:sz w:val="24"/>
          <w:lang w:val="sq-AL"/>
        </w:rPr>
        <w:t>“</w:t>
      </w:r>
      <w:proofErr w:type="spellStart"/>
      <w:r w:rsidRPr="00A6284F">
        <w:rPr>
          <w:rFonts w:eastAsia="Times New Roman"/>
          <w:color w:val="000000"/>
          <w:spacing w:val="-1"/>
          <w:sz w:val="24"/>
          <w:lang w:val="sq-AL"/>
        </w:rPr>
        <w:t>catch-up</w:t>
      </w:r>
      <w:proofErr w:type="spellEnd"/>
      <w:r w:rsidRPr="00A6284F">
        <w:rPr>
          <w:rFonts w:eastAsia="Times New Roman"/>
          <w:color w:val="000000"/>
          <w:spacing w:val="-1"/>
          <w:sz w:val="24"/>
          <w:lang w:val="sq-AL"/>
        </w:rPr>
        <w:t xml:space="preserve"> TV</w:t>
      </w:r>
      <w:r w:rsidR="00C87679" w:rsidRPr="00A6284F">
        <w:rPr>
          <w:rFonts w:eastAsia="Times New Roman"/>
          <w:color w:val="000000"/>
          <w:spacing w:val="-1"/>
          <w:sz w:val="24"/>
          <w:lang w:val="sq-AL"/>
        </w:rPr>
        <w:t xml:space="preserve">” </w:t>
      </w:r>
      <w:r w:rsidRPr="00A6284F">
        <w:rPr>
          <w:rFonts w:eastAsia="Times New Roman"/>
          <w:color w:val="000000"/>
          <w:spacing w:val="-1"/>
          <w:sz w:val="24"/>
          <w:lang w:val="sq-AL"/>
        </w:rPr>
        <w:t xml:space="preserve">dhe TV kabllor), të cilat mbulohen nga Direktiva për Shërbimet e Medias </w:t>
      </w:r>
      <w:proofErr w:type="spellStart"/>
      <w:r w:rsidRPr="00A6284F">
        <w:rPr>
          <w:rFonts w:eastAsia="Times New Roman"/>
          <w:color w:val="000000"/>
          <w:spacing w:val="-1"/>
          <w:sz w:val="24"/>
          <w:lang w:val="sq-AL"/>
        </w:rPr>
        <w:t>Audiovizuale</w:t>
      </w:r>
      <w:proofErr w:type="spellEnd"/>
      <w:r w:rsidRPr="00A6284F">
        <w:rPr>
          <w:rFonts w:eastAsia="Times New Roman"/>
          <w:color w:val="000000"/>
          <w:spacing w:val="-1"/>
          <w:sz w:val="24"/>
          <w:lang w:val="sq-AL"/>
        </w:rPr>
        <w:t xml:space="preserve">. Përveç kësaj, Komisioni i Pavarur për Media duhet të ketë stafin dhe fondet adekuate për të vepruar në mënyrë të pavarur. Kosova duhet të përshpejtojë përpjekjet e saj dhe të sigurojë që kalimi në sistemin digjital të bëhet në transparencë të plotë dhe në përputhje me standardet e BE-së. Transmetuesi publik, Radio Televizioni i Kosovës (RTK), mbetet i financuar drejtpërdrejt nga shteti, </w:t>
      </w:r>
      <w:r w:rsidR="00C87679" w:rsidRPr="00A6284F">
        <w:rPr>
          <w:rFonts w:eastAsia="Times New Roman"/>
          <w:color w:val="000000"/>
          <w:spacing w:val="-1"/>
          <w:sz w:val="24"/>
          <w:lang w:val="sq-AL"/>
        </w:rPr>
        <w:t xml:space="preserve">ku </w:t>
      </w:r>
      <w:r w:rsidRPr="00A6284F">
        <w:rPr>
          <w:rFonts w:eastAsia="Times New Roman"/>
          <w:color w:val="000000"/>
          <w:spacing w:val="-1"/>
          <w:sz w:val="24"/>
          <w:lang w:val="sq-AL"/>
        </w:rPr>
        <w:t xml:space="preserve">buxheti </w:t>
      </w:r>
      <w:r w:rsidR="00C87679" w:rsidRPr="00A6284F">
        <w:rPr>
          <w:rFonts w:eastAsia="Times New Roman"/>
          <w:color w:val="000000"/>
          <w:spacing w:val="-1"/>
          <w:sz w:val="24"/>
          <w:lang w:val="sq-AL"/>
        </w:rPr>
        <w:t>i</w:t>
      </w:r>
      <w:r w:rsidRPr="00A6284F">
        <w:rPr>
          <w:rFonts w:eastAsia="Times New Roman"/>
          <w:color w:val="000000"/>
          <w:spacing w:val="-1"/>
          <w:sz w:val="24"/>
          <w:lang w:val="sq-AL"/>
        </w:rPr>
        <w:t xml:space="preserve"> tij përcakt</w:t>
      </w:r>
      <w:r w:rsidR="00C87679" w:rsidRPr="00A6284F">
        <w:rPr>
          <w:rFonts w:eastAsia="Times New Roman"/>
          <w:color w:val="000000"/>
          <w:spacing w:val="-1"/>
          <w:sz w:val="24"/>
          <w:lang w:val="sq-AL"/>
        </w:rPr>
        <w:t xml:space="preserve">ohet </w:t>
      </w:r>
      <w:r w:rsidRPr="00A6284F">
        <w:rPr>
          <w:rFonts w:eastAsia="Times New Roman"/>
          <w:color w:val="000000"/>
          <w:spacing w:val="-1"/>
          <w:sz w:val="24"/>
          <w:lang w:val="sq-AL"/>
        </w:rPr>
        <w:t xml:space="preserve">çdo vit nga </w:t>
      </w:r>
      <w:r w:rsidR="00C87679" w:rsidRPr="00A6284F">
        <w:rPr>
          <w:rFonts w:eastAsia="Times New Roman"/>
          <w:color w:val="000000"/>
          <w:spacing w:val="-1"/>
          <w:sz w:val="24"/>
          <w:lang w:val="sq-AL"/>
        </w:rPr>
        <w:t>k</w:t>
      </w:r>
      <w:r w:rsidRPr="00A6284F">
        <w:rPr>
          <w:rFonts w:eastAsia="Times New Roman"/>
          <w:color w:val="000000"/>
          <w:spacing w:val="-1"/>
          <w:sz w:val="24"/>
          <w:lang w:val="sq-AL"/>
        </w:rPr>
        <w:t xml:space="preserve">uvendi. Kjo e minon pavarësinë e tij redaktuese, dobëson qëndrueshmërinë afatgjate dhe e lë atë të </w:t>
      </w:r>
      <w:proofErr w:type="spellStart"/>
      <w:r w:rsidRPr="00A6284F">
        <w:rPr>
          <w:rFonts w:eastAsia="Times New Roman"/>
          <w:color w:val="000000"/>
          <w:spacing w:val="-1"/>
          <w:sz w:val="24"/>
          <w:lang w:val="sq-AL"/>
        </w:rPr>
        <w:t>prirur</w:t>
      </w:r>
      <w:proofErr w:type="spellEnd"/>
      <w:r w:rsidRPr="00A6284F">
        <w:rPr>
          <w:rFonts w:eastAsia="Times New Roman"/>
          <w:color w:val="000000"/>
          <w:spacing w:val="-1"/>
          <w:sz w:val="24"/>
          <w:lang w:val="sq-AL"/>
        </w:rPr>
        <w:t xml:space="preserve"> ndaj ndikimit politik. Kuvendi ka hartuar një Ligj të ri për transmetuesin publik, duke përfshirë një zgjidhje të mundshme për financim të qëndrueshëm për RTK-në.</w:t>
      </w:r>
    </w:p>
    <w:p w:rsidR="000A4761" w:rsidRPr="00A6284F" w:rsidRDefault="000A4761" w:rsidP="000A4761">
      <w:pPr>
        <w:spacing w:before="130" w:after="113" w:line="271" w:lineRule="exact"/>
        <w:ind w:left="144"/>
        <w:textAlignment w:val="baseline"/>
        <w:rPr>
          <w:rFonts w:eastAsia="Times New Roman"/>
          <w:b/>
          <w:color w:val="000000"/>
          <w:spacing w:val="10"/>
          <w:sz w:val="24"/>
          <w:lang w:val="sq-AL"/>
        </w:rPr>
      </w:pPr>
      <w:r w:rsidRPr="00A6284F">
        <w:rPr>
          <w:rFonts w:eastAsia="Times New Roman"/>
          <w:b/>
          <w:color w:val="000000"/>
          <w:spacing w:val="10"/>
          <w:sz w:val="24"/>
          <w:lang w:val="sq-AL"/>
        </w:rPr>
        <w:t>6.25 Kontrolli financiar</w:t>
      </w:r>
    </w:p>
    <w:p w:rsidR="000A4761" w:rsidRPr="00A6284F" w:rsidRDefault="000A4761" w:rsidP="000A4761">
      <w:pPr>
        <w:pBdr>
          <w:top w:val="single" w:sz="5" w:space="0" w:color="000000"/>
          <w:left w:val="single" w:sz="5" w:space="7" w:color="000000"/>
          <w:bottom w:val="single" w:sz="5" w:space="0" w:color="000000"/>
          <w:right w:val="single" w:sz="5" w:space="7" w:color="000000"/>
        </w:pBdr>
        <w:shd w:val="solid" w:color="D9D9D9" w:fill="D9D9D9"/>
        <w:spacing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Kosova </w:t>
      </w:r>
      <w:r w:rsidRPr="00A6284F">
        <w:rPr>
          <w:rFonts w:eastAsia="Times New Roman"/>
          <w:b/>
          <w:color w:val="000000"/>
          <w:spacing w:val="1"/>
          <w:sz w:val="24"/>
          <w:lang w:val="sq-AL"/>
        </w:rPr>
        <w:t xml:space="preserve">ka një nivel të përgatitjes </w:t>
      </w:r>
      <w:r w:rsidRPr="00A6284F">
        <w:rPr>
          <w:rFonts w:eastAsia="Times New Roman"/>
          <w:color w:val="000000"/>
          <w:spacing w:val="1"/>
          <w:sz w:val="24"/>
          <w:lang w:val="sq-AL"/>
        </w:rPr>
        <w:t xml:space="preserve">në fushën e kontrollit financiar. Ka pasur </w:t>
      </w:r>
      <w:r w:rsidRPr="00A6284F">
        <w:rPr>
          <w:rFonts w:eastAsia="Times New Roman"/>
          <w:b/>
          <w:color w:val="000000"/>
          <w:spacing w:val="1"/>
          <w:sz w:val="24"/>
          <w:lang w:val="sq-AL"/>
        </w:rPr>
        <w:t xml:space="preserve">progres të mirë </w:t>
      </w:r>
      <w:r w:rsidR="00C87679" w:rsidRPr="00A6284F">
        <w:rPr>
          <w:rFonts w:eastAsia="Times New Roman"/>
          <w:b/>
          <w:color w:val="000000"/>
          <w:spacing w:val="1"/>
          <w:sz w:val="24"/>
          <w:lang w:val="sq-AL"/>
        </w:rPr>
        <w:t>në</w:t>
      </w:r>
      <w:r w:rsidRPr="00A6284F">
        <w:rPr>
          <w:rFonts w:eastAsia="Times New Roman"/>
          <w:color w:val="000000"/>
          <w:spacing w:val="1"/>
          <w:sz w:val="24"/>
          <w:lang w:val="sq-AL"/>
        </w:rPr>
        <w:t xml:space="preserve"> miratimin e ligjit për kontrollin e brendshëm </w:t>
      </w:r>
      <w:r w:rsidR="007711B1" w:rsidRPr="00A6284F">
        <w:rPr>
          <w:rFonts w:eastAsia="Times New Roman"/>
          <w:color w:val="000000"/>
          <w:spacing w:val="1"/>
          <w:sz w:val="24"/>
          <w:lang w:val="sq-AL"/>
        </w:rPr>
        <w:t>f</w:t>
      </w:r>
      <w:r w:rsidRPr="00A6284F">
        <w:rPr>
          <w:rFonts w:eastAsia="Times New Roman"/>
          <w:color w:val="000000"/>
          <w:spacing w:val="1"/>
          <w:sz w:val="24"/>
          <w:lang w:val="sq-AL"/>
        </w:rPr>
        <w:t>inanc</w:t>
      </w:r>
      <w:r w:rsidR="007711B1" w:rsidRPr="00A6284F">
        <w:rPr>
          <w:rFonts w:eastAsia="Times New Roman"/>
          <w:color w:val="000000"/>
          <w:spacing w:val="1"/>
          <w:sz w:val="24"/>
          <w:lang w:val="sq-AL"/>
        </w:rPr>
        <w:t xml:space="preserve">iar </w:t>
      </w:r>
      <w:r w:rsidRPr="00A6284F">
        <w:rPr>
          <w:rFonts w:eastAsia="Times New Roman"/>
          <w:color w:val="000000"/>
          <w:spacing w:val="1"/>
          <w:sz w:val="24"/>
          <w:lang w:val="sq-AL"/>
        </w:rPr>
        <w:t>publik (</w:t>
      </w:r>
      <w:r w:rsidR="007711B1" w:rsidRPr="00A6284F">
        <w:rPr>
          <w:rFonts w:eastAsia="Times New Roman"/>
          <w:color w:val="000000"/>
          <w:spacing w:val="1"/>
          <w:sz w:val="24"/>
          <w:lang w:val="sq-AL"/>
        </w:rPr>
        <w:t>KBFP</w:t>
      </w:r>
      <w:r w:rsidRPr="00A6284F">
        <w:rPr>
          <w:rFonts w:eastAsia="Times New Roman"/>
          <w:color w:val="000000"/>
          <w:spacing w:val="1"/>
          <w:sz w:val="24"/>
          <w:lang w:val="sq-AL"/>
        </w:rPr>
        <w:t>) dhe disa</w:t>
      </w:r>
      <w:r w:rsidR="00171163" w:rsidRPr="00A6284F">
        <w:rPr>
          <w:rFonts w:eastAsia="Times New Roman"/>
          <w:color w:val="000000"/>
          <w:spacing w:val="1"/>
          <w:sz w:val="24"/>
          <w:lang w:val="sq-AL"/>
        </w:rPr>
        <w:t xml:space="preserve"> pjesë të </w:t>
      </w:r>
      <w:r w:rsidRPr="00A6284F">
        <w:rPr>
          <w:rFonts w:eastAsia="Times New Roman"/>
          <w:color w:val="000000"/>
          <w:spacing w:val="1"/>
          <w:sz w:val="24"/>
          <w:lang w:val="sq-AL"/>
        </w:rPr>
        <w:t>legjislacioni</w:t>
      </w:r>
      <w:r w:rsidR="00171163" w:rsidRPr="00A6284F">
        <w:rPr>
          <w:rFonts w:eastAsia="Times New Roman"/>
          <w:color w:val="000000"/>
          <w:spacing w:val="1"/>
          <w:sz w:val="24"/>
          <w:lang w:val="sq-AL"/>
        </w:rPr>
        <w:t>t</w:t>
      </w:r>
      <w:r w:rsidRPr="00A6284F">
        <w:rPr>
          <w:rFonts w:eastAsia="Times New Roman"/>
          <w:color w:val="000000"/>
          <w:spacing w:val="1"/>
          <w:sz w:val="24"/>
          <w:lang w:val="sq-AL"/>
        </w:rPr>
        <w:t xml:space="preserve"> </w:t>
      </w:r>
      <w:r w:rsidR="00171163" w:rsidRPr="00A6284F">
        <w:rPr>
          <w:rFonts w:eastAsia="Times New Roman"/>
          <w:color w:val="000000"/>
          <w:spacing w:val="1"/>
          <w:sz w:val="24"/>
          <w:lang w:val="sq-AL"/>
        </w:rPr>
        <w:t xml:space="preserve">të </w:t>
      </w:r>
      <w:r w:rsidRPr="00A6284F">
        <w:rPr>
          <w:rFonts w:eastAsia="Times New Roman"/>
          <w:color w:val="000000"/>
          <w:spacing w:val="1"/>
          <w:sz w:val="24"/>
          <w:lang w:val="sq-AL"/>
        </w:rPr>
        <w:t xml:space="preserve">tij sekondar, </w:t>
      </w:r>
      <w:r w:rsidR="00171163" w:rsidRPr="00A6284F">
        <w:rPr>
          <w:rFonts w:eastAsia="Times New Roman"/>
          <w:color w:val="000000"/>
          <w:spacing w:val="1"/>
          <w:sz w:val="24"/>
          <w:lang w:val="sq-AL"/>
        </w:rPr>
        <w:t xml:space="preserve">si dhe </w:t>
      </w:r>
      <w:r w:rsidRPr="00A6284F">
        <w:rPr>
          <w:rFonts w:eastAsia="Times New Roman"/>
          <w:color w:val="000000"/>
          <w:spacing w:val="1"/>
          <w:sz w:val="24"/>
          <w:lang w:val="sq-AL"/>
        </w:rPr>
        <w:t>pilotimi i mëtejshëm i rishikimeve të cilësisë së kontrollit të brendshëm nga Njësia Qendrore</w:t>
      </w:r>
      <w:r w:rsidR="00171163" w:rsidRPr="00A6284F">
        <w:rPr>
          <w:rFonts w:eastAsia="Times New Roman"/>
          <w:color w:val="000000"/>
          <w:spacing w:val="1"/>
          <w:sz w:val="24"/>
          <w:lang w:val="sq-AL"/>
        </w:rPr>
        <w:t xml:space="preserve"> për</w:t>
      </w:r>
      <w:r w:rsidRPr="00A6284F">
        <w:rPr>
          <w:rFonts w:eastAsia="Times New Roman"/>
          <w:color w:val="000000"/>
          <w:spacing w:val="1"/>
          <w:sz w:val="24"/>
          <w:lang w:val="sq-AL"/>
        </w:rPr>
        <w:t xml:space="preserve"> Harmonizim, miratimi i planit strategjik të zhvillimit 2018-2021 të Zyrës Kombëtare të Auditimit dhe </w:t>
      </w:r>
      <w:r w:rsidR="00171163" w:rsidRPr="00A6284F">
        <w:rPr>
          <w:rFonts w:eastAsia="Times New Roman"/>
          <w:color w:val="000000"/>
          <w:spacing w:val="1"/>
          <w:sz w:val="24"/>
          <w:lang w:val="sq-AL"/>
        </w:rPr>
        <w:t>rritja e punës në auditimin e performancës</w:t>
      </w:r>
      <w:r w:rsidRPr="00A6284F">
        <w:rPr>
          <w:rFonts w:eastAsia="Times New Roman"/>
          <w:color w:val="000000"/>
          <w:spacing w:val="1"/>
          <w:sz w:val="24"/>
          <w:lang w:val="sq-AL"/>
        </w:rPr>
        <w:t xml:space="preserve">. Megjithatë, nevojiten përpjekje të mëtejshme për të zbatuar llogaridhënien </w:t>
      </w:r>
      <w:proofErr w:type="spellStart"/>
      <w:r w:rsidRPr="00A6284F">
        <w:rPr>
          <w:rFonts w:eastAsia="Times New Roman"/>
          <w:color w:val="000000"/>
          <w:spacing w:val="1"/>
          <w:sz w:val="24"/>
          <w:lang w:val="sq-AL"/>
        </w:rPr>
        <w:t>menaxheriale</w:t>
      </w:r>
      <w:proofErr w:type="spellEnd"/>
      <w:r w:rsidRPr="00A6284F">
        <w:rPr>
          <w:rFonts w:eastAsia="Times New Roman"/>
          <w:color w:val="000000"/>
          <w:spacing w:val="1"/>
          <w:sz w:val="24"/>
          <w:lang w:val="sq-AL"/>
        </w:rPr>
        <w:t xml:space="preserve">, duke përfshirë delegimin e autoritetit vendimmarrës dhe për të forcuar funksionimin e kontrollit dhe auditimit të brendshëm. Mbështetja politike e nivelit të lartë do të mbetet instrument për zbatimin e </w:t>
      </w:r>
      <w:r w:rsidR="007711B1" w:rsidRPr="00A6284F">
        <w:rPr>
          <w:rFonts w:eastAsia="Times New Roman"/>
          <w:color w:val="000000"/>
          <w:spacing w:val="1"/>
          <w:sz w:val="24"/>
          <w:lang w:val="sq-AL"/>
        </w:rPr>
        <w:t xml:space="preserve">KBFP </w:t>
      </w:r>
      <w:r w:rsidRPr="00A6284F">
        <w:rPr>
          <w:rFonts w:eastAsia="Times New Roman"/>
          <w:color w:val="000000"/>
          <w:spacing w:val="1"/>
          <w:sz w:val="24"/>
          <w:lang w:val="sq-AL"/>
        </w:rPr>
        <w:t xml:space="preserve">në të gjitha nivelet e administratës. </w:t>
      </w:r>
      <w:r w:rsidR="00171163" w:rsidRPr="00A6284F">
        <w:rPr>
          <w:rFonts w:eastAsia="Times New Roman"/>
          <w:color w:val="000000"/>
          <w:spacing w:val="1"/>
          <w:sz w:val="24"/>
          <w:lang w:val="sq-AL"/>
        </w:rPr>
        <w:t>D</w:t>
      </w:r>
      <w:r w:rsidR="00171163" w:rsidRPr="00A6284F">
        <w:rPr>
          <w:rFonts w:eastAsia="Times New Roman"/>
          <w:color w:val="000000"/>
          <w:spacing w:val="1"/>
          <w:sz w:val="24"/>
          <w:lang w:val="sq-AL"/>
        </w:rPr>
        <w:t>uhet</w:t>
      </w:r>
      <w:r w:rsidR="00171163" w:rsidRPr="00A6284F">
        <w:rPr>
          <w:rFonts w:eastAsia="Times New Roman"/>
          <w:color w:val="000000"/>
          <w:spacing w:val="1"/>
          <w:sz w:val="24"/>
          <w:lang w:val="sq-AL"/>
        </w:rPr>
        <w:t xml:space="preserve"> </w:t>
      </w:r>
      <w:r w:rsidR="00171163" w:rsidRPr="00A6284F">
        <w:rPr>
          <w:rFonts w:eastAsia="Times New Roman"/>
          <w:color w:val="000000"/>
          <w:spacing w:val="1"/>
          <w:sz w:val="24"/>
          <w:lang w:val="sq-AL"/>
        </w:rPr>
        <w:t>të përmirësohet</w:t>
      </w:r>
      <w:r w:rsidR="00171163" w:rsidRPr="00A6284F">
        <w:rPr>
          <w:rFonts w:eastAsia="Times New Roman"/>
          <w:color w:val="000000"/>
          <w:spacing w:val="1"/>
          <w:sz w:val="24"/>
          <w:lang w:val="sq-AL"/>
        </w:rPr>
        <w:t xml:space="preserve"> z</w:t>
      </w:r>
      <w:r w:rsidRPr="00A6284F">
        <w:rPr>
          <w:rFonts w:eastAsia="Times New Roman"/>
          <w:color w:val="000000"/>
          <w:spacing w:val="1"/>
          <w:sz w:val="24"/>
          <w:lang w:val="sq-AL"/>
        </w:rPr>
        <w:t>batimi në kohë i rekomandimeve të auditimit të brendshëm dhe të jashtëm.</w:t>
      </w:r>
    </w:p>
    <w:p w:rsidR="000A4761" w:rsidRPr="00A6284F" w:rsidRDefault="000A4761" w:rsidP="000A4761">
      <w:pPr>
        <w:rPr>
          <w:lang w:val="sq-AL"/>
        </w:rPr>
        <w:sectPr w:rsidR="000A4761" w:rsidRPr="00A6284F">
          <w:pgSz w:w="11909" w:h="16838"/>
          <w:pgMar w:top="1400" w:right="1274" w:bottom="562" w:left="1275" w:header="720" w:footer="720" w:gutter="0"/>
          <w:cols w:space="720"/>
        </w:sectPr>
      </w:pPr>
    </w:p>
    <w:p w:rsidR="000A4761" w:rsidRPr="00A6284F" w:rsidRDefault="000A4761" w:rsidP="000A4761">
      <w:pPr>
        <w:spacing w:before="139" w:line="288" w:lineRule="exact"/>
        <w:textAlignment w:val="baseline"/>
        <w:rPr>
          <w:rFonts w:eastAsia="Times New Roman"/>
          <w:color w:val="000000"/>
          <w:sz w:val="24"/>
          <w:lang w:val="sq-AL"/>
        </w:rPr>
      </w:pPr>
    </w:p>
    <w:p w:rsidR="000A4761" w:rsidRPr="00A6284F" w:rsidRDefault="000A4761" w:rsidP="000A4761">
      <w:pPr>
        <w:rPr>
          <w:lang w:val="sq-AL"/>
        </w:rPr>
        <w:sectPr w:rsidR="000A4761" w:rsidRPr="00A6284F">
          <w:type w:val="continuous"/>
          <w:pgSz w:w="11909" w:h="16838"/>
          <w:pgMar w:top="1400" w:right="1274" w:bottom="562" w:left="1272"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0A4761" w:rsidRPr="00A6284F" w:rsidTr="000A4761">
        <w:trPr>
          <w:trHeight w:hRule="exact" w:val="1874"/>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0A4761" w:rsidRPr="00A6284F" w:rsidRDefault="000A4761" w:rsidP="000A4761">
            <w:pPr>
              <w:spacing w:before="38" w:line="276" w:lineRule="exact"/>
              <w:ind w:left="144"/>
              <w:textAlignment w:val="baseline"/>
              <w:rPr>
                <w:rFonts w:eastAsia="Times New Roman"/>
                <w:color w:val="000000"/>
                <w:sz w:val="24"/>
                <w:lang w:val="sq-AL"/>
              </w:rPr>
            </w:pPr>
            <w:r w:rsidRPr="00A6284F">
              <w:rPr>
                <w:rFonts w:eastAsia="Times New Roman"/>
                <w:color w:val="000000"/>
                <w:sz w:val="24"/>
                <w:lang w:val="sq-AL"/>
              </w:rPr>
              <w:lastRenderedPageBreak/>
              <w:t>Në vitin e ardhshëm, Kosova duhet posaçërisht:</w:t>
            </w:r>
          </w:p>
          <w:p w:rsidR="000A4761" w:rsidRPr="00A6284F" w:rsidRDefault="000A4761" w:rsidP="000A4761">
            <w:pPr>
              <w:spacing w:before="134" w:line="276" w:lineRule="exact"/>
              <w:ind w:left="504" w:right="144" w:hanging="360"/>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miratojë një dokument të ri të strategjisë afatmesme </w:t>
            </w:r>
            <w:r w:rsidR="007711B1" w:rsidRPr="00A6284F">
              <w:rPr>
                <w:rFonts w:eastAsia="Times New Roman"/>
                <w:color w:val="000000"/>
                <w:sz w:val="24"/>
                <w:lang w:val="sq-AL"/>
              </w:rPr>
              <w:t xml:space="preserve">për KBFP </w:t>
            </w:r>
            <w:r w:rsidRPr="00A6284F">
              <w:rPr>
                <w:rFonts w:eastAsia="Times New Roman"/>
                <w:color w:val="000000"/>
                <w:sz w:val="24"/>
                <w:lang w:val="sq-AL"/>
              </w:rPr>
              <w:t xml:space="preserve">me fokus të veçantë në përcaktimin dhe zbatimin e përgjegjësisë </w:t>
            </w:r>
            <w:proofErr w:type="spellStart"/>
            <w:r w:rsidRPr="00A6284F">
              <w:rPr>
                <w:rFonts w:eastAsia="Times New Roman"/>
                <w:color w:val="000000"/>
                <w:sz w:val="24"/>
                <w:lang w:val="sq-AL"/>
              </w:rPr>
              <w:t>menaxheriale</w:t>
            </w:r>
            <w:proofErr w:type="spellEnd"/>
            <w:r w:rsidRPr="00A6284F">
              <w:rPr>
                <w:rFonts w:eastAsia="Times New Roman"/>
                <w:color w:val="000000"/>
                <w:sz w:val="24"/>
                <w:lang w:val="sq-AL"/>
              </w:rPr>
              <w:t>;</w:t>
            </w:r>
          </w:p>
          <w:p w:rsidR="000A4761" w:rsidRPr="00A6284F" w:rsidRDefault="000A4761" w:rsidP="007711B1">
            <w:pPr>
              <w:spacing w:before="134" w:line="276" w:lineRule="exact"/>
              <w:ind w:left="504" w:right="144" w:hanging="360"/>
              <w:textAlignment w:val="baseline"/>
              <w:rPr>
                <w:rFonts w:eastAsia="Times New Roman"/>
                <w:color w:val="000000"/>
                <w:sz w:val="24"/>
                <w:lang w:val="sq-AL"/>
              </w:rPr>
            </w:pPr>
            <w:r w:rsidRPr="00A6284F">
              <w:rPr>
                <w:rFonts w:eastAsia="Times New Roman"/>
                <w:color w:val="000000"/>
                <w:sz w:val="24"/>
                <w:lang w:val="sq-AL"/>
              </w:rPr>
              <w:t xml:space="preserve">-* të miratojë legjislacionin sekondar që rrjedh nga ligji i ri për </w:t>
            </w:r>
            <w:r w:rsidR="007711B1" w:rsidRPr="00A6284F">
              <w:rPr>
                <w:rFonts w:eastAsia="Times New Roman"/>
                <w:color w:val="000000"/>
                <w:sz w:val="24"/>
                <w:lang w:val="sq-AL"/>
              </w:rPr>
              <w:t>KBFP</w:t>
            </w:r>
            <w:r w:rsidRPr="00A6284F">
              <w:rPr>
                <w:rFonts w:eastAsia="Times New Roman"/>
                <w:color w:val="000000"/>
                <w:sz w:val="24"/>
                <w:lang w:val="sq-AL"/>
              </w:rPr>
              <w:t>;</w:t>
            </w:r>
          </w:p>
          <w:p w:rsidR="000A4761" w:rsidRPr="00A6284F" w:rsidRDefault="000A4761" w:rsidP="007711B1">
            <w:pPr>
              <w:spacing w:before="134" w:line="276" w:lineRule="exact"/>
              <w:ind w:left="504" w:right="144" w:hanging="360"/>
              <w:textAlignment w:val="baseline"/>
              <w:rPr>
                <w:rFonts w:ascii="Arial Narrow" w:eastAsia="Arial Narrow" w:hAnsi="Arial Narrow"/>
                <w:color w:val="000000"/>
                <w:spacing w:val="1"/>
                <w:lang w:val="sq-AL"/>
              </w:rPr>
            </w:pPr>
            <w:r w:rsidRPr="00A6284F">
              <w:rPr>
                <w:rFonts w:eastAsia="Times New Roman"/>
                <w:color w:val="000000"/>
                <w:sz w:val="24"/>
                <w:lang w:val="sq-AL"/>
              </w:rPr>
              <w:t>-* të sigurojë zbatimin më sistematik dhe në kohë të rekomandimeve të auditimit të jashtëm.</w:t>
            </w:r>
          </w:p>
        </w:tc>
      </w:tr>
    </w:tbl>
    <w:p w:rsidR="000A4761" w:rsidRPr="00A6284F" w:rsidRDefault="000A4761" w:rsidP="000A4761">
      <w:pPr>
        <w:spacing w:after="97" w:line="20" w:lineRule="exact"/>
        <w:rPr>
          <w:lang w:val="sq-AL"/>
        </w:rPr>
      </w:pPr>
    </w:p>
    <w:p w:rsidR="000A4761" w:rsidRPr="00A6284F" w:rsidRDefault="000A4761" w:rsidP="000A4761">
      <w:pPr>
        <w:spacing w:before="3"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 xml:space="preserve">Kontrolli i brendshëm </w:t>
      </w:r>
      <w:r w:rsidR="007711B1" w:rsidRPr="00A6284F">
        <w:rPr>
          <w:rFonts w:eastAsia="Times New Roman"/>
          <w:color w:val="000000"/>
          <w:sz w:val="24"/>
          <w:u w:val="single"/>
          <w:lang w:val="sq-AL"/>
        </w:rPr>
        <w:t>financiar publik</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 xml:space="preserve">Korniza strategjike </w:t>
      </w:r>
      <w:r w:rsidRPr="00A6284F">
        <w:rPr>
          <w:rFonts w:eastAsia="Times New Roman"/>
          <w:color w:val="000000"/>
          <w:sz w:val="24"/>
          <w:lang w:val="sq-AL"/>
        </w:rPr>
        <w:t xml:space="preserve">për </w:t>
      </w:r>
      <w:r w:rsidR="007711B1" w:rsidRPr="00A6284F">
        <w:rPr>
          <w:rFonts w:eastAsia="Times New Roman"/>
          <w:color w:val="000000"/>
          <w:sz w:val="24"/>
          <w:lang w:val="sq-AL"/>
        </w:rPr>
        <w:t>KBFP</w:t>
      </w:r>
      <w:r w:rsidRPr="00A6284F">
        <w:rPr>
          <w:rFonts w:eastAsia="Times New Roman"/>
          <w:color w:val="000000"/>
          <w:sz w:val="24"/>
          <w:lang w:val="sq-AL"/>
        </w:rPr>
        <w:t xml:space="preserve">-në është pjesërisht e vendosur; dokumenti i saj i politikave do të skadojë në fund të vitit 2019. Nga viti 2020 e tutje, Kosova duhet të zhvillojë një dokument gjithëpërfshirës të politikës së </w:t>
      </w:r>
      <w:r w:rsidR="007711B1" w:rsidRPr="00A6284F">
        <w:rPr>
          <w:rFonts w:eastAsia="Times New Roman"/>
          <w:color w:val="000000"/>
          <w:sz w:val="24"/>
          <w:lang w:val="sq-AL"/>
        </w:rPr>
        <w:t>KBFP</w:t>
      </w:r>
      <w:r w:rsidRPr="00A6284F">
        <w:rPr>
          <w:rFonts w:eastAsia="Times New Roman"/>
          <w:color w:val="000000"/>
          <w:sz w:val="24"/>
          <w:lang w:val="sq-AL"/>
        </w:rPr>
        <w:t xml:space="preserve">, duke u fokusuar në përcaktimin dhe zbatimin e përgjegjësisë </w:t>
      </w:r>
      <w:proofErr w:type="spellStart"/>
      <w:r w:rsidRPr="00A6284F">
        <w:rPr>
          <w:rFonts w:eastAsia="Times New Roman"/>
          <w:color w:val="000000"/>
          <w:sz w:val="24"/>
          <w:lang w:val="sq-AL"/>
        </w:rPr>
        <w:t>menaxheriale</w:t>
      </w:r>
      <w:proofErr w:type="spellEnd"/>
      <w:r w:rsidRPr="00A6284F">
        <w:rPr>
          <w:rFonts w:eastAsia="Times New Roman"/>
          <w:color w:val="000000"/>
          <w:sz w:val="24"/>
          <w:lang w:val="sq-AL"/>
        </w:rPr>
        <w:t xml:space="preserve">. </w:t>
      </w:r>
      <w:r w:rsidR="00F90126" w:rsidRPr="00A6284F">
        <w:rPr>
          <w:rFonts w:eastAsia="Times New Roman"/>
          <w:color w:val="000000"/>
          <w:sz w:val="24"/>
          <w:lang w:val="sq-AL"/>
        </w:rPr>
        <w:t>KBFP-ja,</w:t>
      </w:r>
      <w:r w:rsidRPr="00A6284F">
        <w:rPr>
          <w:rFonts w:eastAsia="Times New Roman"/>
          <w:color w:val="000000"/>
          <w:sz w:val="24"/>
          <w:lang w:val="sq-AL"/>
        </w:rPr>
        <w:t xml:space="preserve"> reforma e administratës publike dhe korniza strategjike e reformës së menaxhimit financiar publik duhet të harmonizohen dhe të krijohet një mekanizëm për bashkërendim, monitorim dhe raportim</w:t>
      </w:r>
      <w:r w:rsidR="00F90126" w:rsidRPr="00A6284F">
        <w:rPr>
          <w:rFonts w:eastAsia="Times New Roman"/>
          <w:color w:val="000000"/>
          <w:sz w:val="24"/>
          <w:lang w:val="sq-AL"/>
        </w:rPr>
        <w:t xml:space="preserve"> efektiv</w:t>
      </w:r>
      <w:r w:rsidRPr="00A6284F">
        <w:rPr>
          <w:rFonts w:eastAsia="Times New Roman"/>
          <w:color w:val="000000"/>
          <w:sz w:val="24"/>
          <w:lang w:val="sq-AL"/>
        </w:rPr>
        <w:t xml:space="preserve"> të reformave.</w:t>
      </w:r>
    </w:p>
    <w:p w:rsidR="000A4761" w:rsidRPr="00A6284F" w:rsidRDefault="000A4761" w:rsidP="000A4761">
      <w:pPr>
        <w:spacing w:before="121"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Kosova duhet të bëjë përpjekje të mëtejshme për të </w:t>
      </w:r>
      <w:r w:rsidR="00F90126" w:rsidRPr="00A6284F">
        <w:rPr>
          <w:rFonts w:eastAsia="Times New Roman"/>
          <w:color w:val="000000"/>
          <w:sz w:val="24"/>
          <w:lang w:val="sq-AL"/>
        </w:rPr>
        <w:t>mishëruar</w:t>
      </w:r>
      <w:r w:rsidRPr="00A6284F">
        <w:rPr>
          <w:rFonts w:eastAsia="Times New Roman"/>
          <w:color w:val="000000"/>
          <w:sz w:val="24"/>
          <w:lang w:val="sq-AL"/>
        </w:rPr>
        <w:t xml:space="preserve"> </w:t>
      </w:r>
      <w:r w:rsidRPr="00A6284F">
        <w:rPr>
          <w:rFonts w:eastAsia="Times New Roman"/>
          <w:b/>
          <w:color w:val="000000"/>
          <w:sz w:val="24"/>
          <w:lang w:val="sq-AL"/>
        </w:rPr>
        <w:t xml:space="preserve">llogaridhënien </w:t>
      </w:r>
      <w:proofErr w:type="spellStart"/>
      <w:r w:rsidRPr="00A6284F">
        <w:rPr>
          <w:rFonts w:eastAsia="Times New Roman"/>
          <w:b/>
          <w:color w:val="000000"/>
          <w:sz w:val="24"/>
          <w:lang w:val="sq-AL"/>
        </w:rPr>
        <w:t>menaxheriale</w:t>
      </w:r>
      <w:proofErr w:type="spellEnd"/>
      <w:r w:rsidRPr="00A6284F">
        <w:rPr>
          <w:rFonts w:eastAsia="Times New Roman"/>
          <w:color w:val="000000"/>
          <w:sz w:val="24"/>
          <w:lang w:val="sq-AL"/>
        </w:rPr>
        <w:t xml:space="preserve"> në kulturën administrative. Aktualisht ka pak delegim të vendimmarrjes për menaxhimin e mesëm brenda institucioneve. Llogaridhënia </w:t>
      </w:r>
      <w:proofErr w:type="spellStart"/>
      <w:r w:rsidRPr="00A6284F">
        <w:rPr>
          <w:rFonts w:eastAsia="Times New Roman"/>
          <w:color w:val="000000"/>
          <w:sz w:val="24"/>
          <w:lang w:val="sq-AL"/>
        </w:rPr>
        <w:t>menaxheriale</w:t>
      </w:r>
      <w:proofErr w:type="spellEnd"/>
      <w:r w:rsidRPr="00A6284F">
        <w:rPr>
          <w:rFonts w:eastAsia="Times New Roman"/>
          <w:color w:val="000000"/>
          <w:sz w:val="24"/>
          <w:lang w:val="sq-AL"/>
        </w:rPr>
        <w:t xml:space="preserve"> kufizohet tutje nga një fokus primar në pajtueshmëri dhe jo në performancë. Qeveria ka filluar zbatimin e planit të veprimit për racionalizimin e agjencive, i cili u miratua në qershor të vitit 2018. Kjo pritet të përmirësojë llogaridhënien mes institucioneve duke ulur numrin e lartë të agjencive (gjysmë) të pavarura dhe duke futur një mbikëqyrje më të mirë dhe linja raportuese (</w:t>
      </w:r>
      <w:r w:rsidRPr="00A6284F">
        <w:rPr>
          <w:rFonts w:eastAsia="Times New Roman"/>
          <w:i/>
          <w:color w:val="000000"/>
          <w:sz w:val="24"/>
          <w:lang w:val="sq-AL"/>
        </w:rPr>
        <w:t>Shih seksionin për Reformën e Administratës Publike</w:t>
      </w:r>
      <w:r w:rsidRPr="00A6284F">
        <w:rPr>
          <w:rFonts w:eastAsia="Times New Roman"/>
          <w:color w:val="000000"/>
          <w:sz w:val="24"/>
          <w:lang w:val="sq-AL"/>
        </w:rPr>
        <w:t>).</w:t>
      </w:r>
    </w:p>
    <w:p w:rsidR="000A4761" w:rsidRPr="00A6284F" w:rsidRDefault="000A4761" w:rsidP="000A4761">
      <w:pPr>
        <w:spacing w:before="119"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Ligji i ri i </w:t>
      </w:r>
      <w:r w:rsidR="00F90126" w:rsidRPr="00A6284F">
        <w:rPr>
          <w:rFonts w:eastAsia="Times New Roman"/>
          <w:color w:val="000000"/>
          <w:sz w:val="24"/>
          <w:lang w:val="sq-AL"/>
        </w:rPr>
        <w:t>KBFP</w:t>
      </w:r>
      <w:r w:rsidRPr="00A6284F">
        <w:rPr>
          <w:rFonts w:eastAsia="Times New Roman"/>
          <w:color w:val="000000"/>
          <w:sz w:val="24"/>
          <w:lang w:val="sq-AL"/>
        </w:rPr>
        <w:t xml:space="preserve">, i miratuar në prill të vitit 2018, siguron një bazë të mirë për </w:t>
      </w:r>
      <w:r w:rsidRPr="00A6284F">
        <w:rPr>
          <w:rFonts w:eastAsia="Times New Roman"/>
          <w:b/>
          <w:color w:val="000000"/>
          <w:sz w:val="24"/>
          <w:lang w:val="sq-AL"/>
        </w:rPr>
        <w:t>zbatimin e kontrollit të brendshëm</w:t>
      </w:r>
      <w:r w:rsidRPr="00A6284F">
        <w:rPr>
          <w:rFonts w:eastAsia="Times New Roman"/>
          <w:color w:val="000000"/>
          <w:sz w:val="24"/>
          <w:lang w:val="sq-AL"/>
        </w:rPr>
        <w:t xml:space="preserve"> dhe është në përputhje me standardet ndërkombëtare. Disa pjesë të legjislacionit sekondar ende duhet të miratohen. Aplikimi i menaxhimit të rrezikut është ende në fazë të hershme, ku menaxhimi i parregullsisë dhe raportimi duhet gjithashtu të zhvillohen tutje. Ligji i ri për sinjalizuesit, i miratuar në nëntor të vitit 2018, kontribuon në kornizën e kontrollit të brendshëm.</w:t>
      </w:r>
    </w:p>
    <w:p w:rsidR="000A4761" w:rsidRPr="00A6284F" w:rsidRDefault="000A4761" w:rsidP="000A4761">
      <w:pPr>
        <w:spacing w:before="122"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Praktika e auditimit të brendshëm </w:t>
      </w:r>
      <w:r w:rsidRPr="00A6284F">
        <w:rPr>
          <w:rFonts w:eastAsia="Times New Roman"/>
          <w:color w:val="000000"/>
          <w:sz w:val="24"/>
          <w:lang w:val="sq-AL"/>
        </w:rPr>
        <w:t>duhet të përmirësohet. Kapaciteti i stafit nuk është i mjaftueshëm, pasi rreth 40% e njësive të auditimit të brendshëm kanë vetëm një auditor. Megjithatë, shumica e njësive të auditimit të brendshëm janë në përputhje me kërkesat për paraqitjen e planeve strategjike dhe vjetore të auditimit. Auditimi i brendshëm fokusohet kryesisht në pajtueshmërinë me rregullat dhe procedurat ekzistuese. Rekomandimet e auditimit të brendshëm nuk zbatohen në mënyrë sistematike.</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Njësia Qendrore e Harmonizimit</w:t>
      </w:r>
      <w:r w:rsidRPr="00A6284F">
        <w:rPr>
          <w:rFonts w:eastAsia="Times New Roman"/>
          <w:color w:val="000000"/>
          <w:sz w:val="24"/>
          <w:lang w:val="sq-AL"/>
        </w:rPr>
        <w:t xml:space="preserve"> në Ministrinë e Financave është përgjegjëse për zhvillimin dhe shpërndarjen e udhëzimeve metodologjike për kontrollin e brendshëm dhe zbatimin e auditimit të brendshëm në sektorin publik. Ka ndërmarrë shqyrtime cilësore si në kontrollin e brendshëm ashtu edhe në auditimin e brendshëm gjatë vitit të kaluar. NJQH përgatit një raport vjetor mbi zbatimin e </w:t>
      </w:r>
      <w:r w:rsidR="00A53537" w:rsidRPr="00A6284F">
        <w:rPr>
          <w:rFonts w:eastAsia="Times New Roman"/>
          <w:color w:val="000000"/>
          <w:sz w:val="24"/>
          <w:lang w:val="sq-AL"/>
        </w:rPr>
        <w:t xml:space="preserve">KBFP </w:t>
      </w:r>
      <w:r w:rsidRPr="00A6284F">
        <w:rPr>
          <w:rFonts w:eastAsia="Times New Roman"/>
          <w:color w:val="000000"/>
          <w:sz w:val="24"/>
          <w:lang w:val="sq-AL"/>
        </w:rPr>
        <w:t>bazuar në përgjigjet e pyetësorëve të vetëvlerësimit dhe rishikimet e veta të cilësisë. Raporti vjetor përmban rekomandime, të cilat duhet të zbatohen në mënyrë më sistematike.</w:t>
      </w:r>
    </w:p>
    <w:p w:rsidR="000A4761" w:rsidRPr="00A6284F" w:rsidRDefault="000A4761" w:rsidP="000A4761">
      <w:pPr>
        <w:spacing w:before="121" w:line="273" w:lineRule="exact"/>
        <w:ind w:left="144"/>
        <w:textAlignment w:val="baseline"/>
        <w:rPr>
          <w:rFonts w:eastAsia="Times New Roman"/>
          <w:color w:val="000000"/>
          <w:sz w:val="24"/>
          <w:u w:val="single"/>
          <w:lang w:val="sq-AL"/>
        </w:rPr>
      </w:pPr>
      <w:r w:rsidRPr="00A6284F">
        <w:rPr>
          <w:rFonts w:eastAsia="Times New Roman"/>
          <w:color w:val="000000"/>
          <w:sz w:val="24"/>
          <w:u w:val="single"/>
          <w:lang w:val="sq-AL"/>
        </w:rPr>
        <w:t>Auditimi i jashtëm</w:t>
      </w:r>
    </w:p>
    <w:p w:rsidR="000A4761" w:rsidRPr="00A6284F" w:rsidRDefault="000A4761" w:rsidP="000A4761">
      <w:pPr>
        <w:spacing w:before="122"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Korniza kushtetuese dhe ligjore</w:t>
      </w:r>
      <w:r w:rsidRPr="00A6284F">
        <w:rPr>
          <w:rFonts w:eastAsia="Times New Roman"/>
          <w:color w:val="000000"/>
          <w:sz w:val="24"/>
          <w:lang w:val="sq-AL"/>
        </w:rPr>
        <w:t xml:space="preserve"> e Kosovës përcakton pavarësinë funksionale, organizative dhe financiare të Zyrës Kombëtare të Auditimit në përputhje me standardet e Organizatës Ndërkombëtare të Institucioneve Supreme të Auditimit.</w:t>
      </w:r>
    </w:p>
    <w:p w:rsidR="000A4761" w:rsidRPr="00A6284F" w:rsidRDefault="000A4761" w:rsidP="000A4761">
      <w:pPr>
        <w:spacing w:before="118" w:after="48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Kapaciteti institucional</w:t>
      </w:r>
      <w:r w:rsidRPr="00A6284F">
        <w:rPr>
          <w:rFonts w:eastAsia="Times New Roman"/>
          <w:color w:val="000000"/>
          <w:sz w:val="24"/>
          <w:lang w:val="sq-AL"/>
        </w:rPr>
        <w:t xml:space="preserve"> është rritur tutje në 164 zyrtarë, nga të cilët 137 janë auditor. Zyra është duke zbatuar planin e saj të ri strategjik të zhvillimit 2018-2021, i cili përfshin objektivat, treguesit e performancës dhe një kornizë monitorimi.</w:t>
      </w:r>
    </w:p>
    <w:p w:rsidR="000A4761" w:rsidRPr="00A6284F" w:rsidRDefault="000A4761" w:rsidP="000A4761">
      <w:pPr>
        <w:spacing w:before="118" w:after="480" w:line="276" w:lineRule="exact"/>
        <w:rPr>
          <w:lang w:val="sq-AL"/>
        </w:rPr>
        <w:sectPr w:rsidR="000A4761" w:rsidRPr="00A6284F">
          <w:pgSz w:w="11909" w:h="16838"/>
          <w:pgMar w:top="1400" w:right="1274" w:bottom="562" w:left="1275" w:header="720" w:footer="720" w:gutter="0"/>
          <w:cols w:space="720"/>
        </w:sectPr>
      </w:pPr>
    </w:p>
    <w:p w:rsidR="000A4761" w:rsidRPr="00A6284F" w:rsidRDefault="000A4761" w:rsidP="000A4761">
      <w:pPr>
        <w:spacing w:before="21" w:line="275"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lastRenderedPageBreak/>
        <w:t xml:space="preserve">Zyra ka prezantuar procedurat </w:t>
      </w:r>
      <w:r w:rsidR="00A53537" w:rsidRPr="00A6284F">
        <w:rPr>
          <w:rFonts w:eastAsia="Times New Roman"/>
          <w:color w:val="000000"/>
          <w:sz w:val="24"/>
          <w:lang w:val="sq-AL"/>
        </w:rPr>
        <w:t xml:space="preserve">për kontrollin dhe sigurimin e </w:t>
      </w:r>
      <w:r w:rsidRPr="00A6284F">
        <w:rPr>
          <w:rFonts w:eastAsia="Times New Roman"/>
          <w:color w:val="000000"/>
          <w:sz w:val="24"/>
          <w:lang w:val="sq-AL"/>
        </w:rPr>
        <w:t xml:space="preserve">cilësisë për të përmirësuar </w:t>
      </w:r>
      <w:r w:rsidRPr="00A6284F">
        <w:rPr>
          <w:rFonts w:eastAsia="Times New Roman"/>
          <w:b/>
          <w:color w:val="000000"/>
          <w:sz w:val="24"/>
          <w:lang w:val="sq-AL"/>
        </w:rPr>
        <w:t>cilësinë e punës së auditimit</w:t>
      </w:r>
      <w:r w:rsidRPr="00A6284F">
        <w:rPr>
          <w:rFonts w:eastAsia="Times New Roman"/>
          <w:color w:val="000000"/>
          <w:sz w:val="24"/>
          <w:lang w:val="sq-AL"/>
        </w:rPr>
        <w:t xml:space="preserve"> dhe vazhdon të zbatojë një program certifikimi për auditorët. Ka përfunduar 13 raporte të auditimit të performancës, krahasuar me 11 raporte në vitin 2017 dhe 5 raporte në vitin 2016.</w:t>
      </w:r>
    </w:p>
    <w:p w:rsidR="000A4761" w:rsidRPr="00A6284F" w:rsidRDefault="000A4761" w:rsidP="000A4761">
      <w:pPr>
        <w:spacing w:before="129" w:line="275"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Zyra Kombëtare e Auditimit ka njohur nevojën për përmirës</w:t>
      </w:r>
      <w:r w:rsidR="0016272D" w:rsidRPr="00A6284F">
        <w:rPr>
          <w:rFonts w:eastAsia="Times New Roman"/>
          <w:color w:val="000000"/>
          <w:sz w:val="24"/>
          <w:lang w:val="sq-AL"/>
        </w:rPr>
        <w:t xml:space="preserve">im të </w:t>
      </w:r>
      <w:r w:rsidRPr="00A6284F">
        <w:rPr>
          <w:rFonts w:eastAsia="Times New Roman"/>
          <w:b/>
          <w:color w:val="000000"/>
          <w:sz w:val="24"/>
          <w:lang w:val="sq-AL"/>
        </w:rPr>
        <w:t>ndikimi</w:t>
      </w:r>
      <w:r w:rsidR="0016272D" w:rsidRPr="00A6284F">
        <w:rPr>
          <w:rFonts w:eastAsia="Times New Roman"/>
          <w:b/>
          <w:color w:val="000000"/>
          <w:sz w:val="24"/>
          <w:lang w:val="sq-AL"/>
        </w:rPr>
        <w:t>t</w:t>
      </w:r>
      <w:r w:rsidRPr="00A6284F">
        <w:rPr>
          <w:rFonts w:eastAsia="Times New Roman"/>
          <w:b/>
          <w:color w:val="000000"/>
          <w:sz w:val="24"/>
          <w:lang w:val="sq-AL"/>
        </w:rPr>
        <w:t xml:space="preserve"> </w:t>
      </w:r>
      <w:r w:rsidR="0016272D" w:rsidRPr="00A6284F">
        <w:rPr>
          <w:rFonts w:eastAsia="Times New Roman"/>
          <w:b/>
          <w:color w:val="000000"/>
          <w:sz w:val="24"/>
          <w:lang w:val="sq-AL"/>
        </w:rPr>
        <w:t xml:space="preserve">të </w:t>
      </w:r>
      <w:r w:rsidRPr="00A6284F">
        <w:rPr>
          <w:rFonts w:eastAsia="Times New Roman"/>
          <w:b/>
          <w:color w:val="000000"/>
          <w:sz w:val="24"/>
          <w:lang w:val="sq-AL"/>
        </w:rPr>
        <w:t>punës audit</w:t>
      </w:r>
      <w:r w:rsidR="0016272D" w:rsidRPr="00A6284F">
        <w:rPr>
          <w:rFonts w:eastAsia="Times New Roman"/>
          <w:b/>
          <w:color w:val="000000"/>
          <w:sz w:val="24"/>
          <w:lang w:val="sq-AL"/>
        </w:rPr>
        <w:t>uese</w:t>
      </w:r>
      <w:r w:rsidRPr="00A6284F">
        <w:rPr>
          <w:rFonts w:eastAsia="Times New Roman"/>
          <w:color w:val="000000"/>
          <w:sz w:val="24"/>
          <w:lang w:val="sq-AL"/>
        </w:rPr>
        <w:t xml:space="preserve">, pasi institucionet e audituara, veçanërisht në nivel lokal, nuk i zbatojnë rekomandimet e auditimit në mënyrë të mjaftueshme </w:t>
      </w:r>
      <w:r w:rsidR="0016272D" w:rsidRPr="00A6284F">
        <w:rPr>
          <w:rFonts w:eastAsia="Times New Roman"/>
          <w:color w:val="000000"/>
          <w:sz w:val="24"/>
          <w:lang w:val="sq-AL"/>
        </w:rPr>
        <w:t>apo</w:t>
      </w:r>
      <w:r w:rsidRPr="00A6284F">
        <w:rPr>
          <w:rFonts w:eastAsia="Times New Roman"/>
          <w:color w:val="000000"/>
          <w:sz w:val="24"/>
          <w:lang w:val="sq-AL"/>
        </w:rPr>
        <w:t xml:space="preserve"> në kohën e duhur. Sipas raportit vjetor 2018, në vitin 2017 vetëm 34% e rekomandimeve të auditimit të jashtëm të nxjerra në vitin 2016 u zbatuan plotësisht, 26% pjesërisht dhe 40% aspak. Kuvendi ende nuk ka krijuar një mekanizëm efikas për përcjelljen e raporteve të auditimit. Zyra Kombëtare e Auditimit vazhdon të forcojë politikën e përgjithshme të komunikimit dhe të angazhohet më aktivisht me shoqërinë civile.</w:t>
      </w:r>
    </w:p>
    <w:p w:rsidR="000A4761" w:rsidRPr="00A6284F" w:rsidRDefault="000A4761" w:rsidP="000A4761">
      <w:pPr>
        <w:spacing w:before="121" w:line="273"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 xml:space="preserve">Mbrojtja e interesave financiarë të BE-së </w:t>
      </w:r>
    </w:p>
    <w:p w:rsidR="000A4761" w:rsidRPr="00A6284F" w:rsidRDefault="0016272D" w:rsidP="000A4761">
      <w:pPr>
        <w:spacing w:before="126" w:line="275" w:lineRule="exact"/>
        <w:ind w:left="72" w:right="144"/>
        <w:jc w:val="both"/>
        <w:textAlignment w:val="baseline"/>
        <w:rPr>
          <w:rFonts w:eastAsia="Times New Roman"/>
          <w:b/>
          <w:color w:val="000000"/>
          <w:spacing w:val="1"/>
          <w:sz w:val="24"/>
          <w:lang w:val="sq-AL"/>
        </w:rPr>
      </w:pPr>
      <w:r w:rsidRPr="00A6284F">
        <w:rPr>
          <w:rFonts w:eastAsia="Times New Roman"/>
          <w:b/>
          <w:color w:val="000000"/>
          <w:spacing w:val="1"/>
          <w:sz w:val="24"/>
          <w:lang w:val="sq-AL"/>
        </w:rPr>
        <w:t>Përafrimi</w:t>
      </w:r>
      <w:r w:rsidR="000A4761" w:rsidRPr="00A6284F">
        <w:rPr>
          <w:rFonts w:eastAsia="Times New Roman"/>
          <w:b/>
          <w:color w:val="000000"/>
          <w:spacing w:val="1"/>
          <w:sz w:val="24"/>
          <w:lang w:val="sq-AL"/>
        </w:rPr>
        <w:t xml:space="preserve"> me </w:t>
      </w:r>
      <w:r w:rsidRPr="00A6284F">
        <w:rPr>
          <w:rFonts w:eastAsia="Times New Roman"/>
          <w:b/>
          <w:i/>
          <w:color w:val="000000"/>
          <w:spacing w:val="1"/>
          <w:sz w:val="24"/>
          <w:lang w:val="sq-AL"/>
        </w:rPr>
        <w:t>a</w:t>
      </w:r>
      <w:r w:rsidR="000A4761" w:rsidRPr="00A6284F">
        <w:rPr>
          <w:rFonts w:eastAsia="Times New Roman"/>
          <w:b/>
          <w:i/>
          <w:color w:val="000000"/>
          <w:spacing w:val="1"/>
          <w:sz w:val="24"/>
          <w:lang w:val="sq-AL"/>
        </w:rPr>
        <w:t>cquis</w:t>
      </w:r>
      <w:r w:rsidRPr="00A6284F">
        <w:rPr>
          <w:rFonts w:eastAsia="Times New Roman"/>
          <w:b/>
          <w:i/>
          <w:color w:val="000000"/>
          <w:spacing w:val="1"/>
          <w:sz w:val="24"/>
          <w:lang w:val="sq-AL"/>
        </w:rPr>
        <w:t xml:space="preserve"> </w:t>
      </w:r>
      <w:r w:rsidR="000A4761" w:rsidRPr="00A6284F">
        <w:rPr>
          <w:rFonts w:eastAsia="Times New Roman"/>
          <w:color w:val="000000"/>
          <w:spacing w:val="1"/>
          <w:sz w:val="24"/>
          <w:lang w:val="sq-AL"/>
        </w:rPr>
        <w:t xml:space="preserve">në këtë fushë ende ka nevojë të vlerësohet. Nuk është themeluar asnjë </w:t>
      </w:r>
      <w:r w:rsidR="000A4761" w:rsidRPr="00A6284F">
        <w:rPr>
          <w:rFonts w:eastAsia="Times New Roman"/>
          <w:b/>
          <w:color w:val="000000"/>
          <w:spacing w:val="1"/>
          <w:sz w:val="24"/>
          <w:lang w:val="sq-AL"/>
        </w:rPr>
        <w:t xml:space="preserve">shërbim </w:t>
      </w:r>
      <w:r w:rsidR="00227CEF" w:rsidRPr="00A6284F">
        <w:rPr>
          <w:rFonts w:eastAsia="Times New Roman"/>
          <w:b/>
          <w:color w:val="000000"/>
          <w:spacing w:val="1"/>
          <w:sz w:val="24"/>
          <w:lang w:val="sq-AL"/>
        </w:rPr>
        <w:t>koordinues</w:t>
      </w:r>
      <w:r w:rsidR="000A4761" w:rsidRPr="00A6284F">
        <w:rPr>
          <w:rFonts w:eastAsia="Times New Roman"/>
          <w:b/>
          <w:color w:val="000000"/>
          <w:spacing w:val="1"/>
          <w:sz w:val="24"/>
          <w:lang w:val="sq-AL"/>
        </w:rPr>
        <w:t xml:space="preserve"> </w:t>
      </w:r>
      <w:r w:rsidR="00227CEF" w:rsidRPr="00A6284F">
        <w:rPr>
          <w:rFonts w:eastAsia="Times New Roman"/>
          <w:b/>
          <w:color w:val="000000"/>
          <w:spacing w:val="1"/>
          <w:sz w:val="24"/>
          <w:lang w:val="sq-AL"/>
        </w:rPr>
        <w:t xml:space="preserve">kundër </w:t>
      </w:r>
      <w:r w:rsidR="000A4761" w:rsidRPr="00A6284F">
        <w:rPr>
          <w:rFonts w:eastAsia="Times New Roman"/>
          <w:b/>
          <w:color w:val="000000"/>
          <w:spacing w:val="1"/>
          <w:sz w:val="24"/>
          <w:lang w:val="sq-AL"/>
        </w:rPr>
        <w:t>mashtrim</w:t>
      </w:r>
      <w:r w:rsidR="00227CEF" w:rsidRPr="00A6284F">
        <w:rPr>
          <w:rFonts w:eastAsia="Times New Roman"/>
          <w:b/>
          <w:color w:val="000000"/>
          <w:spacing w:val="1"/>
          <w:sz w:val="24"/>
          <w:lang w:val="sq-AL"/>
        </w:rPr>
        <w:t>it</w:t>
      </w:r>
      <w:r w:rsidR="000A4761" w:rsidRPr="00A6284F">
        <w:rPr>
          <w:rFonts w:eastAsia="Times New Roman"/>
          <w:color w:val="000000"/>
          <w:spacing w:val="1"/>
          <w:sz w:val="24"/>
          <w:lang w:val="sq-AL"/>
        </w:rPr>
        <w:t xml:space="preserve"> dhe nuk është miratuar asnjë strategji </w:t>
      </w:r>
      <w:proofErr w:type="spellStart"/>
      <w:r w:rsidR="000A4761" w:rsidRPr="00A6284F">
        <w:rPr>
          <w:rFonts w:eastAsia="Times New Roman"/>
          <w:color w:val="000000"/>
          <w:spacing w:val="1"/>
          <w:sz w:val="24"/>
          <w:lang w:val="sq-AL"/>
        </w:rPr>
        <w:t>anti</w:t>
      </w:r>
      <w:proofErr w:type="spellEnd"/>
      <w:r w:rsidR="000A4761" w:rsidRPr="00A6284F">
        <w:rPr>
          <w:rFonts w:eastAsia="Times New Roman"/>
          <w:color w:val="000000"/>
          <w:spacing w:val="1"/>
          <w:sz w:val="24"/>
          <w:lang w:val="sq-AL"/>
        </w:rPr>
        <w:t xml:space="preserve">-mashtrim. </w:t>
      </w:r>
      <w:r w:rsidR="000A4761" w:rsidRPr="00A6284F">
        <w:rPr>
          <w:rFonts w:eastAsia="Times New Roman"/>
          <w:b/>
          <w:color w:val="000000"/>
          <w:spacing w:val="1"/>
          <w:sz w:val="24"/>
          <w:lang w:val="sq-AL"/>
        </w:rPr>
        <w:t>Bashkëpunimi</w:t>
      </w:r>
      <w:r w:rsidR="000A4761" w:rsidRPr="00A6284F">
        <w:rPr>
          <w:rFonts w:eastAsia="Times New Roman"/>
          <w:color w:val="000000"/>
          <w:spacing w:val="1"/>
          <w:sz w:val="24"/>
          <w:lang w:val="sq-AL"/>
        </w:rPr>
        <w:t xml:space="preserve"> </w:t>
      </w:r>
      <w:r w:rsidR="00227CEF" w:rsidRPr="00A6284F">
        <w:rPr>
          <w:rFonts w:eastAsia="Times New Roman"/>
          <w:color w:val="000000"/>
          <w:spacing w:val="1"/>
          <w:sz w:val="24"/>
          <w:lang w:val="sq-AL"/>
        </w:rPr>
        <w:t>rregullohet</w:t>
      </w:r>
      <w:r w:rsidR="000A4761" w:rsidRPr="00A6284F">
        <w:rPr>
          <w:rFonts w:eastAsia="Times New Roman"/>
          <w:color w:val="000000"/>
          <w:spacing w:val="1"/>
          <w:sz w:val="24"/>
          <w:lang w:val="sq-AL"/>
        </w:rPr>
        <w:t xml:space="preserve"> </w:t>
      </w:r>
      <w:r w:rsidR="00227CEF" w:rsidRPr="00A6284F">
        <w:rPr>
          <w:rFonts w:eastAsia="Times New Roman"/>
          <w:color w:val="000000"/>
          <w:spacing w:val="1"/>
          <w:sz w:val="24"/>
          <w:lang w:val="sq-AL"/>
        </w:rPr>
        <w:t xml:space="preserve">përmes </w:t>
      </w:r>
      <w:r w:rsidR="000A4761" w:rsidRPr="00A6284F">
        <w:rPr>
          <w:rFonts w:eastAsia="Times New Roman"/>
          <w:color w:val="000000"/>
          <w:spacing w:val="1"/>
          <w:sz w:val="24"/>
          <w:lang w:val="sq-AL"/>
        </w:rPr>
        <w:t xml:space="preserve">një marrëveshje administrative mes Policisë së Kosovës dhe Zyrës Evropiane Kundër Mashtrimit (OLAF). </w:t>
      </w:r>
      <w:r w:rsidR="00227CEF" w:rsidRPr="00A6284F">
        <w:rPr>
          <w:rFonts w:eastAsia="Times New Roman"/>
          <w:color w:val="000000"/>
          <w:spacing w:val="1"/>
          <w:sz w:val="24"/>
          <w:lang w:val="sq-AL"/>
        </w:rPr>
        <w:t>Ai është dizajnuar q</w:t>
      </w:r>
      <w:r w:rsidR="000A4761" w:rsidRPr="00A6284F">
        <w:rPr>
          <w:rFonts w:eastAsia="Times New Roman"/>
          <w:color w:val="000000"/>
          <w:spacing w:val="1"/>
          <w:sz w:val="24"/>
          <w:lang w:val="sq-AL"/>
        </w:rPr>
        <w:t>ë të sigur</w:t>
      </w:r>
      <w:r w:rsidR="00227CEF" w:rsidRPr="00A6284F">
        <w:rPr>
          <w:rFonts w:eastAsia="Times New Roman"/>
          <w:color w:val="000000"/>
          <w:spacing w:val="1"/>
          <w:sz w:val="24"/>
          <w:lang w:val="sq-AL"/>
        </w:rPr>
        <w:t xml:space="preserve">oj </w:t>
      </w:r>
      <w:r w:rsidR="000A4761" w:rsidRPr="00A6284F">
        <w:rPr>
          <w:rFonts w:eastAsia="Times New Roman"/>
          <w:color w:val="000000"/>
          <w:spacing w:val="1"/>
          <w:sz w:val="24"/>
          <w:lang w:val="sq-AL"/>
        </w:rPr>
        <w:t>transmetimin me kohë të informatave dhe bashkëpunimin në rastet e lidhura me mashtrimet e pohuara dhe aktivitetet tjera të paligjshme që prekin interesat financiar të BE-së.</w:t>
      </w:r>
    </w:p>
    <w:p w:rsidR="000A4761" w:rsidRPr="00A6284F" w:rsidRDefault="000A4761" w:rsidP="000A4761">
      <w:pPr>
        <w:spacing w:before="125" w:line="274" w:lineRule="exact"/>
        <w:ind w:left="72"/>
        <w:textAlignment w:val="baseline"/>
        <w:rPr>
          <w:rFonts w:eastAsia="Times New Roman"/>
          <w:color w:val="000000"/>
          <w:sz w:val="24"/>
          <w:u w:val="single"/>
          <w:lang w:val="sq-AL"/>
        </w:rPr>
      </w:pPr>
      <w:r w:rsidRPr="00A6284F">
        <w:rPr>
          <w:rFonts w:eastAsia="Times New Roman"/>
          <w:color w:val="000000"/>
          <w:sz w:val="24"/>
          <w:u w:val="single"/>
          <w:lang w:val="sq-AL"/>
        </w:rPr>
        <w:t>Mbrojtja e euros nga falsifikimi</w:t>
      </w:r>
    </w:p>
    <w:p w:rsidR="000A4761" w:rsidRPr="00A6284F" w:rsidRDefault="0005696E" w:rsidP="000A4761">
      <w:pPr>
        <w:spacing w:before="122" w:line="275" w:lineRule="exact"/>
        <w:ind w:left="72" w:right="144"/>
        <w:jc w:val="both"/>
        <w:textAlignment w:val="baseline"/>
        <w:rPr>
          <w:rFonts w:eastAsia="Times New Roman"/>
          <w:color w:val="000000"/>
          <w:sz w:val="24"/>
          <w:lang w:val="sq-AL"/>
        </w:rPr>
      </w:pPr>
      <w:r w:rsidRPr="00A6284F">
        <w:rPr>
          <w:rFonts w:eastAsia="Times New Roman"/>
          <w:b/>
          <w:color w:val="000000"/>
          <w:sz w:val="24"/>
          <w:lang w:val="sq-AL"/>
        </w:rPr>
        <w:t>Përafrimi me</w:t>
      </w:r>
      <w:r w:rsidR="000A4761" w:rsidRPr="00A6284F">
        <w:rPr>
          <w:rFonts w:eastAsia="Times New Roman"/>
          <w:b/>
          <w:color w:val="000000"/>
          <w:sz w:val="24"/>
          <w:lang w:val="sq-AL"/>
        </w:rPr>
        <w:t xml:space="preserve"> </w:t>
      </w:r>
      <w:r w:rsidRPr="00A6284F">
        <w:rPr>
          <w:rFonts w:eastAsia="Times New Roman"/>
          <w:b/>
          <w:color w:val="000000"/>
          <w:sz w:val="24"/>
          <w:lang w:val="sq-AL"/>
        </w:rPr>
        <w:t>a</w:t>
      </w:r>
      <w:r w:rsidR="000A4761" w:rsidRPr="00A6284F">
        <w:rPr>
          <w:rFonts w:eastAsia="Times New Roman"/>
          <w:b/>
          <w:color w:val="000000"/>
          <w:sz w:val="24"/>
          <w:lang w:val="sq-AL"/>
        </w:rPr>
        <w:t>cquis</w:t>
      </w:r>
      <w:r w:rsidR="000A4761" w:rsidRPr="00A6284F">
        <w:rPr>
          <w:rFonts w:eastAsia="Times New Roman"/>
          <w:color w:val="000000"/>
          <w:sz w:val="24"/>
          <w:lang w:val="sq-AL"/>
        </w:rPr>
        <w:t xml:space="preserve"> ende nuk është vlerësuar, por Kosova ka krijuar autoritetet kompetente dhe</w:t>
      </w:r>
      <w:r w:rsidR="00587CE3" w:rsidRPr="00A6284F">
        <w:rPr>
          <w:rFonts w:eastAsia="Times New Roman"/>
          <w:color w:val="000000"/>
          <w:sz w:val="24"/>
          <w:lang w:val="sq-AL"/>
        </w:rPr>
        <w:t xml:space="preserve"> </w:t>
      </w:r>
      <w:r w:rsidR="000A4761" w:rsidRPr="00A6284F">
        <w:rPr>
          <w:rFonts w:eastAsia="Times New Roman"/>
          <w:color w:val="000000"/>
          <w:sz w:val="24"/>
          <w:lang w:val="sq-AL"/>
        </w:rPr>
        <w:t xml:space="preserve">procedurat për përballje me rastet e falsifikimit të parave. Ligji për Bankën Qendrore ndalon qarkullimin e parave të falsifikuara. Banka Qendrore ka nxjerrë një rregullore për operacionet në para të gatshme tek përforcimi  i rregulloreve dhe procedurave për institucionet financiare që veprojnë në Kosovë. Kosova merr pjesë në aksionet e programit </w:t>
      </w:r>
      <w:proofErr w:type="spellStart"/>
      <w:r w:rsidR="000A4761" w:rsidRPr="00A6284F">
        <w:rPr>
          <w:rFonts w:eastAsia="Times New Roman"/>
          <w:color w:val="000000"/>
          <w:sz w:val="24"/>
          <w:lang w:val="sq-AL"/>
        </w:rPr>
        <w:t>Pericles</w:t>
      </w:r>
      <w:proofErr w:type="spellEnd"/>
      <w:r w:rsidR="000A4761" w:rsidRPr="00A6284F">
        <w:rPr>
          <w:rFonts w:eastAsia="Times New Roman"/>
          <w:color w:val="000000"/>
          <w:sz w:val="24"/>
          <w:lang w:val="sq-AL"/>
        </w:rPr>
        <w:t xml:space="preserve"> 2020.</w:t>
      </w:r>
    </w:p>
    <w:p w:rsidR="000A4761" w:rsidRPr="00A6284F" w:rsidRDefault="000A4761" w:rsidP="000A4761">
      <w:pPr>
        <w:spacing w:before="127" w:after="101" w:line="276" w:lineRule="exact"/>
        <w:ind w:left="72"/>
        <w:textAlignment w:val="baseline"/>
        <w:rPr>
          <w:rFonts w:eastAsia="Times New Roman"/>
          <w:b/>
          <w:color w:val="000000"/>
          <w:spacing w:val="14"/>
          <w:sz w:val="24"/>
          <w:lang w:val="sq-AL"/>
        </w:rPr>
      </w:pPr>
      <w:r w:rsidRPr="00A6284F">
        <w:rPr>
          <w:rFonts w:eastAsia="Times New Roman"/>
          <w:b/>
          <w:color w:val="000000"/>
          <w:spacing w:val="14"/>
          <w:sz w:val="24"/>
          <w:lang w:val="sq-AL"/>
        </w:rPr>
        <w:t>6.26 Statistikat</w:t>
      </w:r>
    </w:p>
    <w:tbl>
      <w:tblPr>
        <w:tblW w:w="0" w:type="auto"/>
        <w:tblInd w:w="6" w:type="dxa"/>
        <w:tblLayout w:type="fixed"/>
        <w:tblCellMar>
          <w:left w:w="0" w:type="dxa"/>
          <w:right w:w="0" w:type="dxa"/>
        </w:tblCellMar>
        <w:tblLook w:val="0000" w:firstRow="0" w:lastRow="0" w:firstColumn="0" w:lastColumn="0" w:noHBand="0" w:noVBand="0"/>
      </w:tblPr>
      <w:tblGrid>
        <w:gridCol w:w="9360"/>
      </w:tblGrid>
      <w:tr w:rsidR="000A4761" w:rsidRPr="00A6284F" w:rsidTr="000A4761">
        <w:trPr>
          <w:trHeight w:hRule="exact" w:val="5578"/>
        </w:trPr>
        <w:tc>
          <w:tcPr>
            <w:tcW w:w="9360" w:type="dxa"/>
            <w:tcBorders>
              <w:top w:val="single" w:sz="5" w:space="0" w:color="000000"/>
              <w:left w:val="single" w:sz="5" w:space="0" w:color="000000"/>
              <w:bottom w:val="single" w:sz="5" w:space="0" w:color="000000"/>
              <w:right w:val="single" w:sz="5" w:space="0" w:color="000000"/>
            </w:tcBorders>
            <w:shd w:val="clear" w:color="D9D9D9" w:fill="D9D9D9"/>
          </w:tcPr>
          <w:p w:rsidR="000A4761" w:rsidRPr="00A6284F" w:rsidRDefault="000A4761" w:rsidP="000A4761">
            <w:pPr>
              <w:spacing w:before="29" w:line="275"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Kosova ka një </w:t>
            </w:r>
            <w:r w:rsidRPr="00A6284F">
              <w:rPr>
                <w:rFonts w:eastAsia="Times New Roman"/>
                <w:b/>
                <w:color w:val="000000"/>
                <w:sz w:val="24"/>
                <w:lang w:val="sq-AL"/>
              </w:rPr>
              <w:t>nivel përgatitjeje</w:t>
            </w:r>
            <w:r w:rsidRPr="00A6284F">
              <w:rPr>
                <w:rFonts w:eastAsia="Times New Roman"/>
                <w:color w:val="000000"/>
                <w:sz w:val="24"/>
                <w:lang w:val="sq-AL"/>
              </w:rPr>
              <w:t xml:space="preserve"> në fushën e statistikave. </w:t>
            </w:r>
            <w:r w:rsidRPr="00A6284F">
              <w:rPr>
                <w:rFonts w:eastAsia="Times New Roman"/>
                <w:b/>
                <w:color w:val="000000"/>
                <w:sz w:val="24"/>
                <w:lang w:val="sq-AL"/>
              </w:rPr>
              <w:t xml:space="preserve">Progres i mirë </w:t>
            </w:r>
            <w:r w:rsidRPr="00A6284F">
              <w:rPr>
                <w:rFonts w:eastAsia="Times New Roman"/>
                <w:color w:val="000000"/>
                <w:sz w:val="24"/>
                <w:lang w:val="sq-AL"/>
              </w:rPr>
              <w:t xml:space="preserve">është shënuar në adresimin e disa rekomandimeve të vitit të kaluar, posaçërisht duke ndryshuar Ligjin për statistikat, duke përmirësuar llogaritë kombëtare dhe duke zgjeruar statistikat sociale, sidomos përmes studimit të parë të plotë sipas metodologjisë së statistikave të BE-së mbi të ardhurat dhe kushtet e jetesës ( EU-SILC). Agjencia e Statistikave të Kosovës (ASK) ka miratuar rekomandimet e rishikimit të ekspertëve të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-it dhe ka hartuar një plan veprimi për zbatimin e tyre. Sidoqoftë vazhdon të vuajë nga resurse e kapacitete të pamjaftueshme. Bashkërendimi ndërmjet institucioneve statistikore nuk është përmirësuar shumë. Nevojiten ende përpjekje të konsiderueshme sidomos për të siguruar harmonizimin e statistikave makro-ekonomike dhe të biznesit me standardet evropiane.</w:t>
            </w:r>
          </w:p>
          <w:p w:rsidR="000A4761" w:rsidRPr="00A6284F" w:rsidRDefault="000A4761" w:rsidP="000A4761">
            <w:pPr>
              <w:spacing w:before="124" w:line="275" w:lineRule="exact"/>
              <w:ind w:left="72"/>
              <w:textAlignment w:val="baseline"/>
              <w:rPr>
                <w:rFonts w:eastAsia="Times New Roman"/>
                <w:color w:val="000000"/>
                <w:sz w:val="24"/>
                <w:lang w:val="sq-AL"/>
              </w:rPr>
            </w:pPr>
            <w:r w:rsidRPr="00A6284F">
              <w:rPr>
                <w:rFonts w:eastAsia="Times New Roman"/>
                <w:color w:val="000000"/>
                <w:sz w:val="24"/>
                <w:lang w:val="sq-AL"/>
              </w:rPr>
              <w:t>Në vitin e ardhshëm, Kosova duhet posaçërisht:</w:t>
            </w:r>
          </w:p>
          <w:p w:rsidR="000A4761" w:rsidRPr="00A6284F" w:rsidRDefault="000A4761" w:rsidP="000A4761">
            <w:pPr>
              <w:spacing w:before="136" w:line="275" w:lineRule="exact"/>
              <w:ind w:left="432"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të zbatojë rekomandimet e rishikimit të ekspertëve të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 sipas planit të miratuar të veprimit;</w:t>
            </w:r>
          </w:p>
          <w:p w:rsidR="000A4761" w:rsidRPr="00A6284F" w:rsidRDefault="000A4761" w:rsidP="000A4761">
            <w:pPr>
              <w:spacing w:before="141" w:line="275" w:lineRule="exact"/>
              <w:ind w:left="432"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 xml:space="preserve">përmirësimi i qeverisjes statistikore dhe bashkërendimi ndërmjet institucioneve kryesore statistikore; të sigurojë qasje më të mirë dhe të përdorin burimet e </w:t>
            </w:r>
            <w:proofErr w:type="spellStart"/>
            <w:r w:rsidRPr="00A6284F">
              <w:rPr>
                <w:rFonts w:eastAsia="Times New Roman"/>
                <w:color w:val="000000"/>
                <w:sz w:val="24"/>
                <w:lang w:val="sq-AL"/>
              </w:rPr>
              <w:t>disponueshme</w:t>
            </w:r>
            <w:proofErr w:type="spellEnd"/>
            <w:r w:rsidRPr="00A6284F">
              <w:rPr>
                <w:rFonts w:eastAsia="Times New Roman"/>
                <w:color w:val="000000"/>
                <w:sz w:val="24"/>
                <w:lang w:val="sq-AL"/>
              </w:rPr>
              <w:t xml:space="preserv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administrative;</w:t>
            </w:r>
          </w:p>
          <w:p w:rsidR="000A4761" w:rsidRPr="00A6284F" w:rsidRDefault="000A4761" w:rsidP="000A4761">
            <w:pPr>
              <w:spacing w:before="141" w:after="15" w:line="275" w:lineRule="exact"/>
              <w:ind w:left="432" w:right="144" w:hanging="360"/>
              <w:jc w:val="both"/>
              <w:textAlignment w:val="baseline"/>
              <w:rPr>
                <w:rFonts w:ascii="Arial Narrow" w:eastAsia="Arial Narrow" w:hAnsi="Arial Narrow"/>
                <w:color w:val="000000"/>
                <w:lang w:val="sq-AL"/>
              </w:rPr>
            </w:pPr>
            <w:r w:rsidRPr="00A6284F">
              <w:rPr>
                <w:rFonts w:ascii="Arial Narrow" w:eastAsia="Arial Narrow" w:hAnsi="Arial Narrow"/>
                <w:color w:val="000000"/>
                <w:lang w:val="sq-AL"/>
              </w:rPr>
              <w:t xml:space="preserve">-* </w:t>
            </w:r>
            <w:r w:rsidRPr="00A6284F">
              <w:rPr>
                <w:rFonts w:eastAsia="Times New Roman"/>
                <w:color w:val="000000"/>
                <w:sz w:val="24"/>
                <w:lang w:val="sq-AL"/>
              </w:rPr>
              <w:t>të vazhdojnë të bëjnë përgatitjet e domosdoshme për regjistrimin vijues të popullsisë (2021), duke siguruar mbulim të plotë të territorit.</w:t>
            </w:r>
          </w:p>
        </w:tc>
      </w:tr>
    </w:tbl>
    <w:p w:rsidR="000A4761" w:rsidRPr="00A6284F" w:rsidRDefault="000A4761" w:rsidP="000A4761">
      <w:pPr>
        <w:spacing w:after="92" w:line="20" w:lineRule="exact"/>
        <w:rPr>
          <w:lang w:val="sq-AL"/>
        </w:rPr>
      </w:pPr>
    </w:p>
    <w:p w:rsidR="000A4761" w:rsidRPr="00A6284F" w:rsidRDefault="000A4761" w:rsidP="000A4761">
      <w:pPr>
        <w:spacing w:before="12" w:line="275"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infrastruktura statistikore</w:t>
      </w:r>
      <w:r w:rsidRPr="00A6284F">
        <w:rPr>
          <w:rFonts w:eastAsia="Times New Roman"/>
          <w:color w:val="000000"/>
          <w:sz w:val="24"/>
          <w:lang w:val="sq-AL"/>
        </w:rPr>
        <w:t>, korniza ligjore është përgjithësisht në përputhje me kodin e</w:t>
      </w:r>
    </w:p>
    <w:p w:rsidR="000A4761" w:rsidRPr="00A6284F" w:rsidRDefault="000A4761" w:rsidP="000A4761">
      <w:pPr>
        <w:spacing w:before="12" w:line="275" w:lineRule="exact"/>
        <w:ind w:left="72" w:right="144"/>
        <w:jc w:val="both"/>
        <w:textAlignment w:val="baseline"/>
        <w:rPr>
          <w:rFonts w:eastAsia="Times New Roman"/>
          <w:color w:val="000000"/>
          <w:sz w:val="24"/>
          <w:lang w:val="sq-AL"/>
        </w:rPr>
      </w:pPr>
      <w:r w:rsidRPr="00A6284F">
        <w:rPr>
          <w:rFonts w:eastAsia="Times New Roman"/>
          <w:color w:val="000000"/>
          <w:sz w:val="24"/>
          <w:lang w:val="sq-AL"/>
        </w:rPr>
        <w:t xml:space="preserve">praktikave statistikore evropiane. Ndryshimet në Ligjin për Statistikat u miratuan në dhjetor të vitit 2018. Derisa këto forcojnë rolin e ASK-së brenda sistemit statistikor, ato nuk i trajtuan plotësisht shqetësimet e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-it lidhur me kohëzgjatjen e mandatit të kryetarit të Agjencisë. </w:t>
      </w:r>
      <w:r w:rsidRPr="00A6284F">
        <w:rPr>
          <w:rFonts w:eastAsia="Times New Roman"/>
          <w:color w:val="000000"/>
          <w:sz w:val="24"/>
          <w:lang w:val="sq-AL"/>
        </w:rPr>
        <w:lastRenderedPageBreak/>
        <w:t xml:space="preserve">Përkundër miratimit nga qeveria të 10 pozitave të reja, të cilat janë në proces të plotësimit, ASK-ja ende ka burime të pamjaftueshme njerëzore dhe financiare për të kryer anketime dhe analiza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në mënyrë të pavarur: kjo pengon </w:t>
      </w:r>
      <w:r w:rsidR="00555007" w:rsidRPr="00A6284F">
        <w:rPr>
          <w:rFonts w:eastAsia="Times New Roman"/>
          <w:color w:val="000000"/>
          <w:sz w:val="24"/>
          <w:lang w:val="sq-AL"/>
        </w:rPr>
        <w:t xml:space="preserve">gjenerimin me </w:t>
      </w:r>
      <w:r w:rsidRPr="00A6284F">
        <w:rPr>
          <w:rFonts w:eastAsia="Times New Roman"/>
          <w:color w:val="000000"/>
          <w:sz w:val="24"/>
          <w:lang w:val="sq-AL"/>
        </w:rPr>
        <w:t xml:space="preserve">kohë të statistikave. Për të </w:t>
      </w:r>
      <w:proofErr w:type="spellStart"/>
      <w:r w:rsidR="00555007" w:rsidRPr="00A6284F">
        <w:rPr>
          <w:rFonts w:eastAsia="Times New Roman"/>
          <w:color w:val="000000"/>
          <w:sz w:val="24"/>
          <w:lang w:val="sq-AL"/>
        </w:rPr>
        <w:t>gjeneruar</w:t>
      </w:r>
      <w:proofErr w:type="spellEnd"/>
      <w:r w:rsidRPr="00A6284F">
        <w:rPr>
          <w:rFonts w:eastAsia="Times New Roman"/>
          <w:color w:val="000000"/>
          <w:sz w:val="24"/>
          <w:lang w:val="sq-AL"/>
        </w:rPr>
        <w:t xml:space="preserve"> </w:t>
      </w:r>
      <w:r w:rsidR="00555007" w:rsidRPr="00A6284F">
        <w:rPr>
          <w:rFonts w:eastAsia="Times New Roman"/>
          <w:color w:val="000000"/>
          <w:sz w:val="24"/>
          <w:lang w:val="sq-AL"/>
        </w:rPr>
        <w:t xml:space="preserve">statistika </w:t>
      </w:r>
      <w:r w:rsidRPr="00A6284F">
        <w:rPr>
          <w:rFonts w:eastAsia="Times New Roman"/>
          <w:color w:val="000000"/>
          <w:sz w:val="24"/>
          <w:lang w:val="sq-AL"/>
        </w:rPr>
        <w:t xml:space="preserve">më </w:t>
      </w:r>
      <w:r w:rsidR="00555007" w:rsidRPr="00A6284F">
        <w:rPr>
          <w:rFonts w:eastAsia="Times New Roman"/>
          <w:color w:val="000000"/>
          <w:sz w:val="24"/>
          <w:lang w:val="sq-AL"/>
        </w:rPr>
        <w:t xml:space="preserve">të </w:t>
      </w:r>
      <w:r w:rsidRPr="00A6284F">
        <w:rPr>
          <w:rFonts w:eastAsia="Times New Roman"/>
          <w:color w:val="000000"/>
          <w:sz w:val="24"/>
          <w:lang w:val="sq-AL"/>
        </w:rPr>
        <w:t>shum</w:t>
      </w:r>
      <w:r w:rsidR="00555007" w:rsidRPr="00A6284F">
        <w:rPr>
          <w:rFonts w:eastAsia="Times New Roman"/>
          <w:color w:val="000000"/>
          <w:sz w:val="24"/>
          <w:lang w:val="sq-AL"/>
        </w:rPr>
        <w:t xml:space="preserve">ta </w:t>
      </w:r>
      <w:r w:rsidRPr="00A6284F">
        <w:rPr>
          <w:rFonts w:eastAsia="Times New Roman"/>
          <w:color w:val="000000"/>
          <w:sz w:val="24"/>
          <w:lang w:val="sq-AL"/>
        </w:rPr>
        <w:t xml:space="preserve">dhe më të mira, ASK-ja duhet gjithashtu të përmirësojë efikasitetin e saj dhe të zhvillojë një sistem të menaxhimit të cilësisë dhe metoda të reja të grumbullimit së të dhënave. ASK-ja duhet të vazhdojë të përmirësojë komunikimin e saj me burime të ndryshme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administrative, në mënyrë që të fuqizojë rolin e saj bashkërendues brenda sistemit statistikor të Kosovës, të sigurojë statistika me kohë dhe të besueshme dhe të rrisë numrin e statistikave që boton. </w:t>
      </w:r>
      <w:r w:rsidR="00555007" w:rsidRPr="00A6284F">
        <w:rPr>
          <w:rFonts w:eastAsia="Times New Roman"/>
          <w:color w:val="000000"/>
          <w:sz w:val="24"/>
          <w:lang w:val="sq-AL"/>
        </w:rPr>
        <w:t>Hapësirat e saj</w:t>
      </w:r>
      <w:r w:rsidRPr="00A6284F">
        <w:rPr>
          <w:rFonts w:eastAsia="Times New Roman"/>
          <w:color w:val="000000"/>
          <w:sz w:val="24"/>
          <w:lang w:val="sq-AL"/>
        </w:rPr>
        <w:t xml:space="preserve"> aktuale mbeten të joadekuate. Transmetimi i të dhënave dhe të dhënat e shpërndara nga </w:t>
      </w:r>
      <w:proofErr w:type="spellStart"/>
      <w:r w:rsidRPr="00A6284F">
        <w:rPr>
          <w:rFonts w:eastAsia="Times New Roman"/>
          <w:b/>
          <w:color w:val="000000"/>
          <w:sz w:val="24"/>
          <w:lang w:val="sq-AL"/>
        </w:rPr>
        <w:t>Eurostat</w:t>
      </w:r>
      <w:proofErr w:type="spellEnd"/>
      <w:r w:rsidRPr="00A6284F">
        <w:rPr>
          <w:rFonts w:eastAsia="Times New Roman"/>
          <w:color w:val="000000"/>
          <w:sz w:val="24"/>
          <w:lang w:val="sq-AL"/>
        </w:rPr>
        <w:t xml:space="preserve"> janë përmirësuar</w:t>
      </w:r>
      <w:r w:rsidR="00555007" w:rsidRPr="00A6284F">
        <w:rPr>
          <w:rFonts w:eastAsia="Times New Roman"/>
          <w:color w:val="000000"/>
          <w:sz w:val="24"/>
          <w:lang w:val="sq-AL"/>
        </w:rPr>
        <w:t xml:space="preserve"> edhe më tej</w:t>
      </w:r>
      <w:r w:rsidRPr="00A6284F">
        <w:rPr>
          <w:rFonts w:eastAsia="Times New Roman"/>
          <w:color w:val="000000"/>
          <w:sz w:val="24"/>
          <w:lang w:val="sq-AL"/>
        </w:rPr>
        <w:t xml:space="preserve">. Në vitin e kaluar, numri i </w:t>
      </w:r>
      <w:r w:rsidR="00555007" w:rsidRPr="00A6284F">
        <w:rPr>
          <w:rFonts w:eastAsia="Times New Roman"/>
          <w:color w:val="000000"/>
          <w:sz w:val="24"/>
          <w:lang w:val="sq-AL"/>
        </w:rPr>
        <w:t xml:space="preserve">pikave të </w:t>
      </w:r>
      <w:proofErr w:type="spellStart"/>
      <w:r w:rsidR="00555007" w:rsidRPr="00A6284F">
        <w:rPr>
          <w:rFonts w:eastAsia="Times New Roman"/>
          <w:color w:val="000000"/>
          <w:sz w:val="24"/>
          <w:lang w:val="sq-AL"/>
        </w:rPr>
        <w:t>t</w:t>
      </w:r>
      <w:r w:rsidRPr="00A6284F">
        <w:rPr>
          <w:rFonts w:eastAsia="Times New Roman"/>
          <w:color w:val="000000"/>
          <w:sz w:val="24"/>
          <w:lang w:val="sq-AL"/>
        </w:rPr>
        <w:t>ë</w:t>
      </w:r>
      <w:proofErr w:type="spellEnd"/>
      <w:r w:rsidRPr="00A6284F">
        <w:rPr>
          <w:rFonts w:eastAsia="Times New Roman"/>
          <w:color w:val="000000"/>
          <w:sz w:val="24"/>
          <w:lang w:val="sq-AL"/>
        </w:rPr>
        <w:t xml:space="preserve"> dhënave nga Kosova në dispozicion në </w:t>
      </w:r>
      <w:proofErr w:type="spellStart"/>
      <w:r w:rsidRPr="00A6284F">
        <w:rPr>
          <w:rFonts w:eastAsia="Times New Roman"/>
          <w:color w:val="000000"/>
          <w:sz w:val="24"/>
          <w:lang w:val="sq-AL"/>
        </w:rPr>
        <w:t>Eurobase</w:t>
      </w:r>
      <w:proofErr w:type="spellEnd"/>
      <w:r w:rsidRPr="00A6284F">
        <w:rPr>
          <w:rFonts w:eastAsia="Times New Roman"/>
          <w:color w:val="000000"/>
          <w:sz w:val="24"/>
          <w:lang w:val="sq-AL"/>
        </w:rPr>
        <w:t xml:space="preserve"> është rritur prej 30%. ASK është duke përdorur shpërndarjen </w:t>
      </w:r>
      <w:r w:rsidR="00555007" w:rsidRPr="00A6284F">
        <w:rPr>
          <w:rFonts w:eastAsia="Times New Roman"/>
          <w:color w:val="000000"/>
          <w:sz w:val="24"/>
          <w:lang w:val="sq-AL"/>
        </w:rPr>
        <w:t>e statistikave përmes ueb</w:t>
      </w:r>
      <w:r w:rsidR="00A6284F">
        <w:rPr>
          <w:rFonts w:eastAsia="Times New Roman"/>
          <w:color w:val="000000"/>
          <w:sz w:val="24"/>
          <w:lang w:val="sq-AL"/>
        </w:rPr>
        <w:t>-</w:t>
      </w:r>
      <w:r w:rsidR="00555007" w:rsidRPr="00A6284F">
        <w:rPr>
          <w:rFonts w:eastAsia="Times New Roman"/>
          <w:color w:val="000000"/>
          <w:sz w:val="24"/>
          <w:lang w:val="sq-AL"/>
        </w:rPr>
        <w:t>faqes</w:t>
      </w:r>
      <w:r w:rsidRPr="00A6284F">
        <w:rPr>
          <w:rFonts w:eastAsia="Times New Roman"/>
          <w:color w:val="000000"/>
          <w:sz w:val="24"/>
          <w:lang w:val="sq-AL"/>
        </w:rPr>
        <w:t xml:space="preserve">, por përditësimet nuk </w:t>
      </w:r>
      <w:r w:rsidR="007D707F" w:rsidRPr="00A6284F">
        <w:rPr>
          <w:rFonts w:eastAsia="Times New Roman"/>
          <w:color w:val="000000"/>
          <w:sz w:val="24"/>
          <w:lang w:val="sq-AL"/>
        </w:rPr>
        <w:t xml:space="preserve">bëhen </w:t>
      </w:r>
      <w:r w:rsidRPr="00A6284F">
        <w:rPr>
          <w:rFonts w:eastAsia="Times New Roman"/>
          <w:color w:val="000000"/>
          <w:sz w:val="24"/>
          <w:lang w:val="sq-AL"/>
        </w:rPr>
        <w:t xml:space="preserve">në kohën e duhur dhe </w:t>
      </w:r>
      <w:r w:rsidR="007D707F" w:rsidRPr="00A6284F">
        <w:rPr>
          <w:rFonts w:eastAsia="Times New Roman"/>
          <w:color w:val="000000"/>
          <w:sz w:val="24"/>
          <w:lang w:val="sq-AL"/>
        </w:rPr>
        <w:t xml:space="preserve">nuk janë po aq </w:t>
      </w:r>
      <w:r w:rsidRPr="00A6284F">
        <w:rPr>
          <w:rFonts w:eastAsia="Times New Roman"/>
          <w:color w:val="000000"/>
          <w:sz w:val="24"/>
          <w:lang w:val="sq-AL"/>
        </w:rPr>
        <w:t xml:space="preserve">të plota sa botimet në </w:t>
      </w:r>
      <w:proofErr w:type="spellStart"/>
      <w:r w:rsidRPr="00A6284F">
        <w:rPr>
          <w:rFonts w:eastAsia="Times New Roman"/>
          <w:color w:val="000000"/>
          <w:sz w:val="24"/>
          <w:lang w:val="sq-AL"/>
        </w:rPr>
        <w:t>pdf</w:t>
      </w:r>
      <w:proofErr w:type="spellEnd"/>
      <w:r w:rsidRPr="00A6284F">
        <w:rPr>
          <w:rFonts w:eastAsia="Times New Roman"/>
          <w:color w:val="000000"/>
          <w:sz w:val="24"/>
          <w:lang w:val="sq-AL"/>
        </w:rPr>
        <w:t xml:space="preserve">, gjë që </w:t>
      </w:r>
      <w:r w:rsidR="007D707F" w:rsidRPr="00A6284F">
        <w:rPr>
          <w:rFonts w:eastAsia="Times New Roman"/>
          <w:color w:val="000000"/>
          <w:sz w:val="24"/>
          <w:lang w:val="sq-AL"/>
        </w:rPr>
        <w:t xml:space="preserve">zvogëlon </w:t>
      </w:r>
      <w:r w:rsidRPr="00A6284F">
        <w:rPr>
          <w:rFonts w:eastAsia="Times New Roman"/>
          <w:color w:val="000000"/>
          <w:sz w:val="24"/>
          <w:lang w:val="sq-AL"/>
        </w:rPr>
        <w:t xml:space="preserve">dobinë e platformës në internet. Klasifikimi evropian i veprimtarive ekonomike (NACE Rev.2) vazhdon të aplikohet në të gjitha fushat relevante statistikore. </w:t>
      </w:r>
      <w:r w:rsidR="007D707F" w:rsidRPr="00A6284F">
        <w:rPr>
          <w:rFonts w:eastAsia="Times New Roman"/>
          <w:color w:val="000000"/>
          <w:sz w:val="24"/>
          <w:lang w:val="sq-AL"/>
        </w:rPr>
        <w:t>V</w:t>
      </w:r>
      <w:r w:rsidRPr="00A6284F">
        <w:rPr>
          <w:rFonts w:eastAsia="Times New Roman"/>
          <w:color w:val="000000"/>
          <w:sz w:val="24"/>
          <w:lang w:val="sq-AL"/>
        </w:rPr>
        <w:t xml:space="preserve">azhdon </w:t>
      </w:r>
      <w:r w:rsidR="007D707F" w:rsidRPr="00A6284F">
        <w:rPr>
          <w:rFonts w:eastAsia="Times New Roman"/>
          <w:color w:val="000000"/>
          <w:sz w:val="24"/>
          <w:lang w:val="sq-AL"/>
        </w:rPr>
        <w:t xml:space="preserve">puna në përafrimin </w:t>
      </w:r>
      <w:r w:rsidRPr="00A6284F">
        <w:rPr>
          <w:rFonts w:eastAsia="Times New Roman"/>
          <w:color w:val="000000"/>
          <w:sz w:val="24"/>
          <w:lang w:val="sq-AL"/>
        </w:rPr>
        <w:t xml:space="preserve">më </w:t>
      </w:r>
      <w:r w:rsidR="007D707F" w:rsidRPr="00A6284F">
        <w:rPr>
          <w:rFonts w:eastAsia="Times New Roman"/>
          <w:color w:val="000000"/>
          <w:sz w:val="24"/>
          <w:lang w:val="sq-AL"/>
        </w:rPr>
        <w:t xml:space="preserve">të madh të </w:t>
      </w:r>
      <w:r w:rsidRPr="00A6284F">
        <w:rPr>
          <w:rFonts w:eastAsia="Times New Roman"/>
          <w:color w:val="000000"/>
          <w:sz w:val="24"/>
          <w:lang w:val="sq-AL"/>
        </w:rPr>
        <w:t xml:space="preserve">regjistrin statistikor të biznesit me realitetin e veprimtarive ekonomike në Kosovë. Procedura e transmetimit elektronik të </w:t>
      </w:r>
      <w:proofErr w:type="spellStart"/>
      <w:r w:rsidRPr="00A6284F">
        <w:rPr>
          <w:rFonts w:eastAsia="Times New Roman"/>
          <w:color w:val="000000"/>
          <w:sz w:val="24"/>
          <w:lang w:val="sq-AL"/>
        </w:rPr>
        <w:t>të</w:t>
      </w:r>
      <w:proofErr w:type="spellEnd"/>
      <w:r w:rsidRPr="00A6284F">
        <w:rPr>
          <w:rFonts w:eastAsia="Times New Roman"/>
          <w:color w:val="000000"/>
          <w:sz w:val="24"/>
          <w:lang w:val="sq-AL"/>
        </w:rPr>
        <w:t xml:space="preserve"> dhënave është zhvilluar me Agjencinë e Regjistrimit të Bizneseve të Kosovës (ARBK) dhe Administratën Tatimore të Kosovës (ATK), ku dhe Regjistri i Bizneseve Statistikore është përditësuar automatikisht me të dhënat e grumbulluara në anketa të ndryshme. Regjistrimi i popullsisë ka nevojë për përmirësime të konsiderueshme në mënyrë që të sigurojë informacion gjithëpërfshirës dhe të besueshëm përpara regjistrimit të planifikuar të vitit 2021. Në përgjithësi, ASK duhet të bëjë më shumë përpjekje në harmonizimin e të dhënave ekzistuese me kërkesat e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 me qëllim që të rrisin dukshmërinë e tyre.</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Tek </w:t>
      </w:r>
      <w:r w:rsidRPr="00A6284F">
        <w:rPr>
          <w:rFonts w:eastAsia="Times New Roman"/>
          <w:b/>
          <w:color w:val="000000"/>
          <w:sz w:val="24"/>
          <w:lang w:val="sq-AL"/>
        </w:rPr>
        <w:t>statistikat makro-ekonomike</w:t>
      </w:r>
      <w:r w:rsidRPr="00A6284F">
        <w:rPr>
          <w:rFonts w:eastAsia="Times New Roman"/>
          <w:color w:val="000000"/>
          <w:sz w:val="24"/>
          <w:lang w:val="sq-AL"/>
        </w:rPr>
        <w:t xml:space="preserve">, është </w:t>
      </w:r>
      <w:r w:rsidR="007D707F" w:rsidRPr="00A6284F">
        <w:rPr>
          <w:rFonts w:eastAsia="Times New Roman"/>
          <w:color w:val="000000"/>
          <w:sz w:val="24"/>
          <w:lang w:val="sq-AL"/>
        </w:rPr>
        <w:t>duke</w:t>
      </w:r>
      <w:r w:rsidRPr="00A6284F">
        <w:rPr>
          <w:rFonts w:eastAsia="Times New Roman"/>
          <w:color w:val="000000"/>
          <w:sz w:val="24"/>
          <w:lang w:val="sq-AL"/>
        </w:rPr>
        <w:t xml:space="preserve"> vazhd</w:t>
      </w:r>
      <w:r w:rsidR="007D707F" w:rsidRPr="00A6284F">
        <w:rPr>
          <w:rFonts w:eastAsia="Times New Roman"/>
          <w:color w:val="000000"/>
          <w:sz w:val="24"/>
          <w:lang w:val="sq-AL"/>
        </w:rPr>
        <w:t xml:space="preserve">uar </w:t>
      </w:r>
      <w:r w:rsidRPr="00A6284F">
        <w:rPr>
          <w:rFonts w:eastAsia="Times New Roman"/>
          <w:color w:val="000000"/>
          <w:sz w:val="24"/>
          <w:lang w:val="sq-AL"/>
        </w:rPr>
        <w:t xml:space="preserve">harmonizimi i mëtutjeshëm me Sistemi Evropian </w:t>
      </w:r>
      <w:r w:rsidR="007D707F" w:rsidRPr="00A6284F">
        <w:rPr>
          <w:rFonts w:eastAsia="Times New Roman"/>
          <w:color w:val="000000"/>
          <w:sz w:val="24"/>
          <w:lang w:val="sq-AL"/>
        </w:rPr>
        <w:t xml:space="preserve">të </w:t>
      </w:r>
      <w:r w:rsidRPr="00A6284F">
        <w:rPr>
          <w:rFonts w:eastAsia="Times New Roman"/>
          <w:color w:val="000000"/>
          <w:sz w:val="24"/>
          <w:lang w:val="sq-AL"/>
        </w:rPr>
        <w:t>Llogarive Kombëtare dhe Rajonale (ESA 2010). ASK publikon llogaritë kombëtare tremujore në T+90 ditë, por llogaritë vjetore dhe tremujore të sektorit, tabelat e furnizimit/përdorimit dhe llogaritë rajonale nuk përpil</w:t>
      </w:r>
      <w:r w:rsidR="007D707F" w:rsidRPr="00A6284F">
        <w:rPr>
          <w:rFonts w:eastAsia="Times New Roman"/>
          <w:color w:val="000000"/>
          <w:sz w:val="24"/>
          <w:lang w:val="sq-AL"/>
        </w:rPr>
        <w:t xml:space="preserve">ohen </w:t>
      </w:r>
      <w:r w:rsidRPr="00A6284F">
        <w:rPr>
          <w:rFonts w:eastAsia="Times New Roman"/>
          <w:color w:val="000000"/>
          <w:sz w:val="24"/>
          <w:lang w:val="sq-AL"/>
        </w:rPr>
        <w:t xml:space="preserve">rregullisht. Njoftimet fiskale dhe llogaritë financiare nuk janë ende në dispozicion. Statistikat mujore për tregtinë e mallrave dhe shifrat vjetore për tregtinë e shërbimeve dorëzohen në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Të dhënat për bilancin e pagesave</w:t>
      </w:r>
      <w:r w:rsidR="007D707F" w:rsidRPr="00A6284F">
        <w:rPr>
          <w:rFonts w:eastAsia="Times New Roman"/>
          <w:color w:val="000000"/>
          <w:sz w:val="24"/>
          <w:lang w:val="sq-AL"/>
        </w:rPr>
        <w:t xml:space="preserve"> </w:t>
      </w:r>
      <w:r w:rsidRPr="00A6284F">
        <w:rPr>
          <w:rFonts w:eastAsia="Times New Roman"/>
          <w:color w:val="000000"/>
          <w:sz w:val="24"/>
          <w:lang w:val="sq-AL"/>
        </w:rPr>
        <w:t xml:space="preserve">përpilohen nga Banka Qendrore dhe janë përgjithësisht në përputhje me </w:t>
      </w:r>
      <w:r w:rsidR="007D707F" w:rsidRPr="00A6284F">
        <w:rPr>
          <w:rFonts w:eastAsia="Times New Roman"/>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 xml:space="preserve"> </w:t>
      </w:r>
      <w:r w:rsidR="007D707F" w:rsidRPr="00A6284F">
        <w:rPr>
          <w:rFonts w:eastAsia="Times New Roman"/>
          <w:color w:val="000000"/>
          <w:sz w:val="24"/>
          <w:lang w:val="sq-AL"/>
        </w:rPr>
        <w:t>e</w:t>
      </w:r>
      <w:r w:rsidRPr="00A6284F">
        <w:rPr>
          <w:rFonts w:eastAsia="Times New Roman"/>
          <w:color w:val="000000"/>
          <w:sz w:val="24"/>
          <w:lang w:val="sq-AL"/>
        </w:rPr>
        <w:t xml:space="preserve"> BE; të dhënat vjetore dhe tremujore i dorëzohen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-it. Statistikat e financave qeveritare publikohen në baza tremujore. Kosova publikon një indeks të harmonizuar të çmimeve të konsumit bazuar në standardet e BE-së (klasifikimi ECOICOP), por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 aktualisht nuk e publikon atë për shkak të problemeve të konsistencën në agregim.</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b/>
          <w:color w:val="000000"/>
          <w:sz w:val="24"/>
          <w:lang w:val="sq-AL"/>
        </w:rPr>
        <w:t>Statistikat strukturore të biznesit</w:t>
      </w:r>
      <w:r w:rsidRPr="00A6284F">
        <w:rPr>
          <w:rFonts w:eastAsia="Times New Roman"/>
          <w:color w:val="000000"/>
          <w:sz w:val="24"/>
          <w:lang w:val="sq-AL"/>
        </w:rPr>
        <w:t xml:space="preserve"> dhe disa statistika afatshkurtra janë pjesërisht në përputhje me</w:t>
      </w:r>
      <w:r w:rsidR="007F566B" w:rsidRPr="00A6284F">
        <w:rPr>
          <w:rFonts w:eastAsia="Times New Roman"/>
          <w:color w:val="000000"/>
          <w:sz w:val="24"/>
          <w:lang w:val="sq-AL"/>
        </w:rPr>
        <w:t xml:space="preserve"> a</w:t>
      </w:r>
      <w:r w:rsidRPr="00A6284F">
        <w:rPr>
          <w:rFonts w:eastAsia="Times New Roman"/>
          <w:i/>
          <w:color w:val="000000"/>
          <w:sz w:val="24"/>
          <w:lang w:val="sq-AL"/>
        </w:rPr>
        <w:t>cquis</w:t>
      </w:r>
      <w:r w:rsidRPr="00A6284F">
        <w:rPr>
          <w:rFonts w:eastAsia="Times New Roman"/>
          <w:color w:val="000000"/>
          <w:sz w:val="24"/>
          <w:lang w:val="sq-AL"/>
        </w:rPr>
        <w:t xml:space="preserve"> të BE, por </w:t>
      </w:r>
      <w:proofErr w:type="spellStart"/>
      <w:r w:rsidRPr="00A6284F">
        <w:rPr>
          <w:rFonts w:eastAsia="Times New Roman"/>
          <w:color w:val="000000"/>
          <w:sz w:val="24"/>
          <w:lang w:val="sq-AL"/>
        </w:rPr>
        <w:t>disponueshmëria</w:t>
      </w:r>
      <w:proofErr w:type="spellEnd"/>
      <w:r w:rsidRPr="00A6284F">
        <w:rPr>
          <w:rFonts w:eastAsia="Times New Roman"/>
          <w:color w:val="000000"/>
          <w:sz w:val="24"/>
          <w:lang w:val="sq-AL"/>
        </w:rPr>
        <w:t xml:space="preserve"> e statistikave afatshkurtra është e kufizuar. Statistikat e industrisë janë përpiluar në baza tremujore, por nuk janë hartuar statistika për sektorët e ndërtimit dhe të shërbimeve.</w:t>
      </w:r>
      <w:r w:rsidR="007F566B" w:rsidRPr="00A6284F">
        <w:rPr>
          <w:rFonts w:eastAsia="Times New Roman"/>
          <w:color w:val="000000"/>
          <w:sz w:val="24"/>
          <w:lang w:val="sq-AL"/>
        </w:rPr>
        <w:t xml:space="preserve"> </w:t>
      </w:r>
      <w:r w:rsidRPr="00A6284F">
        <w:rPr>
          <w:rFonts w:eastAsia="Times New Roman"/>
          <w:color w:val="000000"/>
          <w:sz w:val="24"/>
          <w:lang w:val="sq-AL"/>
        </w:rPr>
        <w:t>Indeksi</w:t>
      </w:r>
      <w:r w:rsidR="007F566B" w:rsidRPr="00A6284F">
        <w:rPr>
          <w:rFonts w:eastAsia="Times New Roman"/>
          <w:color w:val="000000"/>
          <w:sz w:val="24"/>
          <w:lang w:val="sq-AL"/>
        </w:rPr>
        <w:t xml:space="preserve"> </w:t>
      </w:r>
      <w:r w:rsidRPr="00A6284F">
        <w:rPr>
          <w:rFonts w:eastAsia="Times New Roman"/>
          <w:color w:val="000000"/>
          <w:sz w:val="24"/>
          <w:lang w:val="sq-AL"/>
        </w:rPr>
        <w:t xml:space="preserve">i kostos së ndërtimit prodhohet në baza tremujore. Statistikat industriale (sipas listës së produkteve PRODCOM e Bashkimit Evropian) për vitin 2017 u botuan në dhjetor të vitit 2018. Disa statistika të turizmit dhe ato të transportit janë transmetuar në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 por ende nuk janë në përputhje të plotë me </w:t>
      </w:r>
      <w:r w:rsidR="00B65FE2" w:rsidRPr="00A6284F">
        <w:rPr>
          <w:rFonts w:eastAsia="Times New Roman"/>
          <w:i/>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 Statistikat për hulumtim, zhvillim dhe inovacion nuk prodhohen në baza të rregullta. ASK publikoi rezultatet e një studimi mbi teknologjitë informative dhe të komunikimit (TIK) për ekonomitë familjare në janar të vitit 2019, por ende nuk ka kryer një studim mbi përdorimin e TIK nga ndërmarrjet.</w:t>
      </w:r>
    </w:p>
    <w:p w:rsidR="000A4761" w:rsidRPr="00A6284F" w:rsidRDefault="000A4761" w:rsidP="000A4761">
      <w:pPr>
        <w:spacing w:before="125" w:line="276" w:lineRule="exact"/>
        <w:ind w:left="144" w:right="144"/>
        <w:jc w:val="both"/>
        <w:textAlignment w:val="baseline"/>
        <w:rPr>
          <w:rFonts w:eastAsia="Times New Roman"/>
          <w:color w:val="000000"/>
          <w:spacing w:val="-1"/>
          <w:sz w:val="24"/>
          <w:lang w:val="sq-AL"/>
        </w:rPr>
      </w:pPr>
      <w:r w:rsidRPr="00A6284F">
        <w:rPr>
          <w:rFonts w:eastAsia="Times New Roman"/>
          <w:color w:val="000000"/>
          <w:spacing w:val="-1"/>
          <w:sz w:val="24"/>
          <w:lang w:val="sq-AL"/>
        </w:rPr>
        <w:t xml:space="preserve">Në fushën e </w:t>
      </w:r>
      <w:r w:rsidRPr="00A6284F">
        <w:rPr>
          <w:rFonts w:eastAsia="Times New Roman"/>
          <w:b/>
          <w:color w:val="000000"/>
          <w:spacing w:val="-1"/>
          <w:sz w:val="24"/>
          <w:lang w:val="sq-AL"/>
        </w:rPr>
        <w:t>statistikave sociale</w:t>
      </w:r>
      <w:r w:rsidRPr="00A6284F">
        <w:rPr>
          <w:rFonts w:eastAsia="Times New Roman"/>
          <w:color w:val="000000"/>
          <w:spacing w:val="-1"/>
          <w:sz w:val="24"/>
          <w:lang w:val="sq-AL"/>
        </w:rPr>
        <w:t xml:space="preserve">, vetëm statistikat demografike janë gjerësisht në përputhje me </w:t>
      </w:r>
      <w:r w:rsidR="00B65FE2" w:rsidRPr="00A6284F">
        <w:rPr>
          <w:rFonts w:eastAsia="Times New Roman"/>
          <w:color w:val="000000"/>
          <w:spacing w:val="-1"/>
          <w:sz w:val="24"/>
          <w:lang w:val="sq-AL"/>
        </w:rPr>
        <w:t>a</w:t>
      </w:r>
      <w:r w:rsidRPr="00A6284F">
        <w:rPr>
          <w:rFonts w:eastAsia="Times New Roman"/>
          <w:i/>
          <w:color w:val="000000"/>
          <w:spacing w:val="-1"/>
          <w:sz w:val="24"/>
          <w:lang w:val="sq-AL"/>
        </w:rPr>
        <w:t>cquis</w:t>
      </w:r>
      <w:r w:rsidRPr="00A6284F">
        <w:rPr>
          <w:rFonts w:eastAsia="Times New Roman"/>
          <w:color w:val="000000"/>
          <w:spacing w:val="-1"/>
          <w:sz w:val="24"/>
          <w:lang w:val="sq-AL"/>
        </w:rPr>
        <w:t xml:space="preserve">. Si çështje prioritare, ASK duhet të sigurojë burimet dhe të vazhdojë përgatitjet për regjistrimin e popullsisë 2021, me mbulim të plotë të territorit të Kosovës. Në vitin 2018, për herë të parë, ASK-ja kreu një studim të plotë të </w:t>
      </w:r>
      <w:proofErr w:type="spellStart"/>
      <w:r w:rsidRPr="00A6284F">
        <w:rPr>
          <w:rFonts w:eastAsia="Times New Roman"/>
          <w:color w:val="000000"/>
          <w:spacing w:val="-1"/>
          <w:sz w:val="24"/>
          <w:lang w:val="sq-AL"/>
        </w:rPr>
        <w:t>të</w:t>
      </w:r>
      <w:proofErr w:type="spellEnd"/>
      <w:r w:rsidRPr="00A6284F">
        <w:rPr>
          <w:rFonts w:eastAsia="Times New Roman"/>
          <w:color w:val="000000"/>
          <w:spacing w:val="-1"/>
          <w:sz w:val="24"/>
          <w:lang w:val="sq-AL"/>
        </w:rPr>
        <w:t xml:space="preserve"> ardhurave dhe kushteve të jetesës (EU-SILC-i i rregullt) sipas metodologjisë së BE-së dhe synon të përsërisë ushtrimin në baza vjetore. Disa përmirësime janë bërë në anketën e fuqisë punëtore (AFP): AFP vjetore dhe </w:t>
      </w:r>
      <w:r w:rsidRPr="00A6284F">
        <w:rPr>
          <w:rFonts w:eastAsia="Times New Roman"/>
          <w:color w:val="000000"/>
          <w:spacing w:val="-1"/>
          <w:sz w:val="24"/>
          <w:lang w:val="sq-AL"/>
        </w:rPr>
        <w:lastRenderedPageBreak/>
        <w:t xml:space="preserve">tremujore është kryer dhe afati kohor i publikimit është përmirësuar. Sidoqoftë, </w:t>
      </w:r>
      <w:proofErr w:type="spellStart"/>
      <w:r w:rsidRPr="00A6284F">
        <w:rPr>
          <w:rFonts w:eastAsia="Times New Roman"/>
          <w:color w:val="000000"/>
          <w:spacing w:val="-1"/>
          <w:sz w:val="24"/>
          <w:lang w:val="sq-AL"/>
        </w:rPr>
        <w:t>Eurostat</w:t>
      </w:r>
      <w:proofErr w:type="spellEnd"/>
      <w:r w:rsidRPr="00A6284F">
        <w:rPr>
          <w:rFonts w:eastAsia="Times New Roman"/>
          <w:color w:val="000000"/>
          <w:spacing w:val="-1"/>
          <w:sz w:val="24"/>
          <w:lang w:val="sq-AL"/>
        </w:rPr>
        <w:t xml:space="preserve"> ende nuk i ka pranuar të dhënat. Janë prodhuar disa statistika të mbrojtjes sociale, por statistikat e papunësisë mbeten të pasigurta.</w:t>
      </w:r>
    </w:p>
    <w:p w:rsidR="000A4761" w:rsidRPr="00A6284F" w:rsidRDefault="000A4761" w:rsidP="000A4761">
      <w:pPr>
        <w:spacing w:before="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Statistikat e arsimit ende nuk prodhohen në</w:t>
      </w:r>
      <w:r w:rsidR="00B65FE2" w:rsidRPr="00A6284F">
        <w:rPr>
          <w:rFonts w:eastAsia="Times New Roman"/>
          <w:color w:val="000000"/>
          <w:sz w:val="24"/>
          <w:lang w:val="sq-AL"/>
        </w:rPr>
        <w:t xml:space="preserve"> </w:t>
      </w:r>
      <w:r w:rsidRPr="00A6284F">
        <w:rPr>
          <w:rFonts w:eastAsia="Times New Roman"/>
          <w:color w:val="000000"/>
          <w:sz w:val="24"/>
          <w:lang w:val="sq-AL"/>
        </w:rPr>
        <w:t>pajtim me standardet ndërkombëtare të klasifikimit të arsimit (ISCED 2011). Ende nuk prodhohe</w:t>
      </w:r>
      <w:r w:rsidR="00B65FE2" w:rsidRPr="00A6284F">
        <w:rPr>
          <w:rFonts w:eastAsia="Times New Roman"/>
          <w:color w:val="000000"/>
          <w:sz w:val="24"/>
          <w:lang w:val="sq-AL"/>
        </w:rPr>
        <w:t>t</w:t>
      </w:r>
      <w:r w:rsidRPr="00A6284F">
        <w:rPr>
          <w:rFonts w:eastAsia="Times New Roman"/>
          <w:color w:val="000000"/>
          <w:sz w:val="24"/>
          <w:lang w:val="sq-AL"/>
        </w:rPr>
        <w:t xml:space="preserve"> indeksi i kostos së punës, struktura e të ardhurave dhe statistikat e vendeve të lira të punës. Statistikat e shëndetit publik dhe krimit ende nuk janë në përputhje me standardet e BE-së.</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Për </w:t>
      </w:r>
      <w:r w:rsidRPr="00A6284F">
        <w:rPr>
          <w:rFonts w:eastAsia="Times New Roman"/>
          <w:b/>
          <w:color w:val="000000"/>
          <w:sz w:val="24"/>
          <w:lang w:val="sq-AL"/>
        </w:rPr>
        <w:t>statistikat bujqësore,</w:t>
      </w:r>
      <w:r w:rsidRPr="00A6284F">
        <w:rPr>
          <w:rFonts w:eastAsia="Times New Roman"/>
          <w:color w:val="000000"/>
          <w:sz w:val="24"/>
          <w:lang w:val="sq-AL"/>
        </w:rPr>
        <w:t xml:space="preserve"> ASK publikoi të dhëna për të mbjellat vjetore bujqësore, bagëtinë dhe pemëtarinë. Anketa për fermat bujqësore prodhohet rregullisht dhe është e </w:t>
      </w:r>
      <w:r w:rsidR="00EE599F" w:rsidRPr="00A6284F">
        <w:rPr>
          <w:rFonts w:eastAsia="Times New Roman"/>
          <w:color w:val="000000"/>
          <w:sz w:val="24"/>
          <w:lang w:val="sq-AL"/>
        </w:rPr>
        <w:t>përafruar</w:t>
      </w:r>
      <w:r w:rsidRPr="00A6284F">
        <w:rPr>
          <w:rFonts w:eastAsia="Times New Roman"/>
          <w:color w:val="000000"/>
          <w:sz w:val="24"/>
          <w:lang w:val="sq-AL"/>
        </w:rPr>
        <w:t xml:space="preserve"> me standardet e </w:t>
      </w:r>
      <w:r w:rsidR="00B65FE2" w:rsidRPr="00A6284F">
        <w:rPr>
          <w:rFonts w:eastAsia="Times New Roman"/>
          <w:i/>
          <w:color w:val="000000"/>
          <w:sz w:val="24"/>
          <w:lang w:val="sq-AL"/>
        </w:rPr>
        <w:t>a</w:t>
      </w:r>
      <w:r w:rsidRPr="00A6284F">
        <w:rPr>
          <w:rFonts w:eastAsia="Times New Roman"/>
          <w:i/>
          <w:color w:val="000000"/>
          <w:sz w:val="24"/>
          <w:lang w:val="sq-AL"/>
        </w:rPr>
        <w:t>cquis</w:t>
      </w:r>
      <w:r w:rsidRPr="00A6284F">
        <w:rPr>
          <w:rFonts w:eastAsia="Times New Roman"/>
          <w:color w:val="000000"/>
          <w:sz w:val="24"/>
          <w:lang w:val="sq-AL"/>
        </w:rPr>
        <w:t>. Nuk ka plane për të kryer një studim mbi strukturën e fermave këtë vit, por në vend të saj ASK është duke e</w:t>
      </w:r>
      <w:r w:rsidR="00B65FE2" w:rsidRPr="00A6284F">
        <w:rPr>
          <w:rFonts w:eastAsia="Times New Roman"/>
          <w:color w:val="000000"/>
          <w:sz w:val="24"/>
          <w:lang w:val="sq-AL"/>
        </w:rPr>
        <w:t xml:space="preserve"> kryer një studim për korrurat </w:t>
      </w:r>
      <w:r w:rsidRPr="00A6284F">
        <w:rPr>
          <w:rFonts w:eastAsia="Times New Roman"/>
          <w:color w:val="000000"/>
          <w:sz w:val="24"/>
          <w:lang w:val="sq-AL"/>
        </w:rPr>
        <w:t>dhe blegto</w:t>
      </w:r>
      <w:r w:rsidR="00B65FE2" w:rsidRPr="00A6284F">
        <w:rPr>
          <w:rFonts w:eastAsia="Times New Roman"/>
          <w:color w:val="000000"/>
          <w:sz w:val="24"/>
          <w:lang w:val="sq-AL"/>
        </w:rPr>
        <w:t>rinë</w:t>
      </w:r>
      <w:r w:rsidRPr="00A6284F">
        <w:rPr>
          <w:rFonts w:eastAsia="Times New Roman"/>
          <w:color w:val="000000"/>
          <w:sz w:val="24"/>
          <w:lang w:val="sq-AL"/>
        </w:rPr>
        <w:t>. Indekset e çmimeve bujqësore dhe llogaritë ekonomike për bujqësinë prodhohen në baza të rregullta. Bilancet e gjendjes së ofertës dhe indeksi i fuqisë punëtore në bujqësi ende nuk prodhohen.</w:t>
      </w:r>
    </w:p>
    <w:p w:rsidR="000A4761" w:rsidRPr="00A6284F" w:rsidRDefault="000A4761" w:rsidP="000A4761">
      <w:pPr>
        <w:spacing w:before="120" w:after="7863" w:line="276" w:lineRule="exact"/>
        <w:ind w:left="144" w:right="144"/>
        <w:jc w:val="both"/>
        <w:textAlignment w:val="baseline"/>
        <w:rPr>
          <w:rFonts w:eastAsia="Times New Roman"/>
          <w:b/>
          <w:color w:val="000000"/>
          <w:sz w:val="24"/>
          <w:lang w:val="sq-AL"/>
        </w:rPr>
      </w:pPr>
      <w:r w:rsidRPr="00A6284F">
        <w:rPr>
          <w:rFonts w:eastAsia="Times New Roman"/>
          <w:b/>
          <w:color w:val="000000"/>
          <w:sz w:val="24"/>
          <w:lang w:val="sq-AL"/>
        </w:rPr>
        <w:t xml:space="preserve">Statistikat energjetike </w:t>
      </w:r>
      <w:r w:rsidRPr="00A6284F">
        <w:rPr>
          <w:rFonts w:eastAsia="Times New Roman"/>
          <w:color w:val="000000"/>
          <w:sz w:val="24"/>
          <w:lang w:val="sq-AL"/>
        </w:rPr>
        <w:t xml:space="preserve">dhe mjedisore janë pjesërisht në përputhje me </w:t>
      </w:r>
      <w:r w:rsidRPr="00A6284F">
        <w:rPr>
          <w:rFonts w:eastAsia="Times New Roman"/>
          <w:i/>
          <w:color w:val="000000"/>
          <w:sz w:val="24"/>
          <w:lang w:val="sq-AL"/>
        </w:rPr>
        <w:t>Acquis</w:t>
      </w:r>
      <w:r w:rsidRPr="00A6284F">
        <w:rPr>
          <w:rFonts w:eastAsia="Times New Roman"/>
          <w:color w:val="000000"/>
          <w:sz w:val="24"/>
          <w:lang w:val="sq-AL"/>
        </w:rPr>
        <w:t>. ASK ka rritur numrin e produkteve</w:t>
      </w:r>
      <w:r w:rsidR="00EE599F" w:rsidRPr="00A6284F">
        <w:rPr>
          <w:rFonts w:eastAsia="Times New Roman"/>
          <w:color w:val="000000"/>
          <w:sz w:val="24"/>
          <w:lang w:val="sq-AL"/>
        </w:rPr>
        <w:t xml:space="preserve"> </w:t>
      </w:r>
      <w:r w:rsidRPr="00A6284F">
        <w:rPr>
          <w:rFonts w:eastAsia="Times New Roman"/>
          <w:color w:val="000000"/>
          <w:sz w:val="24"/>
          <w:lang w:val="sq-AL"/>
        </w:rPr>
        <w:t xml:space="preserve">statistikore që i dërgohen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-it, por shumë statistika të kërkuara ose nuk plotësonin standardet e BE-së ose nuk </w:t>
      </w:r>
      <w:proofErr w:type="spellStart"/>
      <w:r w:rsidR="00EE599F" w:rsidRPr="00A6284F">
        <w:rPr>
          <w:rFonts w:eastAsia="Times New Roman"/>
          <w:color w:val="000000"/>
          <w:sz w:val="24"/>
          <w:lang w:val="sq-AL"/>
        </w:rPr>
        <w:t>gjeneroheshin</w:t>
      </w:r>
      <w:proofErr w:type="spellEnd"/>
      <w:r w:rsidRPr="00A6284F">
        <w:rPr>
          <w:rFonts w:eastAsia="Times New Roman"/>
          <w:color w:val="000000"/>
          <w:sz w:val="24"/>
          <w:lang w:val="sq-AL"/>
        </w:rPr>
        <w:t xml:space="preserve"> fare. Në prill të vitit 2018, statistikat mbi konsumin e energjisë në sektorin banesor janë publikuar për herë të parë, por vetëm për vitin referues 2015, i cili është në përdorimit të kufizuar. Të dhënat mujore dhe përqindja mujore e burimeve të </w:t>
      </w:r>
      <w:r w:rsidR="00EE599F" w:rsidRPr="00A6284F">
        <w:rPr>
          <w:rFonts w:eastAsia="Times New Roman"/>
          <w:color w:val="000000"/>
          <w:sz w:val="24"/>
          <w:lang w:val="sq-AL"/>
        </w:rPr>
        <w:t>ripërtërishme</w:t>
      </w:r>
      <w:r w:rsidRPr="00A6284F">
        <w:rPr>
          <w:rFonts w:eastAsia="Times New Roman"/>
          <w:color w:val="000000"/>
          <w:sz w:val="24"/>
          <w:lang w:val="sq-AL"/>
        </w:rPr>
        <w:t xml:space="preserve"> nuk i ofrohen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-it. Raporti i parë mbi statistikat e efikasitetit të energjisë u botua në mars të vitit 2018 sipas kërkesave të </w:t>
      </w:r>
      <w:proofErr w:type="spellStart"/>
      <w:r w:rsidRPr="00A6284F">
        <w:rPr>
          <w:rFonts w:eastAsia="Times New Roman"/>
          <w:color w:val="000000"/>
          <w:sz w:val="24"/>
          <w:lang w:val="sq-AL"/>
        </w:rPr>
        <w:t>Eurostat</w:t>
      </w:r>
      <w:proofErr w:type="spellEnd"/>
      <w:r w:rsidRPr="00A6284F">
        <w:rPr>
          <w:rFonts w:eastAsia="Times New Roman"/>
          <w:color w:val="000000"/>
          <w:sz w:val="24"/>
          <w:lang w:val="sq-AL"/>
        </w:rPr>
        <w:t xml:space="preserve">-it. Raportimi i tillë duhet të përmirësohet më tutje, gjë që gjithashtu do të lehtësonte planifikimin e projekteve të bazuara në dëshmi nga </w:t>
      </w:r>
      <w:r w:rsidR="00EE599F" w:rsidRPr="00A6284F">
        <w:rPr>
          <w:rFonts w:eastAsia="Times New Roman"/>
          <w:color w:val="000000"/>
          <w:sz w:val="24"/>
          <w:lang w:val="sq-AL"/>
        </w:rPr>
        <w:t xml:space="preserve">fondi i ri </w:t>
      </w:r>
      <w:r w:rsidRPr="00A6284F">
        <w:rPr>
          <w:rFonts w:eastAsia="Times New Roman"/>
          <w:color w:val="000000"/>
          <w:sz w:val="24"/>
          <w:lang w:val="sq-AL"/>
        </w:rPr>
        <w:t xml:space="preserve">për </w:t>
      </w:r>
      <w:proofErr w:type="spellStart"/>
      <w:r w:rsidRPr="00A6284F">
        <w:rPr>
          <w:rFonts w:eastAsia="Times New Roman"/>
          <w:color w:val="000000"/>
          <w:sz w:val="24"/>
          <w:lang w:val="sq-AL"/>
        </w:rPr>
        <w:t>Efiçiencën</w:t>
      </w:r>
      <w:proofErr w:type="spellEnd"/>
      <w:r w:rsidRPr="00A6284F">
        <w:rPr>
          <w:rFonts w:eastAsia="Times New Roman"/>
          <w:color w:val="000000"/>
          <w:sz w:val="24"/>
          <w:lang w:val="sq-AL"/>
        </w:rPr>
        <w:t xml:space="preserve"> e Energjisë. Statistikat për mbeturina dhe ujë prodhohen rregullisht. Statistikat e emetimit të gazeve serrë grumbullohen por informacioni nuk publikohet rregullisht. Kosova është duke filluar të publikojë statistika mbi ndotjen e ajrit. Statistikat mjedisore për tatimet përkatëse mjedisore, shpenzimet në mbrojtje dhe llogaritë e rrjedhave materiale ende nuk prodhohen.</w:t>
      </w:r>
    </w:p>
    <w:p w:rsidR="000A4761" w:rsidRPr="00A6284F" w:rsidRDefault="000A4761" w:rsidP="000A4761">
      <w:pPr>
        <w:spacing w:before="120" w:after="7863" w:line="276" w:lineRule="exact"/>
        <w:rPr>
          <w:lang w:val="sq-AL"/>
        </w:rPr>
        <w:sectPr w:rsidR="000A4761" w:rsidRPr="00A6284F">
          <w:pgSz w:w="11909" w:h="16838"/>
          <w:pgMar w:top="1400" w:right="1274" w:bottom="562" w:left="1275" w:header="720" w:footer="720" w:gutter="0"/>
          <w:cols w:space="720"/>
        </w:sectPr>
      </w:pPr>
    </w:p>
    <w:p w:rsidR="000A4761" w:rsidRPr="00A6284F" w:rsidRDefault="000A4761" w:rsidP="000A4761">
      <w:pPr>
        <w:rPr>
          <w:lang w:val="sq-AL"/>
        </w:rPr>
        <w:sectPr w:rsidR="000A4761" w:rsidRPr="00A6284F">
          <w:type w:val="continuous"/>
          <w:pgSz w:w="11909" w:h="16838"/>
          <w:pgMar w:top="1400" w:right="1274" w:bottom="562" w:left="1275" w:header="720" w:footer="720" w:gutter="0"/>
          <w:cols w:space="720"/>
        </w:sectPr>
      </w:pPr>
    </w:p>
    <w:p w:rsidR="000A4761" w:rsidRPr="00A6284F" w:rsidRDefault="000A4761" w:rsidP="000A4761">
      <w:pPr>
        <w:spacing w:before="52" w:line="278" w:lineRule="exact"/>
        <w:ind w:left="144"/>
        <w:textAlignment w:val="baseline"/>
        <w:rPr>
          <w:rFonts w:eastAsia="Times New Roman"/>
          <w:b/>
          <w:color w:val="000000"/>
          <w:sz w:val="24"/>
          <w:lang w:val="sq-AL"/>
        </w:rPr>
      </w:pPr>
      <w:r w:rsidRPr="00A6284F">
        <w:rPr>
          <w:rFonts w:eastAsia="Times New Roman"/>
          <w:b/>
          <w:color w:val="000000"/>
          <w:sz w:val="24"/>
          <w:lang w:val="sq-AL"/>
        </w:rPr>
        <w:lastRenderedPageBreak/>
        <w:t>SHTOJCA I - MARRËDHËNIET MES BE-SË DHE KOSOVËS</w:t>
      </w:r>
      <w:r w:rsidRPr="00A6284F">
        <w:rPr>
          <w:rFonts w:eastAsia="Times New Roman"/>
          <w:b/>
          <w:color w:val="000000"/>
          <w:sz w:val="24"/>
          <w:lang w:val="sq-AL"/>
        </w:rPr>
        <w:cr/>
      </w:r>
    </w:p>
    <w:p w:rsidR="000A4761" w:rsidRPr="00A6284F" w:rsidRDefault="000A4761" w:rsidP="00EE599F">
      <w:pPr>
        <w:spacing w:before="52" w:line="278" w:lineRule="exact"/>
        <w:ind w:left="144"/>
        <w:jc w:val="both"/>
        <w:textAlignment w:val="baseline"/>
        <w:rPr>
          <w:rFonts w:eastAsia="Times New Roman"/>
          <w:color w:val="000000"/>
          <w:sz w:val="24"/>
          <w:lang w:val="sq-AL"/>
        </w:rPr>
      </w:pPr>
      <w:r w:rsidRPr="00A6284F">
        <w:rPr>
          <w:rFonts w:eastAsia="Times New Roman"/>
          <w:color w:val="000000"/>
          <w:sz w:val="24"/>
          <w:lang w:val="sq-AL"/>
        </w:rPr>
        <w:t xml:space="preserve">Më 1 prill 2016 ka hyrë në fuqi </w:t>
      </w:r>
      <w:r w:rsidRPr="00A6284F">
        <w:rPr>
          <w:rFonts w:eastAsia="Times New Roman"/>
          <w:b/>
          <w:color w:val="000000"/>
          <w:sz w:val="24"/>
          <w:lang w:val="sq-AL"/>
        </w:rPr>
        <w:t>Marrëveshja për Stabilizim-Asocimit</w:t>
      </w:r>
      <w:r w:rsidR="00EE599F" w:rsidRPr="00A6284F">
        <w:rPr>
          <w:rFonts w:eastAsia="Times New Roman"/>
          <w:b/>
          <w:color w:val="000000"/>
          <w:sz w:val="24"/>
          <w:lang w:val="sq-AL"/>
        </w:rPr>
        <w:t xml:space="preserve"> </w:t>
      </w:r>
      <w:r w:rsidRPr="00A6284F">
        <w:rPr>
          <w:rFonts w:eastAsia="Times New Roman"/>
          <w:color w:val="000000"/>
          <w:sz w:val="24"/>
          <w:lang w:val="sq-AL"/>
        </w:rPr>
        <w:t>(MSA) BE-Kosovë. MSA-ja</w:t>
      </w:r>
      <w:r w:rsidR="00EE599F" w:rsidRPr="00A6284F">
        <w:rPr>
          <w:rFonts w:eastAsia="Times New Roman"/>
          <w:color w:val="000000"/>
          <w:sz w:val="24"/>
          <w:lang w:val="sq-AL"/>
        </w:rPr>
        <w:t xml:space="preserve"> </w:t>
      </w:r>
      <w:r w:rsidRPr="00A6284F">
        <w:rPr>
          <w:rFonts w:eastAsia="Times New Roman"/>
          <w:color w:val="000000"/>
          <w:sz w:val="24"/>
          <w:lang w:val="sq-AL"/>
        </w:rPr>
        <w:t>paraqet marrëdhënien e parë kontraktuale mes BE-së dhe Kosovës. Kjo është marrëveshje</w:t>
      </w:r>
      <w:r w:rsidR="00EE599F" w:rsidRPr="00A6284F">
        <w:rPr>
          <w:rFonts w:eastAsia="Times New Roman"/>
          <w:color w:val="000000"/>
          <w:sz w:val="24"/>
          <w:lang w:val="sq-AL"/>
        </w:rPr>
        <w:t xml:space="preserve"> </w:t>
      </w:r>
      <w:r w:rsidRPr="00A6284F">
        <w:rPr>
          <w:rFonts w:eastAsia="Times New Roman"/>
          <w:color w:val="000000"/>
          <w:sz w:val="24"/>
          <w:lang w:val="sq-AL"/>
        </w:rPr>
        <w:t>gjithëpërfshirëse që ofron kornizën për dialogun politik, si dhe trajton bashkëpunimin në një gamë</w:t>
      </w:r>
      <w:r w:rsidR="00EE599F" w:rsidRPr="00A6284F">
        <w:rPr>
          <w:rFonts w:eastAsia="Times New Roman"/>
          <w:color w:val="000000"/>
          <w:sz w:val="24"/>
          <w:lang w:val="sq-AL"/>
        </w:rPr>
        <w:t xml:space="preserve"> </w:t>
      </w:r>
      <w:r w:rsidRPr="00A6284F">
        <w:rPr>
          <w:rFonts w:eastAsia="Times New Roman"/>
          <w:color w:val="000000"/>
          <w:sz w:val="24"/>
          <w:lang w:val="sq-AL"/>
        </w:rPr>
        <w:t>të gjerë të sektorëve, duke përfshirë drejtësinë dhe punët e brendshme, tregtinë, arsimin, punësimin,</w:t>
      </w:r>
      <w:r w:rsidR="00EE599F" w:rsidRPr="00A6284F">
        <w:rPr>
          <w:rFonts w:eastAsia="Times New Roman"/>
          <w:color w:val="000000"/>
          <w:sz w:val="24"/>
          <w:lang w:val="sq-AL"/>
        </w:rPr>
        <w:t xml:space="preserve"> </w:t>
      </w:r>
      <w:r w:rsidRPr="00A6284F">
        <w:rPr>
          <w:rFonts w:eastAsia="Times New Roman"/>
          <w:color w:val="000000"/>
          <w:sz w:val="24"/>
          <w:lang w:val="sq-AL"/>
        </w:rPr>
        <w:t>energjinë, mjedisin dhe një sërë fushash tjera të politikave. Tri mbledhje të Këshillit për Stabilizim</w:t>
      </w:r>
      <w:r w:rsidR="00EE599F" w:rsidRPr="00A6284F">
        <w:rPr>
          <w:rFonts w:eastAsia="Times New Roman"/>
          <w:color w:val="000000"/>
          <w:sz w:val="24"/>
          <w:lang w:val="sq-AL"/>
        </w:rPr>
        <w:t xml:space="preserve"> </w:t>
      </w:r>
      <w:proofErr w:type="spellStart"/>
      <w:r w:rsidRPr="00A6284F">
        <w:rPr>
          <w:rFonts w:eastAsia="Times New Roman"/>
          <w:color w:val="000000"/>
          <w:sz w:val="24"/>
          <w:lang w:val="sq-AL"/>
        </w:rPr>
        <w:t>Asocim</w:t>
      </w:r>
      <w:proofErr w:type="spellEnd"/>
      <w:r w:rsidRPr="00A6284F">
        <w:rPr>
          <w:rFonts w:eastAsia="Times New Roman"/>
          <w:color w:val="000000"/>
          <w:sz w:val="24"/>
          <w:lang w:val="sq-AL"/>
        </w:rPr>
        <w:t>, si dhe tre cikle të takimeve të nën-komiteteve, janë mbajtur që nga viti 2016.</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Për të orientuar reformat në zbatim të MSA-së, Komisioni dhe Kosova miratuan në nëntor të vitit</w:t>
      </w:r>
      <w:r w:rsidR="00DF2F9C" w:rsidRPr="00A6284F">
        <w:rPr>
          <w:rFonts w:eastAsia="Times New Roman"/>
          <w:color w:val="000000"/>
          <w:sz w:val="24"/>
          <w:lang w:val="sq-AL"/>
        </w:rPr>
        <w:t xml:space="preserve"> </w:t>
      </w:r>
      <w:r w:rsidRPr="00A6284F">
        <w:rPr>
          <w:rFonts w:eastAsia="Times New Roman"/>
          <w:color w:val="000000"/>
          <w:sz w:val="24"/>
          <w:lang w:val="sq-AL"/>
        </w:rPr>
        <w:t xml:space="preserve">2016 </w:t>
      </w:r>
      <w:r w:rsidRPr="00A6284F">
        <w:rPr>
          <w:rFonts w:eastAsia="Times New Roman"/>
          <w:b/>
          <w:color w:val="000000"/>
          <w:sz w:val="24"/>
          <w:lang w:val="sq-AL"/>
        </w:rPr>
        <w:t>Agjendën e Reformave Evropiane</w:t>
      </w:r>
      <w:r w:rsidRPr="00A6284F">
        <w:rPr>
          <w:rFonts w:eastAsia="Times New Roman"/>
          <w:color w:val="000000"/>
          <w:sz w:val="24"/>
          <w:lang w:val="sq-AL"/>
        </w:rPr>
        <w:t xml:space="preserve"> (ARE) për Kosovën. Kjo Agjendë përcakton veprimet</w:t>
      </w:r>
      <w:r w:rsidR="00EE599F" w:rsidRPr="00A6284F">
        <w:rPr>
          <w:rFonts w:eastAsia="Times New Roman"/>
          <w:color w:val="000000"/>
          <w:sz w:val="24"/>
          <w:lang w:val="sq-AL"/>
        </w:rPr>
        <w:t xml:space="preserve"> </w:t>
      </w:r>
      <w:r w:rsidRPr="00A6284F">
        <w:rPr>
          <w:rFonts w:eastAsia="Times New Roman"/>
          <w:color w:val="000000"/>
          <w:sz w:val="24"/>
          <w:lang w:val="sq-AL"/>
        </w:rPr>
        <w:t>prioritare në fushat e qeverisjes së mirë dhe sundimit të ligjit, konkurrencës dhe klimës së</w:t>
      </w:r>
      <w:r w:rsidR="00DF2F9C" w:rsidRPr="00A6284F">
        <w:rPr>
          <w:rFonts w:eastAsia="Times New Roman"/>
          <w:color w:val="000000"/>
          <w:sz w:val="24"/>
          <w:lang w:val="sq-AL"/>
        </w:rPr>
        <w:t xml:space="preserve"> </w:t>
      </w:r>
      <w:r w:rsidRPr="00A6284F">
        <w:rPr>
          <w:rFonts w:eastAsia="Times New Roman"/>
          <w:color w:val="000000"/>
          <w:sz w:val="24"/>
          <w:lang w:val="sq-AL"/>
        </w:rPr>
        <w:t>investimeve, si dhe punësimit e arsimit.</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Që prej vitit 2012, Komisioni ka nxjerrë pesë raporte për progresin e Kosovës drejt </w:t>
      </w:r>
      <w:r w:rsidRPr="00A6284F">
        <w:rPr>
          <w:rFonts w:eastAsia="Times New Roman"/>
          <w:b/>
          <w:color w:val="000000"/>
          <w:sz w:val="24"/>
          <w:lang w:val="sq-AL"/>
        </w:rPr>
        <w:t>liberalizimit të vizave</w:t>
      </w:r>
      <w:r w:rsidRPr="00A6284F">
        <w:rPr>
          <w:rFonts w:eastAsia="Times New Roman"/>
          <w:color w:val="000000"/>
          <w:sz w:val="24"/>
          <w:lang w:val="sq-AL"/>
        </w:rPr>
        <w:t xml:space="preserve"> (</w:t>
      </w:r>
      <w:r w:rsidR="00DF2F9C" w:rsidRPr="00A6284F">
        <w:rPr>
          <w:rFonts w:eastAsia="Times New Roman"/>
          <w:color w:val="000000"/>
          <w:sz w:val="24"/>
          <w:lang w:val="sq-AL"/>
        </w:rPr>
        <w:t xml:space="preserve">më rishtazi </w:t>
      </w:r>
      <w:r w:rsidRPr="00A6284F">
        <w:rPr>
          <w:rFonts w:eastAsia="Times New Roman"/>
          <w:color w:val="000000"/>
          <w:sz w:val="24"/>
          <w:lang w:val="sq-AL"/>
        </w:rPr>
        <w:t xml:space="preserve">në maj të vitit 2016 dhe qershor të vitit 2018). Më 18 korrik </w:t>
      </w:r>
      <w:r w:rsidR="00DF2F9C" w:rsidRPr="00A6284F">
        <w:rPr>
          <w:rFonts w:eastAsia="Times New Roman"/>
          <w:color w:val="000000"/>
          <w:sz w:val="24"/>
          <w:lang w:val="sq-AL"/>
        </w:rPr>
        <w:t xml:space="preserve">të vitit </w:t>
      </w:r>
      <w:r w:rsidRPr="00A6284F">
        <w:rPr>
          <w:rFonts w:eastAsia="Times New Roman"/>
          <w:color w:val="000000"/>
          <w:sz w:val="24"/>
          <w:lang w:val="sq-AL"/>
        </w:rPr>
        <w:t xml:space="preserve">2018, Komisioni konfirmoi se Kosova ka përmbushur dy </w:t>
      </w:r>
      <w:r w:rsidR="00DF2F9C" w:rsidRPr="00A6284F">
        <w:rPr>
          <w:rFonts w:eastAsia="Times New Roman"/>
          <w:color w:val="000000"/>
          <w:sz w:val="24"/>
          <w:lang w:val="sq-AL"/>
        </w:rPr>
        <w:t>kriteret e mbetura</w:t>
      </w:r>
      <w:r w:rsidRPr="00A6284F">
        <w:rPr>
          <w:rFonts w:eastAsia="Times New Roman"/>
          <w:color w:val="000000"/>
          <w:sz w:val="24"/>
          <w:lang w:val="sq-AL"/>
        </w:rPr>
        <w:t xml:space="preserve"> </w:t>
      </w:r>
      <w:r w:rsidR="00DF2F9C" w:rsidRPr="00A6284F">
        <w:rPr>
          <w:rFonts w:eastAsia="Times New Roman"/>
          <w:color w:val="000000"/>
          <w:sz w:val="24"/>
          <w:lang w:val="sq-AL"/>
        </w:rPr>
        <w:t xml:space="preserve">për </w:t>
      </w:r>
      <w:r w:rsidRPr="00A6284F">
        <w:rPr>
          <w:rFonts w:eastAsia="Times New Roman"/>
          <w:color w:val="000000"/>
          <w:sz w:val="24"/>
          <w:lang w:val="sq-AL"/>
        </w:rPr>
        <w:t>liberalizimi</w:t>
      </w:r>
      <w:r w:rsidR="00DF2F9C" w:rsidRPr="00A6284F">
        <w:rPr>
          <w:rFonts w:eastAsia="Times New Roman"/>
          <w:color w:val="000000"/>
          <w:sz w:val="24"/>
          <w:lang w:val="sq-AL"/>
        </w:rPr>
        <w:t>n</w:t>
      </w:r>
      <w:r w:rsidRPr="00A6284F">
        <w:rPr>
          <w:rFonts w:eastAsia="Times New Roman"/>
          <w:color w:val="000000"/>
          <w:sz w:val="24"/>
          <w:lang w:val="sq-AL"/>
        </w:rPr>
        <w:t xml:space="preserve"> </w:t>
      </w:r>
      <w:r w:rsidR="00DF2F9C" w:rsidRPr="00A6284F">
        <w:rPr>
          <w:rFonts w:eastAsia="Times New Roman"/>
          <w:color w:val="000000"/>
          <w:sz w:val="24"/>
          <w:lang w:val="sq-AL"/>
        </w:rPr>
        <w:t xml:space="preserve">e vizave, përkatësisht </w:t>
      </w:r>
      <w:r w:rsidRPr="00A6284F">
        <w:rPr>
          <w:rFonts w:eastAsia="Times New Roman"/>
          <w:color w:val="000000"/>
          <w:sz w:val="24"/>
          <w:lang w:val="sq-AL"/>
        </w:rPr>
        <w:t xml:space="preserve">ratifikimi </w:t>
      </w:r>
      <w:r w:rsidR="00DF2F9C" w:rsidRPr="00A6284F">
        <w:rPr>
          <w:rFonts w:eastAsia="Times New Roman"/>
          <w:color w:val="000000"/>
          <w:sz w:val="24"/>
          <w:lang w:val="sq-AL"/>
        </w:rPr>
        <w:t>i</w:t>
      </w:r>
      <w:r w:rsidRPr="00A6284F">
        <w:rPr>
          <w:rFonts w:eastAsia="Times New Roman"/>
          <w:color w:val="000000"/>
          <w:sz w:val="24"/>
          <w:lang w:val="sq-AL"/>
        </w:rPr>
        <w:t xml:space="preserve"> marrëveshjes së demarkacionit të kufirit me Malin e Zi dhe </w:t>
      </w:r>
      <w:r w:rsidR="00DF2F9C" w:rsidRPr="00A6284F">
        <w:rPr>
          <w:rFonts w:eastAsia="Times New Roman"/>
          <w:color w:val="000000"/>
          <w:sz w:val="24"/>
          <w:lang w:val="sq-AL"/>
        </w:rPr>
        <w:t xml:space="preserve">fuqizimi i </w:t>
      </w:r>
      <w:r w:rsidRPr="00A6284F">
        <w:rPr>
          <w:rFonts w:eastAsia="Times New Roman"/>
          <w:color w:val="000000"/>
          <w:sz w:val="24"/>
          <w:lang w:val="sq-AL"/>
        </w:rPr>
        <w:t xml:space="preserve">regjistrit të rasteve në luftën ndaj krimit të organizuar dhe korrupsionit, duke përmbushur </w:t>
      </w:r>
      <w:r w:rsidR="00DF2F9C" w:rsidRPr="00A6284F">
        <w:rPr>
          <w:rFonts w:eastAsia="Times New Roman"/>
          <w:color w:val="000000"/>
          <w:sz w:val="24"/>
          <w:lang w:val="sq-AL"/>
        </w:rPr>
        <w:t xml:space="preserve">kështu </w:t>
      </w:r>
      <w:r w:rsidRPr="00A6284F">
        <w:rPr>
          <w:rFonts w:eastAsia="Times New Roman"/>
          <w:color w:val="000000"/>
          <w:sz w:val="24"/>
          <w:lang w:val="sq-AL"/>
        </w:rPr>
        <w:t>të gjitha objektivat e përcaktuara në Udhërrëfyesin për Liberalizimin e Vizave. Në mars të vitit 2019, Parlamenti Evropian votoi në mbështetje të propozimit të Komisionit në leximin e tij të parë. Propozimi është në pritje në Këshill.</w:t>
      </w:r>
    </w:p>
    <w:p w:rsidR="000A4761" w:rsidRPr="00A6284F" w:rsidRDefault="000A4761" w:rsidP="000A4761">
      <w:pPr>
        <w:spacing w:before="118"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Sa i përket </w:t>
      </w:r>
      <w:r w:rsidRPr="00A6284F">
        <w:rPr>
          <w:rFonts w:eastAsia="Times New Roman"/>
          <w:b/>
          <w:color w:val="000000"/>
          <w:sz w:val="24"/>
          <w:lang w:val="sq-AL"/>
        </w:rPr>
        <w:t>ndihmës financiare</w:t>
      </w:r>
      <w:r w:rsidRPr="00A6284F">
        <w:rPr>
          <w:rFonts w:eastAsia="Times New Roman"/>
          <w:color w:val="000000"/>
          <w:sz w:val="24"/>
          <w:lang w:val="sq-AL"/>
        </w:rPr>
        <w:t>, programi i Instrumentit për Para-</w:t>
      </w:r>
      <w:proofErr w:type="spellStart"/>
      <w:r w:rsidRPr="00A6284F">
        <w:rPr>
          <w:rFonts w:eastAsia="Times New Roman"/>
          <w:color w:val="000000"/>
          <w:sz w:val="24"/>
          <w:lang w:val="sq-AL"/>
        </w:rPr>
        <w:t>Asocim</w:t>
      </w:r>
      <w:proofErr w:type="spellEnd"/>
      <w:r w:rsidRPr="00A6284F">
        <w:rPr>
          <w:rFonts w:eastAsia="Times New Roman"/>
          <w:color w:val="000000"/>
          <w:sz w:val="24"/>
          <w:lang w:val="sq-AL"/>
        </w:rPr>
        <w:t xml:space="preserve"> (IPA) 2018 për Kosovën</w:t>
      </w:r>
      <w:r w:rsidR="00DF2F9C" w:rsidRPr="00A6284F">
        <w:rPr>
          <w:rFonts w:eastAsia="Times New Roman"/>
          <w:color w:val="000000"/>
          <w:sz w:val="24"/>
          <w:lang w:val="sq-AL"/>
        </w:rPr>
        <w:t xml:space="preserve"> </w:t>
      </w:r>
      <w:r w:rsidRPr="00A6284F">
        <w:rPr>
          <w:rFonts w:eastAsia="Times New Roman"/>
          <w:color w:val="000000"/>
          <w:sz w:val="24"/>
          <w:lang w:val="sq-AL"/>
        </w:rPr>
        <w:t>është miratuar në dhjetor të vitit 2018 me kontribut të BE-së prej gjithsej 90.5 milion eurosh, plotësuar me bashkëfinancim nga Kosova për buxhet total prej 94.8 milion eurosh. Dy operacione mbështetëse të sektorit të buxhetit janë duke u zbatuar në Kosovë: reforma e administratës publike (RAP) nën IPA 2016 (25 milionë euro) dhe menaxhimi i financave publike (MFP) nën IPA 2017 (25 milionë euro). Më 2018, Zyra e BE-së në Kosovë nënshkroi 139 kontrata për gjithsej 89 milionë eurosh. Ajo ka vazhduar të sigurojë bashkërendimin e donatorëve aktiv në Kosovë duke</w:t>
      </w:r>
      <w:r w:rsidR="00E8557E" w:rsidRPr="00A6284F">
        <w:rPr>
          <w:rFonts w:eastAsia="Times New Roman"/>
          <w:color w:val="000000"/>
          <w:sz w:val="24"/>
          <w:lang w:val="sq-AL"/>
        </w:rPr>
        <w:t xml:space="preserve"> </w:t>
      </w:r>
      <w:r w:rsidRPr="00A6284F">
        <w:rPr>
          <w:rFonts w:eastAsia="Times New Roman"/>
          <w:color w:val="000000"/>
          <w:sz w:val="24"/>
          <w:lang w:val="sq-AL"/>
        </w:rPr>
        <w:t>organizuar - bashkë me Ministrinë e Integrimit Evropian të Kosovës - mbledhje të rregullta për bashkërendim të donatorëve.</w:t>
      </w:r>
    </w:p>
    <w:p w:rsidR="000A4761" w:rsidRPr="00A6284F" w:rsidRDefault="000A4761" w:rsidP="000A4761">
      <w:pPr>
        <w:spacing w:before="116" w:line="277"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Më 17 korrik 2017, Këshilli miratoi Marrëveshjen Kornizë ndërmjet Bashkimit Evropian dhe</w:t>
      </w:r>
      <w:r w:rsidR="00E8557E" w:rsidRPr="00A6284F">
        <w:rPr>
          <w:rFonts w:eastAsia="Times New Roman"/>
          <w:color w:val="000000"/>
          <w:sz w:val="24"/>
          <w:lang w:val="sq-AL"/>
        </w:rPr>
        <w:t xml:space="preserve"> </w:t>
      </w:r>
      <w:r w:rsidRPr="00A6284F">
        <w:rPr>
          <w:rFonts w:eastAsia="Times New Roman"/>
          <w:color w:val="000000"/>
          <w:sz w:val="24"/>
          <w:lang w:val="sq-AL"/>
        </w:rPr>
        <w:t xml:space="preserve">Kosovës, mbi parimet e përgjithshme të pjesëmarrjes së Kosovës në </w:t>
      </w:r>
      <w:r w:rsidRPr="00A6284F">
        <w:rPr>
          <w:rFonts w:eastAsia="Times New Roman"/>
          <w:b/>
          <w:color w:val="000000"/>
          <w:sz w:val="24"/>
          <w:lang w:val="sq-AL"/>
        </w:rPr>
        <w:t>Programet e</w:t>
      </w:r>
      <w:r w:rsidR="00E8557E" w:rsidRPr="00A6284F">
        <w:rPr>
          <w:rFonts w:eastAsia="Times New Roman"/>
          <w:b/>
          <w:color w:val="000000"/>
          <w:sz w:val="24"/>
          <w:lang w:val="sq-AL"/>
        </w:rPr>
        <w:t xml:space="preserve"> </w:t>
      </w:r>
      <w:r w:rsidRPr="00A6284F">
        <w:rPr>
          <w:rFonts w:eastAsia="Times New Roman"/>
          <w:b/>
          <w:color w:val="000000"/>
          <w:sz w:val="24"/>
          <w:lang w:val="sq-AL"/>
        </w:rPr>
        <w:t>Bashkimit Evropian</w:t>
      </w:r>
      <w:r w:rsidRPr="00A6284F">
        <w:rPr>
          <w:rFonts w:eastAsia="Times New Roman"/>
          <w:color w:val="000000"/>
          <w:sz w:val="24"/>
          <w:lang w:val="sq-AL"/>
        </w:rPr>
        <w:t xml:space="preserve">. </w:t>
      </w:r>
      <w:r w:rsidR="00E8557E" w:rsidRPr="00A6284F">
        <w:rPr>
          <w:rFonts w:eastAsia="Times New Roman"/>
          <w:color w:val="000000"/>
          <w:sz w:val="24"/>
          <w:lang w:val="sq-AL"/>
        </w:rPr>
        <w:t>Gjatë vitit</w:t>
      </w:r>
      <w:r w:rsidRPr="00A6284F">
        <w:rPr>
          <w:rFonts w:eastAsia="Times New Roman"/>
          <w:color w:val="000000"/>
          <w:sz w:val="24"/>
          <w:lang w:val="sq-AL"/>
        </w:rPr>
        <w:t xml:space="preserve"> 2018, Kosova i është bashkangjitur programeve </w:t>
      </w:r>
      <w:proofErr w:type="spellStart"/>
      <w:r w:rsidRPr="00A6284F">
        <w:rPr>
          <w:rFonts w:eastAsia="Times New Roman"/>
          <w:color w:val="000000"/>
          <w:sz w:val="24"/>
          <w:lang w:val="sq-AL"/>
        </w:rPr>
        <w:t>Erasmus</w:t>
      </w:r>
      <w:proofErr w:type="spellEnd"/>
      <w:r w:rsidRPr="00A6284F">
        <w:rPr>
          <w:rFonts w:eastAsia="Times New Roman"/>
          <w:color w:val="000000"/>
          <w:sz w:val="24"/>
          <w:lang w:val="sq-AL"/>
        </w:rPr>
        <w:t xml:space="preserve"> +, COSME, </w:t>
      </w:r>
      <w:proofErr w:type="spellStart"/>
      <w:r w:rsidRPr="00A6284F">
        <w:rPr>
          <w:rFonts w:eastAsia="Times New Roman"/>
          <w:color w:val="000000"/>
          <w:sz w:val="24"/>
          <w:lang w:val="sq-AL"/>
        </w:rPr>
        <w:t>Europe</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for</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Citizens</w:t>
      </w:r>
      <w:proofErr w:type="spellEnd"/>
      <w:r w:rsidRPr="00A6284F">
        <w:rPr>
          <w:rFonts w:eastAsia="Times New Roman"/>
          <w:color w:val="000000"/>
          <w:sz w:val="24"/>
          <w:lang w:val="sq-AL"/>
        </w:rPr>
        <w:t xml:space="preserve"> dhe </w:t>
      </w:r>
      <w:proofErr w:type="spellStart"/>
      <w:r w:rsidRPr="00A6284F">
        <w:rPr>
          <w:rFonts w:eastAsia="Times New Roman"/>
          <w:color w:val="000000"/>
          <w:sz w:val="24"/>
          <w:lang w:val="sq-AL"/>
        </w:rPr>
        <w:t>Creative</w:t>
      </w:r>
      <w:proofErr w:type="spellEnd"/>
      <w:r w:rsidRPr="00A6284F">
        <w:rPr>
          <w:rFonts w:eastAsia="Times New Roman"/>
          <w:color w:val="000000"/>
          <w:sz w:val="24"/>
          <w:lang w:val="sq-AL"/>
        </w:rPr>
        <w:t xml:space="preserve"> </w:t>
      </w:r>
      <w:proofErr w:type="spellStart"/>
      <w:r w:rsidRPr="00A6284F">
        <w:rPr>
          <w:rFonts w:eastAsia="Times New Roman"/>
          <w:color w:val="000000"/>
          <w:sz w:val="24"/>
          <w:lang w:val="sq-AL"/>
        </w:rPr>
        <w:t>Europe</w:t>
      </w:r>
      <w:proofErr w:type="spellEnd"/>
      <w:r w:rsidRPr="00A6284F">
        <w:rPr>
          <w:rFonts w:eastAsia="Times New Roman"/>
          <w:color w:val="000000"/>
          <w:sz w:val="24"/>
          <w:lang w:val="sq-AL"/>
        </w:rPr>
        <w:t>.</w:t>
      </w:r>
    </w:p>
    <w:p w:rsidR="000A4761" w:rsidRPr="00A6284F" w:rsidRDefault="000A4761" w:rsidP="000A4761">
      <w:pPr>
        <w:spacing w:before="122"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Dhomat e Specializuara dhe Zyra e Prokurorit të Specializuar të Kosovës, themeluar</w:t>
      </w:r>
      <w:r w:rsidR="00E8557E" w:rsidRPr="00A6284F">
        <w:rPr>
          <w:rFonts w:eastAsia="Times New Roman"/>
          <w:color w:val="000000"/>
          <w:sz w:val="24"/>
          <w:lang w:val="sq-AL"/>
        </w:rPr>
        <w:t xml:space="preserve"> </w:t>
      </w:r>
      <w:r w:rsidRPr="00A6284F">
        <w:rPr>
          <w:rFonts w:eastAsia="Times New Roman"/>
          <w:color w:val="000000"/>
          <w:sz w:val="24"/>
          <w:lang w:val="sq-AL"/>
        </w:rPr>
        <w:t>për të hetuar dhe ndjekur penalisht pohimet që rrjedhin nga Raporti i Këshillit të Evropës 2011, që pohon shkelje të rënda të së drejtës ndërkombëtare, vazhduan punën e tyre.</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 xml:space="preserve">Që prej vitit 2008, </w:t>
      </w:r>
      <w:r w:rsidRPr="00A6284F">
        <w:rPr>
          <w:rFonts w:eastAsia="Times New Roman"/>
          <w:b/>
          <w:color w:val="000000"/>
          <w:sz w:val="24"/>
          <w:lang w:val="sq-AL"/>
        </w:rPr>
        <w:t>Misioni Evropian për Sundimin e Ligjit në Kosovë</w:t>
      </w:r>
      <w:r w:rsidR="00E8557E" w:rsidRPr="00A6284F">
        <w:rPr>
          <w:rFonts w:eastAsia="Times New Roman"/>
          <w:b/>
          <w:color w:val="000000"/>
          <w:sz w:val="24"/>
          <w:lang w:val="sq-AL"/>
        </w:rPr>
        <w:t xml:space="preserve"> </w:t>
      </w:r>
      <w:r w:rsidRPr="00A6284F">
        <w:rPr>
          <w:rFonts w:eastAsia="Times New Roman"/>
          <w:b/>
          <w:color w:val="000000"/>
          <w:sz w:val="24"/>
          <w:lang w:val="sq-AL"/>
        </w:rPr>
        <w:t>(EULEX)</w:t>
      </w:r>
      <w:r w:rsidRPr="00A6284F">
        <w:rPr>
          <w:rFonts w:eastAsia="Times New Roman"/>
          <w:color w:val="000000"/>
          <w:sz w:val="24"/>
          <w:lang w:val="sq-AL"/>
        </w:rPr>
        <w:t xml:space="preserve"> ka ndihmuar autoritetet e Kosovës në themelimin e institucioneve </w:t>
      </w:r>
      <w:proofErr w:type="spellStart"/>
      <w:r w:rsidRPr="00A6284F">
        <w:rPr>
          <w:rFonts w:eastAsia="Times New Roman"/>
          <w:color w:val="000000"/>
          <w:sz w:val="24"/>
          <w:lang w:val="sq-AL"/>
        </w:rPr>
        <w:t>stabile</w:t>
      </w:r>
      <w:proofErr w:type="spellEnd"/>
      <w:r w:rsidRPr="00A6284F">
        <w:rPr>
          <w:rFonts w:eastAsia="Times New Roman"/>
          <w:color w:val="000000"/>
          <w:sz w:val="24"/>
          <w:lang w:val="sq-AL"/>
        </w:rPr>
        <w:t xml:space="preserve"> dhe të pavarura të sundimit të ligjit. Brenda mandatit të </w:t>
      </w:r>
      <w:r w:rsidR="00E8557E" w:rsidRPr="00A6284F">
        <w:rPr>
          <w:rFonts w:eastAsia="Times New Roman"/>
          <w:color w:val="000000"/>
          <w:sz w:val="24"/>
          <w:lang w:val="sq-AL"/>
        </w:rPr>
        <w:t>tij</w:t>
      </w:r>
      <w:r w:rsidRPr="00A6284F">
        <w:rPr>
          <w:rFonts w:eastAsia="Times New Roman"/>
          <w:color w:val="000000"/>
          <w:sz w:val="24"/>
          <w:lang w:val="sq-AL"/>
        </w:rPr>
        <w:t xml:space="preserve"> aktual (qershor 2018 - 2020), Misioni ndërmerr aktivitete monitoruese dhe ka funksione të kufizuara ekzekutive.</w:t>
      </w:r>
    </w:p>
    <w:p w:rsidR="000A4761" w:rsidRPr="00A6284F" w:rsidRDefault="000A4761" w:rsidP="000A4761">
      <w:pPr>
        <w:spacing w:before="120"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Deri më sot, sipas qeverisë, Kosova është njohur nga 114 vende, duke përfshirë 23 Shtete Anëtare</w:t>
      </w:r>
      <w:r w:rsidR="00A6284F">
        <w:rPr>
          <w:rFonts w:eastAsia="Times New Roman"/>
          <w:color w:val="000000"/>
          <w:sz w:val="24"/>
          <w:lang w:val="sq-AL"/>
        </w:rPr>
        <w:t xml:space="preserve"> </w:t>
      </w:r>
      <w:r w:rsidRPr="00A6284F">
        <w:rPr>
          <w:rFonts w:eastAsia="Times New Roman"/>
          <w:color w:val="000000"/>
          <w:sz w:val="24"/>
          <w:lang w:val="sq-AL"/>
        </w:rPr>
        <w:t>të BE-së.</w:t>
      </w:r>
    </w:p>
    <w:p w:rsidR="000A4761" w:rsidRPr="00A6284F" w:rsidRDefault="000A4761" w:rsidP="000A4761">
      <w:pPr>
        <w:spacing w:before="123" w:after="687" w:line="276" w:lineRule="exact"/>
        <w:ind w:left="144" w:right="144"/>
        <w:jc w:val="both"/>
        <w:textAlignment w:val="baseline"/>
        <w:rPr>
          <w:rFonts w:eastAsia="Times New Roman"/>
          <w:color w:val="000000"/>
          <w:sz w:val="24"/>
          <w:lang w:val="sq-AL"/>
        </w:rPr>
      </w:pPr>
      <w:r w:rsidRPr="00A6284F">
        <w:rPr>
          <w:rFonts w:eastAsia="Times New Roman"/>
          <w:color w:val="000000"/>
          <w:sz w:val="24"/>
          <w:lang w:val="sq-AL"/>
        </w:rPr>
        <w:t>Gjatë periudhës së raportimit, Sekretari i Përgjithshëm i OKB-së ka vazhduar të ofrojë raporte të</w:t>
      </w:r>
      <w:r w:rsidR="00E8557E" w:rsidRPr="00A6284F">
        <w:rPr>
          <w:rFonts w:eastAsia="Times New Roman"/>
          <w:color w:val="000000"/>
          <w:sz w:val="24"/>
          <w:lang w:val="sq-AL"/>
        </w:rPr>
        <w:t xml:space="preserve"> </w:t>
      </w:r>
      <w:r w:rsidRPr="00A6284F">
        <w:rPr>
          <w:rFonts w:eastAsia="Times New Roman"/>
          <w:color w:val="000000"/>
          <w:sz w:val="24"/>
          <w:lang w:val="sq-AL"/>
        </w:rPr>
        <w:t>rregullta mbi veprimtarinë e Misionit të OKB-së në Kosovë (UNMIK). Ai ka theksuar brengat rreth tensionit midis Beogradit dhe Prishtinës dhe u bëri thirrje udhëheqësve të d</w:t>
      </w:r>
      <w:r w:rsidR="00E8557E" w:rsidRPr="00A6284F">
        <w:rPr>
          <w:rFonts w:eastAsia="Times New Roman"/>
          <w:color w:val="000000"/>
          <w:sz w:val="24"/>
          <w:lang w:val="sq-AL"/>
        </w:rPr>
        <w:t>y</w:t>
      </w:r>
      <w:r w:rsidRPr="00A6284F">
        <w:rPr>
          <w:rFonts w:eastAsia="Times New Roman"/>
          <w:color w:val="000000"/>
          <w:sz w:val="24"/>
          <w:lang w:val="sq-AL"/>
        </w:rPr>
        <w:t xml:space="preserve"> palëve që të shmangin çdo veprim që mund të shtoj më tej tensionet, duke i inkurajuar ata që të bëjnë veprime pajtuese dhe të kërkojnë mënyra për të rindërtuar dhe punuar drejt progresit në dialogun e lehtësuar nga BE-ja</w:t>
      </w:r>
      <w:r w:rsidRPr="00A6284F">
        <w:rPr>
          <w:rFonts w:eastAsia="Times New Roman"/>
          <w:color w:val="000000"/>
          <w:spacing w:val="-1"/>
          <w:sz w:val="24"/>
          <w:lang w:val="sq-AL"/>
        </w:rPr>
        <w:t>.</w:t>
      </w:r>
      <w:r w:rsidR="00E8557E" w:rsidRPr="00A6284F">
        <w:rPr>
          <w:rFonts w:eastAsia="Times New Roman"/>
          <w:color w:val="000000"/>
          <w:spacing w:val="-1"/>
          <w:sz w:val="24"/>
          <w:lang w:val="sq-AL"/>
        </w:rPr>
        <w:t xml:space="preserve"> </w:t>
      </w:r>
      <w:r w:rsidRPr="00A6284F">
        <w:rPr>
          <w:rFonts w:eastAsia="Times New Roman"/>
          <w:color w:val="000000"/>
          <w:sz w:val="24"/>
          <w:lang w:val="sq-AL"/>
        </w:rPr>
        <w:t xml:space="preserve">Forca e Kosovës e udhëhequr nga NATO (KFOR) ka </w:t>
      </w:r>
      <w:r w:rsidRPr="00A6284F">
        <w:rPr>
          <w:rFonts w:eastAsia="Times New Roman"/>
          <w:color w:val="000000"/>
          <w:sz w:val="24"/>
          <w:lang w:val="sq-AL"/>
        </w:rPr>
        <w:lastRenderedPageBreak/>
        <w:t>vazhduar të ndihmojë në sigurimin e një</w:t>
      </w:r>
      <w:r w:rsidR="00E8557E" w:rsidRPr="00A6284F">
        <w:rPr>
          <w:rFonts w:eastAsia="Times New Roman"/>
          <w:color w:val="000000"/>
          <w:sz w:val="24"/>
          <w:lang w:val="sq-AL"/>
        </w:rPr>
        <w:t xml:space="preserve"> </w:t>
      </w:r>
      <w:r w:rsidRPr="00A6284F">
        <w:rPr>
          <w:rFonts w:eastAsia="Times New Roman"/>
          <w:color w:val="000000"/>
          <w:sz w:val="24"/>
          <w:lang w:val="sq-AL"/>
        </w:rPr>
        <w:t>mjedisi të sigurt dhe të rregullt në Kosovë. Në shkurt të vitit 2019, Forca</w:t>
      </w:r>
      <w:r w:rsidR="00E8557E" w:rsidRPr="00A6284F">
        <w:rPr>
          <w:rFonts w:eastAsia="Times New Roman"/>
          <w:color w:val="000000"/>
          <w:sz w:val="24"/>
          <w:lang w:val="sq-AL"/>
        </w:rPr>
        <w:t xml:space="preserve"> </w:t>
      </w:r>
      <w:r w:rsidRPr="00A6284F">
        <w:rPr>
          <w:rFonts w:eastAsia="Times New Roman"/>
          <w:color w:val="000000"/>
          <w:sz w:val="24"/>
          <w:lang w:val="sq-AL"/>
        </w:rPr>
        <w:t>ka pasur 3</w:t>
      </w:r>
      <w:r w:rsidR="00E8557E" w:rsidRPr="00A6284F">
        <w:rPr>
          <w:rFonts w:eastAsia="Times New Roman"/>
          <w:color w:val="000000"/>
          <w:sz w:val="24"/>
          <w:lang w:val="sq-AL"/>
        </w:rPr>
        <w:t>,</w:t>
      </w:r>
      <w:r w:rsidRPr="00A6284F">
        <w:rPr>
          <w:rFonts w:eastAsia="Times New Roman"/>
          <w:color w:val="000000"/>
          <w:sz w:val="24"/>
          <w:lang w:val="sq-AL"/>
        </w:rPr>
        <w:t>525 trupa.</w:t>
      </w:r>
    </w:p>
    <w:p w:rsidR="000A4761" w:rsidRPr="00A6284F" w:rsidRDefault="000A4761" w:rsidP="000A4761">
      <w:pPr>
        <w:spacing w:before="116" w:after="12966" w:line="278" w:lineRule="exact"/>
        <w:rPr>
          <w:lang w:val="sq-AL"/>
        </w:rPr>
        <w:sectPr w:rsidR="000A4761" w:rsidRPr="00A6284F">
          <w:pgSz w:w="11909" w:h="16838"/>
          <w:pgMar w:top="1400" w:right="1272" w:bottom="562" w:left="1277" w:header="720" w:footer="720" w:gutter="0"/>
          <w:cols w:space="720"/>
        </w:sectPr>
      </w:pPr>
    </w:p>
    <w:p w:rsidR="000A4761" w:rsidRPr="00A6284F" w:rsidRDefault="000A4761" w:rsidP="00AC51AA">
      <w:pPr>
        <w:spacing w:before="4" w:line="249" w:lineRule="exact"/>
        <w:textAlignment w:val="baseline"/>
        <w:rPr>
          <w:rFonts w:eastAsia="Times New Roman"/>
          <w:color w:val="000000"/>
          <w:spacing w:val="34"/>
          <w:lang w:val="sq-AL"/>
        </w:rPr>
        <w:sectPr w:rsidR="000A4761" w:rsidRPr="00A6284F">
          <w:type w:val="continuous"/>
          <w:pgSz w:w="11909" w:h="16838"/>
          <w:pgMar w:top="1400" w:right="1284" w:bottom="562" w:left="1265" w:header="720" w:footer="720" w:gutter="0"/>
          <w:cols w:space="720"/>
        </w:sectPr>
      </w:pPr>
    </w:p>
    <w:p w:rsidR="00E0616C" w:rsidRPr="00A6284F" w:rsidRDefault="009E4C9A">
      <w:pPr>
        <w:spacing w:before="4" w:line="249" w:lineRule="exact"/>
        <w:jc w:val="center"/>
        <w:textAlignment w:val="baseline"/>
        <w:rPr>
          <w:rFonts w:eastAsia="Times New Roman"/>
          <w:color w:val="000000"/>
          <w:spacing w:val="34"/>
          <w:lang w:val="sq-AL"/>
        </w:rPr>
      </w:pPr>
      <w:r w:rsidRPr="00A6284F">
        <w:rPr>
          <w:rFonts w:eastAsia="Times New Roman"/>
          <w:color w:val="000000"/>
          <w:spacing w:val="34"/>
          <w:lang w:val="sq-AL"/>
        </w:rPr>
        <w:lastRenderedPageBreak/>
        <w:t>91</w:t>
      </w:r>
    </w:p>
    <w:p w:rsidR="00E0616C" w:rsidRPr="00A6284F" w:rsidRDefault="00E0616C">
      <w:pPr>
        <w:rPr>
          <w:lang w:val="sq-AL"/>
        </w:rPr>
        <w:sectPr w:rsidR="00E0616C" w:rsidRPr="00A6284F">
          <w:type w:val="continuous"/>
          <w:pgSz w:w="11909" w:h="16838"/>
          <w:pgMar w:top="1400" w:right="1284" w:bottom="562" w:left="1265" w:header="720" w:footer="720" w:gutter="0"/>
          <w:cols w:space="720"/>
        </w:sectPr>
      </w:pPr>
    </w:p>
    <w:p w:rsidR="00AC51AA" w:rsidRPr="00A6284F" w:rsidRDefault="00AC51AA" w:rsidP="00AC51AA">
      <w:pPr>
        <w:spacing w:after="456" w:line="357" w:lineRule="exact"/>
        <w:ind w:left="72"/>
        <w:textAlignment w:val="baseline"/>
        <w:rPr>
          <w:rFonts w:eastAsia="Times New Roman"/>
          <w:b/>
          <w:color w:val="000000"/>
          <w:sz w:val="24"/>
          <w:lang w:val="sq-AL"/>
        </w:rPr>
      </w:pPr>
      <w:r w:rsidRPr="00A6284F">
        <w:rPr>
          <w:rFonts w:eastAsia="Times New Roman"/>
          <w:b/>
          <w:color w:val="000000"/>
          <w:sz w:val="24"/>
          <w:lang w:val="sq-AL"/>
        </w:rPr>
        <w:lastRenderedPageBreak/>
        <w:t>SHTOJCA</w:t>
      </w:r>
      <w:r w:rsidR="00E8557E" w:rsidRPr="00A6284F">
        <w:rPr>
          <w:rFonts w:eastAsia="Times New Roman"/>
          <w:b/>
          <w:color w:val="000000"/>
          <w:sz w:val="24"/>
          <w:lang w:val="sq-AL"/>
        </w:rPr>
        <w:t xml:space="preserve"> </w:t>
      </w:r>
      <w:r w:rsidRPr="00A6284F">
        <w:rPr>
          <w:rFonts w:eastAsia="Times New Roman"/>
          <w:b/>
          <w:color w:val="000000"/>
          <w:sz w:val="24"/>
          <w:lang w:val="sq-AL"/>
        </w:rPr>
        <w:t xml:space="preserve">II </w:t>
      </w:r>
      <w:r w:rsidRPr="00A6284F">
        <w:rPr>
          <w:rFonts w:eastAsia="Times New Roman"/>
          <w:b/>
          <w:color w:val="000000"/>
          <w:w w:val="70"/>
          <w:sz w:val="28"/>
          <w:lang w:val="sq-AL"/>
        </w:rPr>
        <w:t xml:space="preserve">– </w:t>
      </w:r>
      <w:r w:rsidRPr="00A6284F">
        <w:rPr>
          <w:rFonts w:eastAsia="Times New Roman"/>
          <w:b/>
          <w:color w:val="000000"/>
          <w:sz w:val="24"/>
          <w:lang w:val="sq-AL"/>
        </w:rPr>
        <w:t>SHTOJCASTATISTIKORE</w:t>
      </w:r>
      <w:r w:rsidRPr="00A6284F">
        <w:rPr>
          <w:rFonts w:eastAsia="Times New Roman"/>
          <w:b/>
          <w:color w:val="000000"/>
          <w:sz w:val="24"/>
          <w:lang w:val="sq-AL"/>
        </w:rPr>
        <w:br/>
      </w:r>
      <w:r w:rsidRPr="00A6284F">
        <w:rPr>
          <w:rFonts w:eastAsia="Times New Roman"/>
          <w:b/>
          <w:color w:val="000000"/>
          <w:lang w:val="sq-AL"/>
        </w:rPr>
        <w:t xml:space="preserve">TË DHËNAT STATISTIKORE (deri më 29.04.2019) </w:t>
      </w:r>
      <w:r w:rsidRPr="00A6284F">
        <w:rPr>
          <w:rFonts w:eastAsia="Times New Roman"/>
          <w:b/>
          <w:color w:val="000000"/>
          <w:lang w:val="sq-AL"/>
        </w:rPr>
        <w:br/>
        <w:t>Kosovë</w:t>
      </w: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b/>
                <w:color w:val="000000"/>
                <w:lang w:val="sq-AL"/>
              </w:rPr>
            </w:pPr>
            <w:r w:rsidRPr="00A6284F">
              <w:rPr>
                <w:rFonts w:eastAsia="Times New Roman"/>
                <w:b/>
                <w:color w:val="000000"/>
                <w:lang w:val="sq-AL"/>
              </w:rPr>
              <w:t>Të dhënat themelore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ind w:left="111"/>
              <w:textAlignment w:val="baseline"/>
              <w:rPr>
                <w:rFonts w:eastAsia="Times New Roman"/>
                <w:color w:val="000000"/>
                <w:lang w:val="sq-AL"/>
              </w:rPr>
            </w:pPr>
            <w:r w:rsidRPr="00A6284F">
              <w:rPr>
                <w:rFonts w:eastAsia="Times New Roman"/>
                <w:color w:val="000000"/>
                <w:lang w:val="sq-AL"/>
              </w:rPr>
              <w:t>Popullsia (mijë)</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2 100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1 816b</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1 821</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1 805b</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1 772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1 784</w:t>
            </w:r>
          </w:p>
        </w:tc>
      </w:tr>
      <w:tr w:rsidR="00AC51AA" w:rsidRPr="00A6284F" w:rsidTr="007E58F5">
        <w:trPr>
          <w:trHeight w:hRule="exact" w:val="39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ind w:left="111"/>
              <w:textAlignment w:val="baseline"/>
              <w:rPr>
                <w:rFonts w:eastAsia="Times New Roman"/>
                <w:color w:val="000000"/>
                <w:lang w:val="sq-AL"/>
              </w:rPr>
            </w:pPr>
            <w:r w:rsidRPr="00A6284F">
              <w:rPr>
                <w:rFonts w:eastAsia="Times New Roman"/>
                <w:color w:val="000000"/>
                <w:lang w:val="sq-AL"/>
              </w:rPr>
              <w:t>Sipërfaqja e përgjithshme e vendit (km</w:t>
            </w:r>
            <w:r w:rsidRPr="00A6284F">
              <w:rPr>
                <w:rFonts w:eastAsia="Times New Roman"/>
                <w:color w:val="000000"/>
                <w:vertAlign w:val="superscript"/>
                <w:lang w:val="sq-AL"/>
              </w:rPr>
              <w:t>2</w:t>
            </w:r>
            <w:r w:rsidRPr="00A6284F">
              <w:rPr>
                <w:rFonts w:eastAsia="Times New Roman"/>
                <w:color w:val="000000"/>
                <w:lang w:val="sq-AL"/>
              </w:rPr>
              <w:t>)</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10 908</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10 905b</w:t>
            </w:r>
          </w:p>
        </w:tc>
      </w:tr>
    </w:tbl>
    <w:p w:rsidR="00AC51AA" w:rsidRPr="00A6284F" w:rsidRDefault="00AC51AA" w:rsidP="00AC51AA">
      <w:pPr>
        <w:spacing w:after="335"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b/>
                <w:color w:val="000000"/>
                <w:lang w:val="sq-AL"/>
              </w:rPr>
            </w:pPr>
            <w:r w:rsidRPr="00A6284F">
              <w:rPr>
                <w:rFonts w:eastAsia="Times New Roman"/>
                <w:b/>
                <w:color w:val="000000"/>
                <w:lang w:val="sq-AL"/>
              </w:rPr>
              <w:t>Llogaritë kombëtare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11"/>
              <w:textAlignment w:val="baseline"/>
              <w:rPr>
                <w:rFonts w:eastAsia="Times New Roman"/>
                <w:color w:val="000000"/>
                <w:lang w:val="sq-AL"/>
              </w:rPr>
            </w:pPr>
            <w:r w:rsidRPr="00A6284F">
              <w:rPr>
                <w:rFonts w:eastAsia="Times New Roman"/>
                <w:color w:val="000000"/>
                <w:lang w:val="sq-AL"/>
              </w:rPr>
              <w:t>Bruto Prodhimi Vendor (BPV)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5 327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5 568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5 807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6 070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6 414</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1"/>
              <w:textAlignment w:val="baseline"/>
              <w:rPr>
                <w:rFonts w:eastAsia="Times New Roman"/>
                <w:color w:val="000000"/>
                <w:lang w:val="sq-AL"/>
              </w:rPr>
            </w:pPr>
            <w:r w:rsidRPr="00A6284F">
              <w:rPr>
                <w:rFonts w:eastAsia="Times New Roman"/>
                <w:color w:val="000000"/>
                <w:lang w:val="sq-AL"/>
              </w:rPr>
              <w:t>BPV (euro për kokë banori)</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2 900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3 100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3 200</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3 400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3 600</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BPV</w:t>
            </w:r>
            <w:r w:rsidR="00E8557E" w:rsidRPr="00A6284F">
              <w:rPr>
                <w:rFonts w:eastAsia="Times New Roman"/>
                <w:color w:val="000000"/>
                <w:lang w:val="sq-AL"/>
              </w:rPr>
              <w:t xml:space="preserve"> </w:t>
            </w:r>
            <w:r w:rsidRPr="00A6284F">
              <w:rPr>
                <w:rFonts w:eastAsia="Times New Roman"/>
                <w:color w:val="000000"/>
                <w:lang w:val="sq-AL"/>
              </w:rPr>
              <w:t>për kokë banori (në standardet të fuqisë blerëse (PPS))</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581"/>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BPV</w:t>
            </w:r>
            <w:r w:rsidR="00E8557E" w:rsidRPr="00A6284F">
              <w:rPr>
                <w:rFonts w:eastAsia="Times New Roman"/>
                <w:color w:val="000000"/>
                <w:lang w:val="sq-AL"/>
              </w:rPr>
              <w:t xml:space="preserve"> </w:t>
            </w:r>
            <w:r w:rsidRPr="00A6284F">
              <w:rPr>
                <w:rFonts w:eastAsia="Times New Roman"/>
                <w:color w:val="000000"/>
                <w:lang w:val="sq-AL"/>
              </w:rPr>
              <w:t>për kokë banori (në PPS), në raport me mesataren e BE-së (EU-28 = 100)</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545"/>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11"/>
              <w:textAlignment w:val="baseline"/>
              <w:rPr>
                <w:rFonts w:eastAsia="Times New Roman"/>
                <w:color w:val="000000"/>
                <w:lang w:val="sq-AL"/>
              </w:rPr>
            </w:pPr>
            <w:r w:rsidRPr="00A6284F">
              <w:rPr>
                <w:rFonts w:eastAsia="Times New Roman"/>
                <w:color w:val="000000"/>
                <w:lang w:val="sq-AL"/>
              </w:rPr>
              <w:t xml:space="preserve">Norma e rritjes reale të BPV: ndryshimi në vitin </w:t>
            </w:r>
            <w:r w:rsidR="00A6284F" w:rsidRPr="00A6284F">
              <w:rPr>
                <w:rFonts w:eastAsia="Times New Roman"/>
                <w:color w:val="000000"/>
                <w:lang w:val="sq-AL"/>
              </w:rPr>
              <w:t>paraprakë</w:t>
            </w:r>
            <w:r w:rsidR="00A6284F">
              <w:rPr>
                <w:rFonts w:eastAsia="Times New Roman"/>
                <w:color w:val="000000"/>
                <w:lang w:val="sq-AL"/>
              </w:rPr>
              <w:t xml:space="preserve"> të</w:t>
            </w:r>
            <w:r w:rsidRPr="00A6284F">
              <w:rPr>
                <w:rFonts w:eastAsia="Times New Roman"/>
                <w:color w:val="000000"/>
                <w:lang w:val="sq-AL"/>
              </w:rPr>
              <w:t xml:space="preserve"> vëllimit të BPV-së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1.2</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4.1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4.1</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4.2</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55" w:lineRule="exact"/>
              <w:ind w:left="108" w:right="468"/>
              <w:textAlignment w:val="baseline"/>
              <w:rPr>
                <w:rFonts w:eastAsia="Times New Roman"/>
                <w:color w:val="000000"/>
                <w:lang w:val="sq-AL"/>
              </w:rPr>
            </w:pPr>
            <w:r w:rsidRPr="00A6284F">
              <w:rPr>
                <w:rFonts w:eastAsia="Times New Roman"/>
                <w:color w:val="000000"/>
                <w:lang w:val="sq-AL"/>
              </w:rPr>
              <w:t>Rritja e punësimit (të dhënat e llogarive kombëtare), në raport me vitin paraprak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55" w:lineRule="exact"/>
              <w:ind w:left="108" w:right="612"/>
              <w:textAlignment w:val="baseline"/>
              <w:rPr>
                <w:rFonts w:eastAsia="Times New Roman"/>
                <w:color w:val="000000"/>
                <w:lang w:val="sq-AL"/>
              </w:rPr>
            </w:pPr>
            <w:r w:rsidRPr="00A6284F">
              <w:rPr>
                <w:rFonts w:eastAsia="Times New Roman"/>
                <w:color w:val="000000"/>
                <w:lang w:val="sq-AL"/>
              </w:rPr>
              <w:t>Rritja e produktivitetit të fuqisë punëtore: rritja në BPV ( vëllim) për person të punësuar, në raport me vitin paraprak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1"/>
              <w:textAlignment w:val="baseline"/>
              <w:rPr>
                <w:rFonts w:eastAsia="Times New Roman"/>
                <w:color w:val="000000"/>
                <w:lang w:val="sq-AL"/>
              </w:rPr>
            </w:pPr>
            <w:r w:rsidRPr="00A6284F">
              <w:rPr>
                <w:rFonts w:eastAsia="Times New Roman"/>
                <w:color w:val="000000"/>
                <w:lang w:val="sq-AL"/>
              </w:rPr>
              <w:t>Rritja e kostos për njësi pune, në raport vitin paraprak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54" w:lineRule="exact"/>
              <w:ind w:left="108" w:right="468"/>
              <w:textAlignment w:val="baseline"/>
              <w:rPr>
                <w:rFonts w:eastAsia="Times New Roman"/>
                <w:color w:val="000000"/>
                <w:lang w:val="sq-AL"/>
              </w:rPr>
            </w:pPr>
            <w:r w:rsidRPr="00A6284F">
              <w:rPr>
                <w:rFonts w:eastAsia="Times New Roman"/>
                <w:color w:val="000000"/>
                <w:lang w:val="sq-AL"/>
              </w:rPr>
              <w:t>**Ndryshimi 3 vjeçar (T / T-3) në indeksin e rritjes nominale</w:t>
            </w:r>
            <w:r w:rsidR="00E8557E" w:rsidRPr="00A6284F">
              <w:rPr>
                <w:rFonts w:eastAsia="Times New Roman"/>
                <w:color w:val="000000"/>
                <w:lang w:val="sq-AL"/>
              </w:rPr>
              <w:t xml:space="preserve"> </w:t>
            </w:r>
            <w:r w:rsidRPr="00A6284F">
              <w:rPr>
                <w:rFonts w:eastAsia="Times New Roman"/>
                <w:color w:val="000000"/>
                <w:lang w:val="sq-AL"/>
              </w:rPr>
              <w:t>të kostos për</w:t>
            </w:r>
            <w:r w:rsidR="00E8557E" w:rsidRPr="00A6284F">
              <w:rPr>
                <w:rFonts w:eastAsia="Times New Roman"/>
                <w:color w:val="000000"/>
                <w:lang w:val="sq-AL"/>
              </w:rPr>
              <w:t xml:space="preserve"> </w:t>
            </w:r>
            <w:r w:rsidRPr="00A6284F">
              <w:rPr>
                <w:rFonts w:eastAsia="Times New Roman"/>
                <w:color w:val="000000"/>
                <w:lang w:val="sq-AL"/>
              </w:rPr>
              <w:t>njësi pune (2010 = 100)</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842"/>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54" w:lineRule="exact"/>
              <w:ind w:left="108" w:right="576"/>
              <w:textAlignment w:val="baseline"/>
              <w:rPr>
                <w:rFonts w:eastAsia="Times New Roman"/>
                <w:color w:val="000000"/>
                <w:lang w:val="sq-AL"/>
              </w:rPr>
            </w:pPr>
            <w:r w:rsidRPr="00A6284F">
              <w:rPr>
                <w:rFonts w:eastAsia="Times New Roman"/>
                <w:color w:val="000000"/>
                <w:lang w:val="sq-AL"/>
              </w:rPr>
              <w:t>Produktiviteti i punës për person të punësuar: BPV (në PPS) për person të punësuar në raport me mesataren e BE-së (EU-28 = 100)</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ind w:left="111"/>
              <w:textAlignment w:val="baseline"/>
              <w:rPr>
                <w:rFonts w:eastAsia="Times New Roman"/>
                <w:color w:val="000000"/>
                <w:lang w:val="sq-AL"/>
              </w:rPr>
            </w:pPr>
            <w:r w:rsidRPr="00A6284F">
              <w:rPr>
                <w:rFonts w:eastAsia="Times New Roman"/>
                <w:color w:val="000000"/>
                <w:lang w:val="sq-AL"/>
              </w:rPr>
              <w:t>Bruto-vlera e</w:t>
            </w:r>
            <w:r w:rsidR="00E8557E" w:rsidRPr="00A6284F">
              <w:rPr>
                <w:rFonts w:eastAsia="Times New Roman"/>
                <w:color w:val="000000"/>
                <w:lang w:val="sq-AL"/>
              </w:rPr>
              <w:t xml:space="preserve"> </w:t>
            </w:r>
            <w:r w:rsidRPr="00A6284F">
              <w:rPr>
                <w:rFonts w:eastAsia="Times New Roman"/>
                <w:color w:val="000000"/>
                <w:lang w:val="sq-AL"/>
              </w:rPr>
              <w:t>shtuar sipas sektorëve kryesorë</w:t>
            </w:r>
          </w:p>
        </w:tc>
        <w:tc>
          <w:tcPr>
            <w:tcW w:w="7728" w:type="dxa"/>
            <w:gridSpan w:val="7"/>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r>
    </w:tbl>
    <w:p w:rsidR="00AC51AA" w:rsidRPr="00A6284F" w:rsidRDefault="00AC51AA" w:rsidP="00AC51AA">
      <w:pPr>
        <w:spacing w:after="518" w:line="20" w:lineRule="exact"/>
        <w:rPr>
          <w:lang w:val="sq-AL"/>
        </w:rPr>
      </w:pPr>
    </w:p>
    <w:p w:rsidR="00AC51AA" w:rsidRPr="00A6284F" w:rsidRDefault="00AC51AA" w:rsidP="00AC51AA">
      <w:pPr>
        <w:spacing w:after="518" w:line="20" w:lineRule="exact"/>
        <w:rPr>
          <w:lang w:val="sq-AL"/>
        </w:rPr>
        <w:sectPr w:rsidR="00AC51AA" w:rsidRPr="00A6284F">
          <w:pgSz w:w="16838" w:h="11909" w:orient="landscape"/>
          <w:pgMar w:top="1380" w:right="1248" w:bottom="573" w:left="1363" w:header="720" w:footer="720" w:gutter="0"/>
          <w:cols w:space="720"/>
        </w:sectPr>
      </w:pPr>
    </w:p>
    <w:p w:rsidR="00AC51AA" w:rsidRPr="00A6284F" w:rsidRDefault="00AC51AA" w:rsidP="00AC51AA">
      <w:pPr>
        <w:rPr>
          <w:lang w:val="sq-AL"/>
        </w:rPr>
        <w:sectPr w:rsidR="00AC51AA" w:rsidRPr="00A6284F">
          <w:type w:val="continuous"/>
          <w:pgSz w:w="16838" w:h="11909" w:orient="landscape"/>
          <w:pgMar w:top="1380" w:right="3739" w:bottom="573" w:left="3739" w:header="720" w:footer="720" w:gutter="0"/>
          <w:cols w:space="720"/>
        </w:sectPr>
      </w:pPr>
    </w:p>
    <w:p w:rsidR="00AC51AA" w:rsidRPr="00A6284F" w:rsidRDefault="00AC51AA" w:rsidP="00AC51AA">
      <w:pPr>
        <w:spacing w:before="16" w:line="20" w:lineRule="exact"/>
        <w:rPr>
          <w:lang w:val="sq-AL"/>
        </w:rPr>
      </w:pPr>
    </w:p>
    <w:tbl>
      <w:tblPr>
        <w:tblW w:w="0" w:type="auto"/>
        <w:tblInd w:w="14" w:type="dxa"/>
        <w:tblLayout w:type="fixed"/>
        <w:tblCellMar>
          <w:left w:w="0" w:type="dxa"/>
          <w:right w:w="0" w:type="dxa"/>
        </w:tblCellMar>
        <w:tblLook w:val="0000" w:firstRow="0" w:lastRow="0" w:firstColumn="0" w:lastColumn="0" w:noHBand="0" w:noVBand="0"/>
      </w:tblPr>
      <w:tblGrid>
        <w:gridCol w:w="6475"/>
        <w:gridCol w:w="907"/>
        <w:gridCol w:w="1133"/>
        <w:gridCol w:w="1133"/>
        <w:gridCol w:w="1133"/>
        <w:gridCol w:w="1137"/>
        <w:gridCol w:w="1133"/>
        <w:gridCol w:w="1147"/>
      </w:tblGrid>
      <w:tr w:rsidR="00AC51AA" w:rsidRPr="00A6284F" w:rsidTr="007E58F5">
        <w:trPr>
          <w:trHeight w:hRule="exact" w:val="39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ind w:left="110"/>
              <w:textAlignment w:val="baseline"/>
              <w:rPr>
                <w:rFonts w:eastAsia="Times New Roman"/>
                <w:color w:val="000000"/>
                <w:lang w:val="sq-AL"/>
              </w:rPr>
            </w:pPr>
            <w:r w:rsidRPr="00A6284F">
              <w:rPr>
                <w:rFonts w:eastAsia="Times New Roman"/>
                <w:color w:val="000000"/>
                <w:lang w:val="sq-AL"/>
              </w:rPr>
              <w:t>Bujqësia, pylltaria dhe peshkataria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14.4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14.3</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12.6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13.0</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11.4</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0"/>
              <w:textAlignment w:val="baseline"/>
              <w:rPr>
                <w:rFonts w:eastAsia="Times New Roman"/>
                <w:color w:val="000000"/>
                <w:lang w:val="sq-AL"/>
              </w:rPr>
            </w:pPr>
            <w:r w:rsidRPr="00A6284F">
              <w:rPr>
                <w:rFonts w:eastAsia="Times New Roman"/>
                <w:color w:val="000000"/>
                <w:lang w:val="sq-AL"/>
              </w:rPr>
              <w:t>Industria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19.4</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21.5</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21.8</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0"/>
              <w:textAlignment w:val="baseline"/>
              <w:rPr>
                <w:rFonts w:eastAsia="Times New Roman"/>
                <w:color w:val="000000"/>
                <w:lang w:val="sq-AL"/>
              </w:rPr>
            </w:pPr>
            <w:r w:rsidRPr="00A6284F">
              <w:rPr>
                <w:rFonts w:eastAsia="Times New Roman"/>
                <w:color w:val="000000"/>
                <w:lang w:val="sq-AL"/>
              </w:rPr>
              <w:t>Ndërtimi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7.9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7.3</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8.4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8.1</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9.9</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0"/>
              <w:textAlignment w:val="baseline"/>
              <w:rPr>
                <w:rFonts w:eastAsia="Times New Roman"/>
                <w:color w:val="000000"/>
                <w:lang w:val="sq-AL"/>
              </w:rPr>
            </w:pPr>
            <w:r w:rsidRPr="00A6284F">
              <w:rPr>
                <w:rFonts w:eastAsia="Times New Roman"/>
                <w:color w:val="000000"/>
                <w:lang w:val="sq-AL"/>
              </w:rPr>
              <w:t>Shërbimi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57.4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59</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58.2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57.4</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56.9</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0"/>
              <w:textAlignment w:val="baseline"/>
              <w:rPr>
                <w:rFonts w:eastAsia="Times New Roman"/>
                <w:color w:val="000000"/>
                <w:lang w:val="sq-AL"/>
              </w:rPr>
            </w:pPr>
            <w:r w:rsidRPr="00A6284F">
              <w:rPr>
                <w:rFonts w:eastAsia="Times New Roman"/>
                <w:color w:val="000000"/>
                <w:lang w:val="sq-AL"/>
              </w:rPr>
              <w:t>Shpenzimet e konsumit final, si pjesë e BPV-së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100.1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102.9</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100.9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100.0</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97.5</w:t>
            </w:r>
          </w:p>
        </w:tc>
      </w:tr>
      <w:tr w:rsidR="00AC51AA" w:rsidRPr="00A6284F" w:rsidTr="007E58F5">
        <w:trPr>
          <w:trHeight w:hRule="exact" w:val="384"/>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10"/>
              <w:textAlignment w:val="baseline"/>
              <w:rPr>
                <w:rFonts w:eastAsia="Times New Roman"/>
                <w:color w:val="000000"/>
                <w:lang w:val="sq-AL"/>
              </w:rPr>
            </w:pPr>
            <w:r w:rsidRPr="00A6284F">
              <w:rPr>
                <w:rFonts w:eastAsia="Times New Roman"/>
                <w:color w:val="000000"/>
                <w:lang w:val="sq-AL"/>
              </w:rPr>
              <w:t>Formimi i bruto kapitalit fiks, si pjesë e BPV-së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24.8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23.2</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25.8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25.5</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27.0</w:t>
            </w:r>
          </w:p>
        </w:tc>
      </w:tr>
      <w:tr w:rsidR="00AC51AA" w:rsidRPr="00A6284F" w:rsidTr="007E58F5">
        <w:trPr>
          <w:trHeight w:hRule="exact" w:val="38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0"/>
              <w:textAlignment w:val="baseline"/>
              <w:rPr>
                <w:rFonts w:eastAsia="Times New Roman"/>
                <w:color w:val="000000"/>
                <w:lang w:val="sq-AL"/>
              </w:rPr>
            </w:pPr>
            <w:r w:rsidRPr="00A6284F">
              <w:rPr>
                <w:rFonts w:eastAsia="Times New Roman"/>
                <w:color w:val="000000"/>
                <w:lang w:val="sq-AL"/>
              </w:rPr>
              <w:t>Ndryshimet në inventarët, si pjesë e BPV-së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1.6</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1.4</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0"/>
              <w:textAlignment w:val="baseline"/>
              <w:rPr>
                <w:rFonts w:eastAsia="Times New Roman"/>
                <w:color w:val="000000"/>
                <w:lang w:val="sq-AL"/>
              </w:rPr>
            </w:pPr>
            <w:r w:rsidRPr="00A6284F">
              <w:rPr>
                <w:rFonts w:eastAsia="Times New Roman"/>
                <w:color w:val="000000"/>
                <w:lang w:val="sq-AL"/>
              </w:rPr>
              <w:t>Eksportet e mallrave dhe shërbimeve, në raport me BPV-në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21.9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22.5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21.9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23.7</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26.7</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0"/>
              <w:textAlignment w:val="baseline"/>
              <w:rPr>
                <w:rFonts w:eastAsia="Times New Roman"/>
                <w:color w:val="000000"/>
                <w:lang w:val="sq-AL"/>
              </w:rPr>
            </w:pPr>
            <w:r w:rsidRPr="00A6284F">
              <w:rPr>
                <w:rFonts w:eastAsia="Times New Roman"/>
                <w:color w:val="000000"/>
                <w:lang w:val="sq-AL"/>
              </w:rPr>
              <w:t>Importet e mallrave dhe shërbimeve, në raport me BPV-në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49.7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51.2</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50.4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50.9</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52.5</w:t>
            </w:r>
          </w:p>
        </w:tc>
      </w:tr>
      <w:tr w:rsidR="00AC51AA" w:rsidRPr="00A6284F" w:rsidTr="007E58F5">
        <w:trPr>
          <w:trHeight w:hRule="exact" w:val="64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55" w:lineRule="exact"/>
              <w:ind w:left="108" w:right="576"/>
              <w:textAlignment w:val="baseline"/>
              <w:rPr>
                <w:rFonts w:eastAsia="Times New Roman"/>
                <w:color w:val="000000"/>
                <w:lang w:val="sq-AL"/>
              </w:rPr>
            </w:pPr>
            <w:r w:rsidRPr="00A6284F">
              <w:rPr>
                <w:rFonts w:eastAsia="Times New Roman"/>
                <w:color w:val="000000"/>
                <w:lang w:val="sq-AL"/>
              </w:rPr>
              <w:t>Formimi i bruto kapitalit fiks nga sektori i përgjithshëm qeveritar, si përqindje e BPV-së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35"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1" w:line="249" w:lineRule="exact"/>
              <w:ind w:left="106"/>
              <w:textAlignment w:val="baseline"/>
              <w:rPr>
                <w:rFonts w:eastAsia="Times New Roman"/>
                <w:b/>
                <w:color w:val="000000"/>
                <w:lang w:val="sq-AL"/>
              </w:rPr>
            </w:pPr>
            <w:r w:rsidRPr="00A6284F">
              <w:rPr>
                <w:rFonts w:eastAsia="Times New Roman"/>
                <w:b/>
                <w:color w:val="000000"/>
                <w:lang w:val="sq-AL"/>
              </w:rPr>
              <w:t>Biznesi</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06"/>
              <w:textAlignment w:val="baseline"/>
              <w:rPr>
                <w:rFonts w:eastAsia="Times New Roman"/>
                <w:color w:val="000000"/>
                <w:lang w:val="sq-AL"/>
              </w:rPr>
            </w:pPr>
            <w:r w:rsidRPr="00A6284F">
              <w:rPr>
                <w:rFonts w:eastAsia="Times New Roman"/>
                <w:color w:val="000000"/>
                <w:lang w:val="sq-AL"/>
              </w:rPr>
              <w:t>Indeksi i vëllimit të prodhimit industrial (2010 = 100)</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06"/>
              <w:textAlignment w:val="baseline"/>
              <w:rPr>
                <w:rFonts w:eastAsia="Times New Roman"/>
                <w:color w:val="000000"/>
                <w:lang w:val="sq-AL"/>
              </w:rPr>
            </w:pPr>
            <w:r w:rsidRPr="00A6284F">
              <w:rPr>
                <w:rFonts w:eastAsia="Times New Roman"/>
                <w:color w:val="000000"/>
                <w:lang w:val="sq-AL"/>
              </w:rPr>
              <w:t>Numri i ndërmarrjeve aktive (numri)</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30 803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31 420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35 472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33 274</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34 355</w:t>
            </w:r>
          </w:p>
        </w:tc>
      </w:tr>
      <w:tr w:rsidR="00AC51AA" w:rsidRPr="00A6284F" w:rsidTr="007E58F5">
        <w:trPr>
          <w:trHeight w:hRule="exact" w:val="63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54" w:lineRule="exact"/>
              <w:ind w:left="108" w:right="216"/>
              <w:textAlignment w:val="baseline"/>
              <w:rPr>
                <w:rFonts w:eastAsia="Times New Roman"/>
                <w:color w:val="000000"/>
                <w:lang w:val="sq-AL"/>
              </w:rPr>
            </w:pPr>
            <w:r w:rsidRPr="00A6284F">
              <w:rPr>
                <w:rFonts w:eastAsia="Times New Roman"/>
                <w:color w:val="000000"/>
                <w:lang w:val="sq-AL"/>
              </w:rPr>
              <w:t>Shkalla e krijimit: numri i ndërmarrjeve të krijuara në periudhën referuese (t) pjesëtuar me numrin e ndërmarrjeve aktive në t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1" w:line="248" w:lineRule="exact"/>
              <w:textAlignment w:val="baseline"/>
              <w:rPr>
                <w:rFonts w:eastAsia="Times New Roman"/>
                <w:color w:val="000000"/>
                <w:lang w:val="sq-AL"/>
              </w:rPr>
            </w:pPr>
            <w:r w:rsidRPr="00A6284F">
              <w:rPr>
                <w:rFonts w:eastAsia="Times New Roman"/>
                <w:color w:val="000000"/>
                <w:lang w:val="sq-AL"/>
              </w:rPr>
              <w:t>8.5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1" w:line="248" w:lineRule="exact"/>
              <w:textAlignment w:val="baseline"/>
              <w:rPr>
                <w:rFonts w:eastAsia="Times New Roman"/>
                <w:color w:val="000000"/>
                <w:lang w:val="sq-AL"/>
              </w:rPr>
            </w:pPr>
            <w:r w:rsidRPr="00A6284F">
              <w:rPr>
                <w:rFonts w:eastAsia="Times New Roman"/>
                <w:color w:val="000000"/>
                <w:lang w:val="sq-AL"/>
              </w:rPr>
              <w:t>9.0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1" w:line="248" w:lineRule="exact"/>
              <w:jc w:val="center"/>
              <w:textAlignment w:val="baseline"/>
              <w:rPr>
                <w:rFonts w:eastAsia="Times New Roman"/>
                <w:color w:val="000000"/>
                <w:lang w:val="sq-AL"/>
              </w:rPr>
            </w:pPr>
            <w:r w:rsidRPr="00A6284F">
              <w:rPr>
                <w:rFonts w:eastAsia="Times New Roman"/>
                <w:color w:val="000000"/>
                <w:lang w:val="sq-AL"/>
              </w:rPr>
              <w:t>11.7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1" w:line="248" w:lineRule="exact"/>
              <w:textAlignment w:val="baseline"/>
              <w:rPr>
                <w:rFonts w:eastAsia="Times New Roman"/>
                <w:color w:val="000000"/>
                <w:lang w:val="sq-AL"/>
              </w:rPr>
            </w:pPr>
            <w:r w:rsidRPr="00A6284F">
              <w:rPr>
                <w:rFonts w:eastAsia="Times New Roman"/>
                <w:color w:val="000000"/>
                <w:lang w:val="sq-AL"/>
              </w:rPr>
              <w:t>9.2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1" w:line="248" w:lineRule="exact"/>
              <w:jc w:val="center"/>
              <w:textAlignment w:val="baseline"/>
              <w:rPr>
                <w:rFonts w:eastAsia="Times New Roman"/>
                <w:color w:val="000000"/>
                <w:lang w:val="sq-AL"/>
              </w:rPr>
            </w:pPr>
            <w:r w:rsidRPr="00A6284F">
              <w:rPr>
                <w:rFonts w:eastAsia="Times New Roman"/>
                <w:color w:val="000000"/>
                <w:lang w:val="sq-AL"/>
              </w:rPr>
              <w:t>8.7</w:t>
            </w:r>
          </w:p>
        </w:tc>
      </w:tr>
      <w:tr w:rsidR="00AC51AA" w:rsidRPr="00A6284F" w:rsidTr="007E58F5">
        <w:trPr>
          <w:trHeight w:hRule="exact" w:val="887"/>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55" w:lineRule="exact"/>
              <w:ind w:left="108" w:right="828"/>
              <w:textAlignment w:val="baseline"/>
              <w:rPr>
                <w:rFonts w:eastAsia="Times New Roman"/>
                <w:color w:val="000000"/>
                <w:lang w:val="sq-AL"/>
              </w:rPr>
            </w:pPr>
            <w:r w:rsidRPr="00A6284F">
              <w:rPr>
                <w:rFonts w:eastAsia="Times New Roman"/>
                <w:color w:val="000000"/>
                <w:lang w:val="sq-AL"/>
              </w:rPr>
              <w:t>Shkalla e mbylljes: numri i ndërmarrjeve të mbyllura në periudhën referuese (t) pjesëtuar me numrin e ndërmarrjeve aktive në t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4.4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5.3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8.3p</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15.8p</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3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54" w:lineRule="exact"/>
              <w:ind w:left="108" w:right="144"/>
              <w:jc w:val="both"/>
              <w:textAlignment w:val="baseline"/>
              <w:rPr>
                <w:rFonts w:eastAsia="Times New Roman"/>
                <w:color w:val="000000"/>
                <w:lang w:val="sq-AL"/>
              </w:rPr>
            </w:pPr>
            <w:r w:rsidRPr="00A6284F">
              <w:rPr>
                <w:rFonts w:eastAsia="Times New Roman"/>
                <w:color w:val="000000"/>
                <w:lang w:val="sq-AL"/>
              </w:rPr>
              <w:t>Persona të punësuar në NVM-të si pjesë e të gjithë personave të punësuar (në kuadër</w:t>
            </w:r>
            <w:r w:rsidR="00E8557E" w:rsidRPr="00A6284F">
              <w:rPr>
                <w:rFonts w:eastAsia="Times New Roman"/>
                <w:color w:val="000000"/>
                <w:lang w:val="sq-AL"/>
              </w:rPr>
              <w:t xml:space="preserve"> </w:t>
            </w:r>
            <w:r w:rsidRPr="00A6284F">
              <w:rPr>
                <w:rFonts w:eastAsia="Times New Roman"/>
                <w:color w:val="000000"/>
                <w:lang w:val="sq-AL"/>
              </w:rPr>
              <w:t>të ekonomisë së biznesit jo-financiar)(%)</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0" w:line="248" w:lineRule="exact"/>
              <w:textAlignment w:val="baseline"/>
              <w:rPr>
                <w:rFonts w:eastAsia="Times New Roman"/>
                <w:color w:val="000000"/>
                <w:lang w:val="sq-AL"/>
              </w:rPr>
            </w:pPr>
            <w:r w:rsidRPr="00A6284F">
              <w:rPr>
                <w:rFonts w:eastAsia="Times New Roman"/>
                <w:color w:val="000000"/>
                <w:lang w:val="sq-AL"/>
              </w:rPr>
              <w:t>74.8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0" w:line="248" w:lineRule="exact"/>
              <w:textAlignment w:val="baseline"/>
              <w:rPr>
                <w:rFonts w:eastAsia="Times New Roman"/>
                <w:color w:val="000000"/>
                <w:lang w:val="sq-AL"/>
              </w:rPr>
            </w:pPr>
            <w:r w:rsidRPr="00A6284F">
              <w:rPr>
                <w:rFonts w:eastAsia="Times New Roman"/>
                <w:color w:val="000000"/>
                <w:lang w:val="sq-AL"/>
              </w:rPr>
              <w:t>76.6</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78.3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0" w:line="248" w:lineRule="exact"/>
              <w:textAlignment w:val="baseline"/>
              <w:rPr>
                <w:rFonts w:eastAsia="Times New Roman"/>
                <w:color w:val="000000"/>
                <w:lang w:val="sq-AL"/>
              </w:rPr>
            </w:pPr>
            <w:r w:rsidRPr="00A6284F">
              <w:rPr>
                <w:rFonts w:eastAsia="Times New Roman"/>
                <w:color w:val="000000"/>
                <w:lang w:val="sq-AL"/>
              </w:rPr>
              <w:t>78.5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78.8</w:t>
            </w:r>
          </w:p>
        </w:tc>
      </w:tr>
      <w:tr w:rsidR="00AC51AA" w:rsidRPr="00A6284F" w:rsidTr="007E58F5">
        <w:trPr>
          <w:trHeight w:hRule="exact" w:val="64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54" w:lineRule="exact"/>
              <w:ind w:left="108" w:right="468"/>
              <w:textAlignment w:val="baseline"/>
              <w:rPr>
                <w:rFonts w:eastAsia="Times New Roman"/>
                <w:color w:val="000000"/>
                <w:lang w:val="sq-AL"/>
              </w:rPr>
            </w:pPr>
            <w:r w:rsidRPr="00A6284F">
              <w:rPr>
                <w:rFonts w:eastAsia="Times New Roman"/>
                <w:color w:val="000000"/>
                <w:lang w:val="sq-AL"/>
              </w:rPr>
              <w:t>Vlera e shtuar nga NVM-të (në kuadër të</w:t>
            </w:r>
            <w:r w:rsidR="00E8557E" w:rsidRPr="00A6284F">
              <w:rPr>
                <w:rFonts w:eastAsia="Times New Roman"/>
                <w:color w:val="000000"/>
                <w:lang w:val="sq-AL"/>
              </w:rPr>
              <w:t xml:space="preserve"> </w:t>
            </w:r>
            <w:r w:rsidRPr="00A6284F">
              <w:rPr>
                <w:rFonts w:eastAsia="Times New Roman"/>
                <w:color w:val="000000"/>
                <w:lang w:val="sq-AL"/>
              </w:rPr>
              <w:t>ekonomisë së biznesit jo-financiar)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4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30" w:line="255" w:lineRule="exact"/>
              <w:ind w:left="108" w:right="828"/>
              <w:textAlignment w:val="baseline"/>
              <w:rPr>
                <w:rFonts w:eastAsia="Times New Roman"/>
                <w:color w:val="000000"/>
                <w:lang w:val="sq-AL"/>
              </w:rPr>
            </w:pPr>
            <w:r w:rsidRPr="00A6284F">
              <w:rPr>
                <w:rFonts w:eastAsia="Times New Roman"/>
                <w:color w:val="000000"/>
                <w:lang w:val="sq-AL"/>
              </w:rPr>
              <w:t>Gjithsej vlera e shtuar (në kuadër të</w:t>
            </w:r>
            <w:r w:rsidR="00E8557E" w:rsidRPr="00A6284F">
              <w:rPr>
                <w:rFonts w:eastAsia="Times New Roman"/>
                <w:color w:val="000000"/>
                <w:lang w:val="sq-AL"/>
              </w:rPr>
              <w:t xml:space="preserve"> </w:t>
            </w:r>
            <w:r w:rsidRPr="00A6284F">
              <w:rPr>
                <w:rFonts w:eastAsia="Times New Roman"/>
                <w:color w:val="000000"/>
                <w:lang w:val="sq-AL"/>
              </w:rPr>
              <w:t>ekonomisë së biznesit jo-financiar)(milion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5" w:line="248"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59" w:line="20" w:lineRule="exact"/>
        <w:rPr>
          <w:lang w:val="sq-AL"/>
        </w:rPr>
      </w:pPr>
    </w:p>
    <w:p w:rsidR="00AC51AA" w:rsidRPr="00A6284F" w:rsidRDefault="00AC51AA" w:rsidP="00AC51AA">
      <w:pPr>
        <w:spacing w:after="359" w:line="20" w:lineRule="exact"/>
        <w:rPr>
          <w:lang w:val="sq-AL"/>
        </w:rPr>
        <w:sectPr w:rsidR="00AC51AA" w:rsidRPr="00A6284F">
          <w:pgSz w:w="16838" w:h="11909" w:orient="landscape"/>
          <w:pgMar w:top="1380" w:right="1247" w:bottom="573" w:left="1364"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38"/>
          <w:sz w:val="20"/>
          <w:lang w:val="sq-AL"/>
        </w:rPr>
      </w:pPr>
      <w:r w:rsidRPr="00A6284F">
        <w:rPr>
          <w:rFonts w:eastAsia="Times New Roman"/>
          <w:color w:val="000000"/>
          <w:spacing w:val="38"/>
          <w:sz w:val="20"/>
          <w:lang w:val="sq-AL"/>
        </w:rPr>
        <w:lastRenderedPageBreak/>
        <w:t>93</w:t>
      </w:r>
    </w:p>
    <w:p w:rsidR="00AC51AA" w:rsidRPr="00A6284F" w:rsidRDefault="00AC51AA" w:rsidP="00AC51AA">
      <w:pPr>
        <w:rPr>
          <w:lang w:val="sq-AL"/>
        </w:rPr>
        <w:sectPr w:rsidR="00AC51AA" w:rsidRPr="00A6284F">
          <w:type w:val="continuous"/>
          <w:pgSz w:w="16838" w:h="11909" w:orient="landscape"/>
          <w:pgMar w:top="1380" w:right="3741" w:bottom="573" w:left="3737" w:header="720" w:footer="720" w:gutter="0"/>
          <w:cols w:space="720"/>
        </w:sectPr>
      </w:pPr>
    </w:p>
    <w:p w:rsidR="00AC51AA" w:rsidRPr="00A6284F" w:rsidRDefault="00AC51AA" w:rsidP="00AC51AA">
      <w:pPr>
        <w:spacing w:before="15"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b/>
                <w:color w:val="000000"/>
                <w:lang w:val="sq-AL"/>
              </w:rPr>
            </w:pPr>
            <w:r w:rsidRPr="00A6284F">
              <w:rPr>
                <w:rFonts w:eastAsia="Times New Roman"/>
                <w:b/>
                <w:color w:val="000000"/>
                <w:lang w:val="sq-AL"/>
              </w:rPr>
              <w:t>Shkalla e inflacionit dhe çmimet e banesave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55" w:lineRule="exact"/>
              <w:ind w:left="108" w:right="864"/>
              <w:textAlignment w:val="baseline"/>
              <w:rPr>
                <w:rFonts w:eastAsia="Times New Roman"/>
                <w:color w:val="000000"/>
                <w:lang w:val="sq-AL"/>
              </w:rPr>
            </w:pPr>
            <w:r w:rsidRPr="00A6284F">
              <w:rPr>
                <w:rFonts w:eastAsia="Times New Roman"/>
                <w:color w:val="000000"/>
                <w:lang w:val="sq-AL"/>
              </w:rPr>
              <w:t>Indeksi i Harmonizuar i Çmimeve të Konsumit (IHÇK), ndryshimi në raport me vitin paraprak(%)</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1.7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0.4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-0.5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0.3</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1.5</w:t>
            </w:r>
          </w:p>
        </w:tc>
      </w:tr>
      <w:tr w:rsidR="00AC51AA" w:rsidRPr="00A6284F" w:rsidTr="007E58F5">
        <w:trPr>
          <w:trHeight w:hRule="exact" w:val="570"/>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ind w:left="106"/>
              <w:textAlignment w:val="baseline"/>
              <w:rPr>
                <w:rFonts w:eastAsia="Times New Roman"/>
                <w:color w:val="000000"/>
                <w:lang w:val="sq-AL"/>
              </w:rPr>
            </w:pPr>
            <w:r w:rsidRPr="00A6284F">
              <w:rPr>
                <w:rFonts w:eastAsia="Times New Roman"/>
                <w:color w:val="000000"/>
                <w:lang w:val="sq-AL"/>
              </w:rPr>
              <w:t>**Ndryshimi vjetor në indeksin e</w:t>
            </w:r>
            <w:r w:rsidR="00E8557E" w:rsidRPr="00A6284F">
              <w:rPr>
                <w:rFonts w:eastAsia="Times New Roman"/>
                <w:color w:val="000000"/>
                <w:lang w:val="sq-AL"/>
              </w:rPr>
              <w:t xml:space="preserve"> </w:t>
            </w:r>
            <w:r w:rsidRPr="00A6284F">
              <w:rPr>
                <w:rFonts w:eastAsia="Times New Roman"/>
                <w:color w:val="000000"/>
                <w:lang w:val="sq-AL"/>
              </w:rPr>
              <w:t>çmimeve me deflacion të shtëpive (2010 = 100)</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40"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b/>
                <w:color w:val="000000"/>
                <w:lang w:val="sq-AL"/>
              </w:rPr>
            </w:pPr>
            <w:r w:rsidRPr="00A6284F">
              <w:rPr>
                <w:rFonts w:eastAsia="Times New Roman"/>
                <w:b/>
                <w:color w:val="000000"/>
                <w:lang w:val="sq-AL"/>
              </w:rPr>
              <w:t>Bilanci i pagesave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311"/>
              <w:jc w:val="right"/>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Bilanci i pagesave: llogari rrjedhëse gjithsej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-226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-179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-385</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-497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-481</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-383</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Bilanci i pagesave llogari rrjedhëse: bilanci tregtar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-1 164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-1 996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-2 059</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-2 109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311"/>
              <w:jc w:val="right"/>
              <w:textAlignment w:val="baseline"/>
              <w:rPr>
                <w:rFonts w:eastAsia="Times New Roman"/>
                <w:color w:val="000000"/>
                <w:lang w:val="sq-AL"/>
              </w:rPr>
            </w:pPr>
            <w:r w:rsidRPr="00A6284F">
              <w:rPr>
                <w:rFonts w:eastAsia="Times New Roman"/>
                <w:color w:val="000000"/>
                <w:lang w:val="sq-AL"/>
              </w:rPr>
              <w:t>-2 291</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-2 464</w:t>
            </w:r>
          </w:p>
        </w:tc>
      </w:tr>
      <w:tr w:rsidR="00AC51AA" w:rsidRPr="00A6284F" w:rsidTr="007E58F5">
        <w:trPr>
          <w:trHeight w:hRule="exact" w:val="38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ind w:left="106"/>
              <w:textAlignment w:val="baseline"/>
              <w:rPr>
                <w:rFonts w:eastAsia="Times New Roman"/>
                <w:color w:val="000000"/>
                <w:lang w:val="sq-AL"/>
              </w:rPr>
            </w:pPr>
            <w:r w:rsidRPr="00A6284F">
              <w:rPr>
                <w:rFonts w:eastAsia="Times New Roman"/>
                <w:color w:val="000000"/>
                <w:lang w:val="sq-AL"/>
              </w:rPr>
              <w:t>Bilanci i pagesave llogari rrjedhëse: shërbime neto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20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520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460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457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639</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794</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50" w:lineRule="exact"/>
              <w:ind w:left="108" w:right="468"/>
              <w:textAlignment w:val="baseline"/>
              <w:rPr>
                <w:rFonts w:eastAsia="Times New Roman"/>
                <w:color w:val="000000"/>
                <w:lang w:val="sq-AL"/>
              </w:rPr>
            </w:pPr>
            <w:r w:rsidRPr="00A6284F">
              <w:rPr>
                <w:rFonts w:eastAsia="Times New Roman"/>
                <w:color w:val="000000"/>
                <w:lang w:val="sq-AL"/>
              </w:rPr>
              <w:t>Bilanci i pagesave llogari rrjedhëse: bilanci neto për të ardhurat primare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159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122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93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75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127</w:t>
            </w:r>
          </w:p>
        </w:tc>
      </w:tr>
      <w:tr w:rsidR="00AC51AA" w:rsidRPr="00A6284F" w:rsidTr="007E58F5">
        <w:trPr>
          <w:trHeight w:hRule="exact" w:val="64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4" w:lineRule="exact"/>
              <w:ind w:left="108" w:right="252"/>
              <w:textAlignment w:val="baseline"/>
              <w:rPr>
                <w:rFonts w:eastAsia="Times New Roman"/>
                <w:color w:val="000000"/>
                <w:lang w:val="sq-AL"/>
              </w:rPr>
            </w:pPr>
            <w:r w:rsidRPr="00A6284F">
              <w:rPr>
                <w:rFonts w:eastAsia="Times New Roman"/>
                <w:color w:val="000000"/>
                <w:lang w:val="sq-AL"/>
              </w:rPr>
              <w:t>Bilanci i pagesave llogari rrjedhëse: bilanci neto për të ardhurat sekondare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759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1 175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1 100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1 062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ind w:right="311"/>
              <w:jc w:val="right"/>
              <w:textAlignment w:val="baseline"/>
              <w:rPr>
                <w:rFonts w:eastAsia="Times New Roman"/>
                <w:color w:val="000000"/>
                <w:lang w:val="sq-AL"/>
              </w:rPr>
            </w:pPr>
            <w:r w:rsidRPr="00A6284F">
              <w:rPr>
                <w:rFonts w:eastAsia="Times New Roman"/>
                <w:color w:val="000000"/>
                <w:lang w:val="sq-AL"/>
              </w:rPr>
              <w:t>1 096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1 161</w:t>
            </w: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50" w:lineRule="exact"/>
              <w:ind w:left="108" w:right="468"/>
              <w:textAlignment w:val="baseline"/>
              <w:rPr>
                <w:rFonts w:eastAsia="Times New Roman"/>
                <w:color w:val="000000"/>
                <w:lang w:val="sq-AL"/>
              </w:rPr>
            </w:pPr>
            <w:r w:rsidRPr="00A6284F">
              <w:rPr>
                <w:rFonts w:eastAsia="Times New Roman"/>
                <w:color w:val="000000"/>
                <w:lang w:val="sq-AL"/>
              </w:rPr>
              <w:t xml:space="preserve">Bilanci neto për të ardhurat primare dhe sekondare: nga të cilat </w:t>
            </w:r>
            <w:proofErr w:type="spellStart"/>
            <w:r w:rsidRPr="00A6284F">
              <w:rPr>
                <w:rFonts w:eastAsia="Times New Roman"/>
                <w:color w:val="000000"/>
                <w:lang w:val="sq-AL"/>
              </w:rPr>
              <w:t>transfere</w:t>
            </w:r>
            <w:proofErr w:type="spellEnd"/>
            <w:r w:rsidRPr="00A6284F">
              <w:rPr>
                <w:rFonts w:eastAsia="Times New Roman"/>
                <w:color w:val="000000"/>
                <w:lang w:val="sq-AL"/>
              </w:rPr>
              <w:t xml:space="preserve"> qeveritare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320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370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291</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202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204</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196</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5" w:lineRule="exact"/>
              <w:ind w:left="108" w:right="756"/>
              <w:textAlignment w:val="baseline"/>
              <w:rPr>
                <w:rFonts w:eastAsia="Times New Roman"/>
                <w:color w:val="000000"/>
                <w:lang w:val="sq-AL"/>
              </w:rPr>
            </w:pPr>
            <w:r w:rsidRPr="00A6284F">
              <w:rPr>
                <w:rFonts w:eastAsia="Times New Roman"/>
                <w:color w:val="000000"/>
                <w:lang w:val="sq-AL"/>
              </w:rPr>
              <w:t>**Mesatarja 3-vjeçare me lëvizje prapa e bilancit të llogarive rrjedhëse në raport me BPV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-7.3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-5.4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-6.3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-7.8</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-7.5</w:t>
            </w:r>
          </w:p>
        </w:tc>
      </w:tr>
      <w:tr w:rsidR="00AC51AA" w:rsidRPr="00A6284F" w:rsidTr="007E58F5">
        <w:trPr>
          <w:trHeight w:hRule="exact" w:val="606"/>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ind w:left="106"/>
              <w:textAlignment w:val="baseline"/>
              <w:rPr>
                <w:rFonts w:eastAsia="Times New Roman"/>
                <w:color w:val="000000"/>
                <w:lang w:val="sq-AL"/>
              </w:rPr>
            </w:pPr>
            <w:r w:rsidRPr="00A6284F">
              <w:rPr>
                <w:rFonts w:eastAsia="Times New Roman"/>
                <w:color w:val="000000"/>
                <w:lang w:val="sq-AL"/>
              </w:rPr>
              <w:t>**Ndryshimi pesëvjeçar në pjesën e eksporteve botërore të mallrave e shërbimeve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11.51</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6.03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ind w:right="311"/>
              <w:jc w:val="right"/>
              <w:textAlignment w:val="baseline"/>
              <w:rPr>
                <w:rFonts w:eastAsia="Times New Roman"/>
                <w:color w:val="000000"/>
                <w:lang w:val="sq-AL"/>
              </w:rPr>
            </w:pPr>
            <w:r w:rsidRPr="00A6284F">
              <w:rPr>
                <w:rFonts w:eastAsia="Times New Roman"/>
                <w:color w:val="000000"/>
                <w:lang w:val="sq-AL"/>
              </w:rPr>
              <w:t>6.86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49" w:lineRule="exact"/>
              <w:jc w:val="center"/>
              <w:textAlignment w:val="baseline"/>
              <w:rPr>
                <w:rFonts w:eastAsia="Times New Roman"/>
                <w:color w:val="000000"/>
                <w:lang w:val="sq-AL"/>
              </w:rPr>
            </w:pPr>
            <w:r w:rsidRPr="00A6284F">
              <w:rPr>
                <w:rFonts w:eastAsia="Times New Roman"/>
                <w:color w:val="000000"/>
                <w:lang w:val="sq-AL"/>
              </w:rPr>
              <w:t>25.61</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50" w:lineRule="exact"/>
              <w:ind w:left="108" w:right="756"/>
              <w:textAlignment w:val="baseline"/>
              <w:rPr>
                <w:rFonts w:eastAsia="Times New Roman"/>
                <w:color w:val="000000"/>
                <w:lang w:val="sq-AL"/>
              </w:rPr>
            </w:pPr>
            <w:r w:rsidRPr="00A6284F">
              <w:rPr>
                <w:rFonts w:eastAsia="Times New Roman"/>
                <w:color w:val="000000"/>
                <w:lang w:val="sq-AL"/>
              </w:rPr>
              <w:t xml:space="preserve">Bilanci neto (hyrje-dalje) i investimeve të huaja </w:t>
            </w:r>
            <w:proofErr w:type="spellStart"/>
            <w:r w:rsidRPr="00A6284F">
              <w:rPr>
                <w:rFonts w:eastAsia="Times New Roman"/>
                <w:color w:val="000000"/>
                <w:lang w:val="sq-AL"/>
              </w:rPr>
              <w:t>direkte</w:t>
            </w:r>
            <w:proofErr w:type="spellEnd"/>
            <w:r w:rsidRPr="00A6284F">
              <w:rPr>
                <w:rFonts w:eastAsia="Times New Roman"/>
                <w:color w:val="000000"/>
                <w:lang w:val="sq-AL"/>
              </w:rPr>
              <w:t xml:space="preserve"> (IHD)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289.2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250.2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123.8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271.8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ind w:right="311"/>
              <w:jc w:val="right"/>
              <w:textAlignment w:val="baseline"/>
              <w:rPr>
                <w:rFonts w:eastAsia="Times New Roman"/>
                <w:color w:val="000000"/>
                <w:lang w:val="sq-AL"/>
              </w:rPr>
            </w:pPr>
            <w:r w:rsidRPr="00A6284F">
              <w:rPr>
                <w:rFonts w:eastAsia="Times New Roman"/>
                <w:color w:val="000000"/>
                <w:lang w:val="sq-AL"/>
              </w:rPr>
              <w:t>177.2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212.0</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color w:val="000000"/>
                <w:lang w:val="sq-AL"/>
              </w:rPr>
            </w:pPr>
            <w:r w:rsidRPr="00A6284F">
              <w:rPr>
                <w:rFonts w:eastAsia="Times New Roman"/>
                <w:color w:val="000000"/>
                <w:lang w:val="sq-AL"/>
              </w:rPr>
              <w:t xml:space="preserve">Investimet e huaja </w:t>
            </w:r>
            <w:proofErr w:type="spellStart"/>
            <w:r w:rsidRPr="00A6284F">
              <w:rPr>
                <w:rFonts w:eastAsia="Times New Roman"/>
                <w:color w:val="000000"/>
                <w:lang w:val="sq-AL"/>
              </w:rPr>
              <w:t>direkte</w:t>
            </w:r>
            <w:proofErr w:type="spellEnd"/>
            <w:r w:rsidRPr="00A6284F">
              <w:rPr>
                <w:rFonts w:eastAsia="Times New Roman"/>
                <w:color w:val="000000"/>
                <w:lang w:val="sq-AL"/>
              </w:rPr>
              <w:t xml:space="preserve"> (IHD) jashtë vendit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5.6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27.3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37.1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right="311"/>
              <w:jc w:val="right"/>
              <w:textAlignment w:val="baseline"/>
              <w:rPr>
                <w:rFonts w:eastAsia="Times New Roman"/>
                <w:color w:val="000000"/>
                <w:lang w:val="sq-AL"/>
              </w:rPr>
            </w:pPr>
            <w:r w:rsidRPr="00A6284F">
              <w:rPr>
                <w:rFonts w:eastAsia="Times New Roman"/>
                <w:color w:val="000000"/>
                <w:lang w:val="sq-AL"/>
              </w:rPr>
              <w:t>42.7</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43.4</w:t>
            </w:r>
          </w:p>
        </w:tc>
      </w:tr>
      <w:tr w:rsidR="00AC51AA" w:rsidRPr="00A6284F" w:rsidTr="007E58F5">
        <w:trPr>
          <w:trHeight w:hRule="exact" w:val="63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4" w:lineRule="exact"/>
              <w:ind w:left="108" w:right="288"/>
              <w:textAlignment w:val="baseline"/>
              <w:rPr>
                <w:rFonts w:eastAsia="Times New Roman"/>
                <w:color w:val="000000"/>
                <w:lang w:val="sq-AL"/>
              </w:rPr>
            </w:pPr>
            <w:r w:rsidRPr="00A6284F">
              <w:rPr>
                <w:rFonts w:eastAsia="Times New Roman"/>
                <w:color w:val="000000"/>
                <w:lang w:val="sq-AL"/>
              </w:rPr>
              <w:t>Nga të cilat IHD të ekonomisë raportuese në vendet EU-28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67.0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28.4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89.1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ind w:right="311"/>
              <w:jc w:val="right"/>
              <w:textAlignment w:val="baseline"/>
              <w:rPr>
                <w:rFonts w:eastAsia="Times New Roman"/>
                <w:color w:val="000000"/>
                <w:lang w:val="sq-AL"/>
              </w:rPr>
            </w:pPr>
            <w:r w:rsidRPr="00A6284F">
              <w:rPr>
                <w:rFonts w:eastAsia="Times New Roman"/>
                <w:color w:val="000000"/>
                <w:lang w:val="sq-AL"/>
              </w:rPr>
              <w:t>25.7</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16.3</w:t>
            </w:r>
          </w:p>
        </w:tc>
      </w:tr>
      <w:tr w:rsidR="00AC51AA" w:rsidRPr="00A6284F" w:rsidTr="007E58F5">
        <w:trPr>
          <w:trHeight w:hRule="exact" w:val="39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06"/>
              <w:textAlignment w:val="baseline"/>
              <w:rPr>
                <w:rFonts w:eastAsia="Times New Roman"/>
                <w:color w:val="000000"/>
                <w:lang w:val="sq-AL"/>
              </w:rPr>
            </w:pPr>
            <w:r w:rsidRPr="00A6284F">
              <w:rPr>
                <w:rFonts w:eastAsia="Times New Roman"/>
                <w:color w:val="000000"/>
                <w:lang w:val="sq-AL"/>
              </w:rPr>
              <w:t xml:space="preserve">Investimet e huaja </w:t>
            </w:r>
            <w:proofErr w:type="spellStart"/>
            <w:r w:rsidRPr="00A6284F">
              <w:rPr>
                <w:rFonts w:eastAsia="Times New Roman"/>
                <w:color w:val="000000"/>
                <w:lang w:val="sq-AL"/>
              </w:rPr>
              <w:t>direkte</w:t>
            </w:r>
            <w:proofErr w:type="spellEnd"/>
            <w:r w:rsidRPr="00A6284F">
              <w:rPr>
                <w:rFonts w:eastAsia="Times New Roman"/>
                <w:color w:val="000000"/>
                <w:lang w:val="sq-AL"/>
              </w:rPr>
              <w:t xml:space="preserve"> (IHD) në ekonominë raportuese (milion euro)</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294.8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280.2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151.2</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308.8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right="311"/>
              <w:jc w:val="right"/>
              <w:textAlignment w:val="baseline"/>
              <w:rPr>
                <w:rFonts w:eastAsia="Times New Roman"/>
                <w:color w:val="000000"/>
                <w:lang w:val="sq-AL"/>
              </w:rPr>
            </w:pPr>
            <w:r w:rsidRPr="00A6284F">
              <w:rPr>
                <w:rFonts w:eastAsia="Times New Roman"/>
                <w:color w:val="000000"/>
                <w:lang w:val="sq-AL"/>
              </w:rPr>
              <w:t>220.0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255.4</w:t>
            </w:r>
          </w:p>
        </w:tc>
      </w:tr>
    </w:tbl>
    <w:p w:rsidR="00AC51AA" w:rsidRPr="00A6284F" w:rsidRDefault="00AC51AA" w:rsidP="00AC51AA">
      <w:pPr>
        <w:spacing w:after="513" w:line="20" w:lineRule="exact"/>
        <w:rPr>
          <w:lang w:val="sq-AL"/>
        </w:rPr>
      </w:pPr>
    </w:p>
    <w:p w:rsidR="00AC51AA" w:rsidRPr="00A6284F" w:rsidRDefault="00AC51AA" w:rsidP="00AC51AA">
      <w:pPr>
        <w:spacing w:after="513" w:line="20" w:lineRule="exact"/>
        <w:rPr>
          <w:lang w:val="sq-AL"/>
        </w:rPr>
        <w:sectPr w:rsidR="00AC51AA" w:rsidRPr="00A6284F">
          <w:pgSz w:w="16838" w:h="11909" w:orient="landscape"/>
          <w:pgMar w:top="1760" w:right="1248" w:bottom="573" w:left="1363" w:header="720" w:footer="720" w:gutter="0"/>
          <w:cols w:space="720"/>
        </w:sectPr>
      </w:pPr>
    </w:p>
    <w:p w:rsidR="00AC51AA" w:rsidRPr="00A6284F" w:rsidRDefault="00AC51AA" w:rsidP="00AC51AA">
      <w:pPr>
        <w:rPr>
          <w:lang w:val="sq-AL"/>
        </w:rPr>
        <w:sectPr w:rsidR="00AC51AA" w:rsidRPr="00A6284F">
          <w:type w:val="continuous"/>
          <w:pgSz w:w="16838" w:h="11909" w:orient="landscape"/>
          <w:pgMar w:top="1760" w:right="3736" w:bottom="573" w:left="3742" w:header="720" w:footer="720" w:gutter="0"/>
          <w:cols w:space="720"/>
        </w:sectPr>
      </w:pPr>
    </w:p>
    <w:p w:rsidR="00AC51AA" w:rsidRPr="00A6284F" w:rsidRDefault="00AC51AA" w:rsidP="00AC51AA">
      <w:pPr>
        <w:spacing w:before="16" w:line="20" w:lineRule="exact"/>
        <w:rPr>
          <w:lang w:val="sq-AL"/>
        </w:rPr>
      </w:pPr>
    </w:p>
    <w:tbl>
      <w:tblPr>
        <w:tblW w:w="0" w:type="auto"/>
        <w:tblInd w:w="14" w:type="dxa"/>
        <w:tblLayout w:type="fixed"/>
        <w:tblCellMar>
          <w:left w:w="0" w:type="dxa"/>
          <w:right w:w="0" w:type="dxa"/>
        </w:tblCellMar>
        <w:tblLook w:val="0000" w:firstRow="0" w:lastRow="0" w:firstColumn="0" w:lastColumn="0" w:noHBand="0" w:noVBand="0"/>
      </w:tblPr>
      <w:tblGrid>
        <w:gridCol w:w="6475"/>
        <w:gridCol w:w="907"/>
        <w:gridCol w:w="1133"/>
        <w:gridCol w:w="1133"/>
        <w:gridCol w:w="1133"/>
        <w:gridCol w:w="1137"/>
        <w:gridCol w:w="1133"/>
        <w:gridCol w:w="1147"/>
      </w:tblGrid>
      <w:tr w:rsidR="00AC51AA" w:rsidRPr="00A6284F" w:rsidTr="007E58F5">
        <w:trPr>
          <w:trHeight w:hRule="exact" w:val="653"/>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9" w:lineRule="exact"/>
              <w:ind w:left="108" w:right="288"/>
              <w:textAlignment w:val="baseline"/>
              <w:rPr>
                <w:rFonts w:eastAsia="Times New Roman"/>
                <w:color w:val="000000"/>
                <w:lang w:val="sq-AL"/>
              </w:rPr>
            </w:pPr>
            <w:r w:rsidRPr="00A6284F">
              <w:rPr>
                <w:rFonts w:eastAsia="Times New Roman"/>
                <w:color w:val="000000"/>
                <w:lang w:val="sq-AL"/>
              </w:rPr>
              <w:t>Nga të cilat IHD të vendeve EU-28 në ekonominë raportuese (milion euro)</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88.5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38.5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100.2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6" w:line="248" w:lineRule="exact"/>
              <w:textAlignment w:val="baseline"/>
              <w:rPr>
                <w:rFonts w:eastAsia="Times New Roman"/>
                <w:color w:val="000000"/>
                <w:lang w:val="sq-AL"/>
              </w:rPr>
            </w:pPr>
            <w:r w:rsidRPr="00A6284F">
              <w:rPr>
                <w:rFonts w:eastAsia="Times New Roman"/>
                <w:color w:val="000000"/>
                <w:lang w:val="sq-AL"/>
              </w:rPr>
              <w:t>41.2</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123.5</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ind w:left="115"/>
              <w:textAlignment w:val="baseline"/>
              <w:rPr>
                <w:rFonts w:eastAsia="Times New Roman"/>
                <w:color w:val="000000"/>
                <w:lang w:val="sq-AL"/>
              </w:rPr>
            </w:pPr>
            <w:r w:rsidRPr="00A6284F">
              <w:rPr>
                <w:rFonts w:eastAsia="Times New Roman"/>
                <w:color w:val="000000"/>
                <w:lang w:val="sq-AL"/>
              </w:rPr>
              <w:t>**Neto pozita e investimeve ndërkombëtare, në raport me BPV-në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7" w:line="248" w:lineRule="exact"/>
              <w:textAlignment w:val="baseline"/>
              <w:rPr>
                <w:rFonts w:eastAsia="Times New Roman"/>
                <w:color w:val="000000"/>
                <w:lang w:val="sq-AL"/>
              </w:rPr>
            </w:pPr>
            <w:r w:rsidRPr="00A6284F">
              <w:rPr>
                <w:rFonts w:eastAsia="Times New Roman"/>
                <w:color w:val="000000"/>
                <w:lang w:val="sq-AL"/>
              </w:rPr>
              <w:t>4.9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7" w:line="248" w:lineRule="exact"/>
              <w:textAlignment w:val="baseline"/>
              <w:rPr>
                <w:rFonts w:eastAsia="Times New Roman"/>
                <w:color w:val="000000"/>
                <w:lang w:val="sq-AL"/>
              </w:rPr>
            </w:pPr>
            <w:r w:rsidRPr="00A6284F">
              <w:rPr>
                <w:rFonts w:eastAsia="Times New Roman"/>
                <w:color w:val="000000"/>
                <w:lang w:val="sq-AL"/>
              </w:rPr>
              <w:t>3.5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-0.7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7" w:line="248" w:lineRule="exact"/>
              <w:textAlignment w:val="baseline"/>
              <w:rPr>
                <w:rFonts w:eastAsia="Times New Roman"/>
                <w:color w:val="000000"/>
                <w:lang w:val="sq-AL"/>
              </w:rPr>
            </w:pPr>
            <w:r w:rsidRPr="00A6284F">
              <w:rPr>
                <w:rFonts w:eastAsia="Times New Roman"/>
                <w:color w:val="000000"/>
                <w:lang w:val="sq-AL"/>
              </w:rPr>
              <w:t>-1.3</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-1.8</w:t>
            </w:r>
          </w:p>
        </w:tc>
      </w:tr>
      <w:tr w:rsidR="00AC51AA" w:rsidRPr="00A6284F" w:rsidTr="007E58F5">
        <w:trPr>
          <w:trHeight w:hRule="exact" w:val="64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54" w:lineRule="exact"/>
              <w:ind w:left="108" w:right="396"/>
              <w:textAlignment w:val="baseline"/>
              <w:rPr>
                <w:rFonts w:eastAsia="Times New Roman"/>
                <w:color w:val="000000"/>
                <w:lang w:val="sq-AL"/>
              </w:rPr>
            </w:pPr>
            <w:r w:rsidRPr="00A6284F">
              <w:rPr>
                <w:rFonts w:eastAsia="Times New Roman"/>
                <w:color w:val="000000"/>
                <w:lang w:val="sq-AL"/>
              </w:rPr>
              <w:t xml:space="preserve">Shkalla e ndryshimit vit pas viti në rrjedhat bruto hyrëse të </w:t>
            </w:r>
            <w:proofErr w:type="spellStart"/>
            <w:r w:rsidRPr="00A6284F">
              <w:rPr>
                <w:rFonts w:eastAsia="Times New Roman"/>
                <w:color w:val="000000"/>
                <w:lang w:val="sq-AL"/>
              </w:rPr>
              <w:t>remitancave</w:t>
            </w:r>
            <w:proofErr w:type="spellEnd"/>
            <w:r w:rsidRPr="00A6284F">
              <w:rPr>
                <w:rFonts w:eastAsia="Times New Roman"/>
                <w:color w:val="000000"/>
                <w:lang w:val="sq-AL"/>
              </w:rPr>
              <w:t xml:space="preserve"> (në valutë kombëtare) nga punëtorët migrues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11.8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6" w:line="248" w:lineRule="exact"/>
              <w:textAlignment w:val="baseline"/>
              <w:rPr>
                <w:rFonts w:eastAsia="Times New Roman"/>
                <w:color w:val="000000"/>
                <w:lang w:val="sq-AL"/>
              </w:rPr>
            </w:pPr>
            <w:r w:rsidRPr="00A6284F">
              <w:rPr>
                <w:rFonts w:eastAsia="Times New Roman"/>
                <w:color w:val="000000"/>
                <w:lang w:val="sq-AL"/>
              </w:rPr>
              <w:t>11.0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6" w:line="248" w:lineRule="exact"/>
              <w:textAlignment w:val="baseline"/>
              <w:rPr>
                <w:rFonts w:eastAsia="Times New Roman"/>
                <w:color w:val="000000"/>
                <w:lang w:val="sq-AL"/>
              </w:rPr>
            </w:pPr>
            <w:r w:rsidRPr="00A6284F">
              <w:rPr>
                <w:rFonts w:eastAsia="Times New Roman"/>
                <w:color w:val="000000"/>
                <w:lang w:val="sq-AL"/>
              </w:rPr>
              <w:t>8.5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6.9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6" w:line="248" w:lineRule="exact"/>
              <w:textAlignment w:val="baseline"/>
              <w:rPr>
                <w:rFonts w:eastAsia="Times New Roman"/>
                <w:color w:val="000000"/>
                <w:lang w:val="sq-AL"/>
              </w:rPr>
            </w:pPr>
            <w:r w:rsidRPr="00A6284F">
              <w:rPr>
                <w:rFonts w:eastAsia="Times New Roman"/>
                <w:color w:val="000000"/>
                <w:lang w:val="sq-AL"/>
              </w:rPr>
              <w:t>3.8</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6" w:line="248" w:lineRule="exact"/>
              <w:jc w:val="center"/>
              <w:textAlignment w:val="baseline"/>
              <w:rPr>
                <w:rFonts w:eastAsia="Times New Roman"/>
                <w:color w:val="000000"/>
                <w:lang w:val="sq-AL"/>
              </w:rPr>
            </w:pPr>
            <w:r w:rsidRPr="00A6284F">
              <w:rPr>
                <w:rFonts w:eastAsia="Times New Roman"/>
                <w:color w:val="000000"/>
                <w:lang w:val="sq-AL"/>
              </w:rPr>
              <w:t>9.9</w:t>
            </w:r>
          </w:p>
        </w:tc>
      </w:tr>
    </w:tbl>
    <w:p w:rsidR="00AC51AA" w:rsidRPr="00A6284F" w:rsidRDefault="00AC51AA" w:rsidP="00AC51AA">
      <w:pPr>
        <w:spacing w:after="335"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16"/>
              <w:textAlignment w:val="baseline"/>
              <w:rPr>
                <w:rFonts w:eastAsia="Times New Roman"/>
                <w:b/>
                <w:color w:val="000000"/>
                <w:lang w:val="sq-AL"/>
              </w:rPr>
            </w:pPr>
            <w:r w:rsidRPr="00A6284F">
              <w:rPr>
                <w:rFonts w:eastAsia="Times New Roman"/>
                <w:b/>
                <w:color w:val="000000"/>
                <w:lang w:val="sq-AL"/>
              </w:rPr>
              <w:t>Financat publike</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ind w:left="116"/>
              <w:textAlignment w:val="baseline"/>
              <w:rPr>
                <w:rFonts w:eastAsia="Times New Roman"/>
                <w:color w:val="000000"/>
                <w:lang w:val="sq-AL"/>
              </w:rPr>
            </w:pPr>
            <w:r w:rsidRPr="00A6284F">
              <w:rPr>
                <w:rFonts w:eastAsia="Times New Roman"/>
                <w:color w:val="000000"/>
                <w:lang w:val="sq-AL"/>
              </w:rPr>
              <w:t>***Deficiti/suficiti i përgjithshëm qeveritar, në raport me BPV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6"/>
              <w:textAlignment w:val="baseline"/>
              <w:rPr>
                <w:rFonts w:eastAsia="Times New Roman"/>
                <w:color w:val="000000"/>
                <w:lang w:val="sq-AL"/>
              </w:rPr>
            </w:pPr>
            <w:r w:rsidRPr="00A6284F">
              <w:rPr>
                <w:rFonts w:eastAsia="Times New Roman"/>
                <w:color w:val="000000"/>
                <w:lang w:val="sq-AL"/>
              </w:rPr>
              <w:t>***Bruto borxhi i përgjithshëm qeveritar, në raport me BPV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8.9e</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1" w:line="248" w:lineRule="exact"/>
              <w:textAlignment w:val="baseline"/>
              <w:rPr>
                <w:rFonts w:eastAsia="Times New Roman"/>
                <w:color w:val="000000"/>
                <w:lang w:val="sq-AL"/>
              </w:rPr>
            </w:pPr>
            <w:r w:rsidRPr="00A6284F">
              <w:rPr>
                <w:rFonts w:eastAsia="Times New Roman"/>
                <w:color w:val="000000"/>
                <w:lang w:val="sq-AL"/>
              </w:rPr>
              <w:t>10.6e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1" w:line="248" w:lineRule="exact"/>
              <w:textAlignment w:val="baseline"/>
              <w:rPr>
                <w:rFonts w:eastAsia="Times New Roman"/>
                <w:color w:val="000000"/>
                <w:lang w:val="sq-AL"/>
              </w:rPr>
            </w:pPr>
            <w:r w:rsidRPr="00A6284F">
              <w:rPr>
                <w:rFonts w:eastAsia="Times New Roman"/>
                <w:color w:val="000000"/>
                <w:lang w:val="sq-AL"/>
              </w:rPr>
              <w:t>13.1e</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14.6e</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16.6e</w:t>
            </w:r>
          </w:p>
        </w:tc>
      </w:tr>
      <w:tr w:rsidR="00AC51AA" w:rsidRPr="00A6284F" w:rsidTr="007E58F5">
        <w:trPr>
          <w:trHeight w:hRule="exact" w:val="38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6"/>
              <w:textAlignment w:val="baseline"/>
              <w:rPr>
                <w:rFonts w:eastAsia="Times New Roman"/>
                <w:color w:val="000000"/>
                <w:lang w:val="sq-AL"/>
              </w:rPr>
            </w:pPr>
            <w:r w:rsidRPr="00A6284F">
              <w:rPr>
                <w:rFonts w:eastAsia="Times New Roman"/>
                <w:color w:val="000000"/>
                <w:lang w:val="sq-AL"/>
              </w:rPr>
              <w:t>Gjithsej të ardhura qeveritare, si përqindje e BPV-së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26.8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1" w:line="248" w:lineRule="exact"/>
              <w:textAlignment w:val="baseline"/>
              <w:rPr>
                <w:rFonts w:eastAsia="Times New Roman"/>
                <w:color w:val="000000"/>
                <w:lang w:val="sq-AL"/>
              </w:rPr>
            </w:pPr>
            <w:r w:rsidRPr="00A6284F">
              <w:rPr>
                <w:rFonts w:eastAsia="Times New Roman"/>
                <w:color w:val="000000"/>
                <w:lang w:val="sq-AL"/>
              </w:rPr>
              <w:t>26.3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11" w:line="248" w:lineRule="exact"/>
              <w:textAlignment w:val="baseline"/>
              <w:rPr>
                <w:rFonts w:eastAsia="Times New Roman"/>
                <w:color w:val="000000"/>
                <w:lang w:val="sq-AL"/>
              </w:rPr>
            </w:pPr>
            <w:r w:rsidRPr="00A6284F">
              <w:rPr>
                <w:rFonts w:eastAsia="Times New Roman"/>
                <w:color w:val="000000"/>
                <w:lang w:val="sq-AL"/>
              </w:rPr>
              <w:t>29.6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6"/>
              <w:textAlignment w:val="baseline"/>
              <w:rPr>
                <w:rFonts w:eastAsia="Times New Roman"/>
                <w:color w:val="000000"/>
                <w:lang w:val="sq-AL"/>
              </w:rPr>
            </w:pPr>
            <w:r w:rsidRPr="00A6284F">
              <w:rPr>
                <w:rFonts w:eastAsia="Times New Roman"/>
                <w:color w:val="000000"/>
                <w:lang w:val="sq-AL"/>
              </w:rPr>
              <w:t>Gjithsej shpenzime qeveritare, si përqindje e BPV-së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28.2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26" w:line="248" w:lineRule="exact"/>
              <w:textAlignment w:val="baseline"/>
              <w:rPr>
                <w:rFonts w:eastAsia="Times New Roman"/>
                <w:color w:val="000000"/>
                <w:lang w:val="sq-AL"/>
              </w:rPr>
            </w:pPr>
            <w:r w:rsidRPr="00A6284F">
              <w:rPr>
                <w:rFonts w:eastAsia="Times New Roman"/>
                <w:color w:val="000000"/>
                <w:lang w:val="sq-AL"/>
              </w:rPr>
              <w:t>27.1</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126" w:line="248" w:lineRule="exact"/>
              <w:textAlignment w:val="baseline"/>
              <w:rPr>
                <w:rFonts w:eastAsia="Times New Roman"/>
                <w:color w:val="000000"/>
                <w:lang w:val="sq-AL"/>
              </w:rPr>
            </w:pPr>
            <w:r w:rsidRPr="00A6284F">
              <w:rPr>
                <w:rFonts w:eastAsia="Times New Roman"/>
                <w:color w:val="000000"/>
                <w:lang w:val="sq-AL"/>
              </w:rPr>
              <w:t>28.0</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40"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1" w:line="249" w:lineRule="exact"/>
              <w:ind w:left="111"/>
              <w:textAlignment w:val="baseline"/>
              <w:rPr>
                <w:rFonts w:eastAsia="Times New Roman"/>
                <w:b/>
                <w:color w:val="000000"/>
                <w:lang w:val="sq-AL"/>
              </w:rPr>
            </w:pPr>
            <w:r w:rsidRPr="00A6284F">
              <w:rPr>
                <w:rFonts w:eastAsia="Times New Roman"/>
                <w:b/>
                <w:color w:val="000000"/>
                <w:lang w:val="sq-AL"/>
              </w:rPr>
              <w:t>Treguesit financiar</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1"/>
              <w:textAlignment w:val="baseline"/>
              <w:rPr>
                <w:rFonts w:eastAsia="Times New Roman"/>
                <w:color w:val="000000"/>
                <w:lang w:val="sq-AL"/>
              </w:rPr>
            </w:pPr>
            <w:r w:rsidRPr="00A6284F">
              <w:rPr>
                <w:rFonts w:eastAsia="Times New Roman"/>
                <w:color w:val="000000"/>
                <w:lang w:val="sq-AL"/>
              </w:rPr>
              <w:t>Bruto borxhi i jashtëm i gjithë ekonomisë, në raport me BPV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30.2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31.2</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33.3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33.2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32.6</w:t>
            </w:r>
          </w:p>
        </w:tc>
      </w:tr>
      <w:tr w:rsidR="00AC51AA" w:rsidRPr="00A6284F" w:rsidTr="007E58F5">
        <w:trPr>
          <w:trHeight w:hRule="exact" w:val="64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1"/>
              <w:textAlignment w:val="baseline"/>
              <w:rPr>
                <w:rFonts w:eastAsia="Times New Roman"/>
                <w:color w:val="000000"/>
                <w:lang w:val="sq-AL"/>
              </w:rPr>
            </w:pPr>
            <w:r w:rsidRPr="00A6284F">
              <w:rPr>
                <w:rFonts w:eastAsia="Times New Roman"/>
                <w:color w:val="000000"/>
                <w:lang w:val="sq-AL"/>
              </w:rPr>
              <w:t>Bruto borxhi i jashtëm i gjithë ekonomisë, në raport me eksportet totale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35"/>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1"/>
              <w:textAlignment w:val="baseline"/>
              <w:rPr>
                <w:rFonts w:eastAsia="Times New Roman"/>
                <w:color w:val="000000"/>
                <w:lang w:val="sq-AL"/>
              </w:rPr>
            </w:pPr>
            <w:r w:rsidRPr="00A6284F">
              <w:rPr>
                <w:rFonts w:eastAsia="Times New Roman"/>
                <w:color w:val="000000"/>
                <w:lang w:val="sq-AL"/>
              </w:rPr>
              <w:t>Oferta e parasë: M1 (</w:t>
            </w:r>
            <w:proofErr w:type="spellStart"/>
            <w:r w:rsidRPr="00A6284F">
              <w:rPr>
                <w:rFonts w:eastAsia="Times New Roman"/>
                <w:color w:val="000000"/>
                <w:lang w:val="sq-AL"/>
              </w:rPr>
              <w:t>banknotat</w:t>
            </w:r>
            <w:proofErr w:type="spellEnd"/>
            <w:r w:rsidRPr="00A6284F">
              <w:rPr>
                <w:rFonts w:eastAsia="Times New Roman"/>
                <w:color w:val="000000"/>
                <w:lang w:val="sq-AL"/>
              </w:rPr>
              <w:t>, monedhat, depozitat ditore,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4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50" w:lineRule="exact"/>
              <w:ind w:left="108" w:right="576"/>
              <w:textAlignment w:val="baseline"/>
              <w:rPr>
                <w:rFonts w:eastAsia="Times New Roman"/>
                <w:color w:val="000000"/>
                <w:lang w:val="sq-AL"/>
              </w:rPr>
            </w:pPr>
            <w:r w:rsidRPr="00A6284F">
              <w:rPr>
                <w:rFonts w:eastAsia="Times New Roman"/>
                <w:color w:val="000000"/>
                <w:lang w:val="sq-AL"/>
              </w:rPr>
              <w:t xml:space="preserve">Oferta e parasë: M2 (M1 plus depozitat me </w:t>
            </w:r>
            <w:proofErr w:type="spellStart"/>
            <w:r w:rsidRPr="00A6284F">
              <w:rPr>
                <w:rFonts w:eastAsia="Times New Roman"/>
                <w:color w:val="000000"/>
                <w:lang w:val="sq-AL"/>
              </w:rPr>
              <w:t>maturim</w:t>
            </w:r>
            <w:proofErr w:type="spellEnd"/>
            <w:r w:rsidRPr="00A6284F">
              <w:rPr>
                <w:rFonts w:eastAsia="Times New Roman"/>
                <w:color w:val="000000"/>
                <w:lang w:val="sq-AL"/>
              </w:rPr>
              <w:t xml:space="preserve"> deri në dy vjet,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2"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1"/>
              <w:textAlignment w:val="baseline"/>
              <w:rPr>
                <w:rFonts w:eastAsia="Times New Roman"/>
                <w:color w:val="000000"/>
                <w:lang w:val="sq-AL"/>
              </w:rPr>
            </w:pPr>
            <w:r w:rsidRPr="00A6284F">
              <w:rPr>
                <w:rFonts w:eastAsia="Times New Roman"/>
                <w:color w:val="000000"/>
                <w:lang w:val="sq-AL"/>
              </w:rPr>
              <w:t xml:space="preserve">Oferta e parasë: M3 (M2 plus instrumentet e </w:t>
            </w:r>
            <w:proofErr w:type="spellStart"/>
            <w:r w:rsidRPr="00A6284F">
              <w:rPr>
                <w:rFonts w:eastAsia="Times New Roman"/>
                <w:color w:val="000000"/>
                <w:lang w:val="sq-AL"/>
              </w:rPr>
              <w:t>tregtueshme</w:t>
            </w:r>
            <w:proofErr w:type="spellEnd"/>
            <w:r w:rsidRPr="00A6284F">
              <w:rPr>
                <w:rFonts w:eastAsia="Times New Roman"/>
                <w:color w:val="000000"/>
                <w:lang w:val="sq-AL"/>
              </w:rPr>
              <w:t>,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3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54" w:lineRule="exact"/>
              <w:ind w:left="108" w:right="180"/>
              <w:jc w:val="both"/>
              <w:textAlignment w:val="baseline"/>
              <w:rPr>
                <w:rFonts w:eastAsia="Times New Roman"/>
                <w:color w:val="000000"/>
                <w:spacing w:val="-2"/>
                <w:lang w:val="sq-AL"/>
              </w:rPr>
            </w:pPr>
            <w:r w:rsidRPr="00A6284F">
              <w:rPr>
                <w:rFonts w:eastAsia="Times New Roman"/>
                <w:color w:val="000000"/>
                <w:spacing w:val="-2"/>
                <w:lang w:val="sq-AL"/>
              </w:rPr>
              <w:t>Gjithsej kredi nga institucionet financiare monetare për banorë (konsoliduar)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637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1 878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1 957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2 153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ind w:left="111"/>
              <w:textAlignment w:val="baseline"/>
              <w:rPr>
                <w:rFonts w:eastAsia="Times New Roman"/>
                <w:color w:val="000000"/>
                <w:lang w:val="sq-AL"/>
              </w:rPr>
            </w:pPr>
            <w:r w:rsidRPr="00A6284F">
              <w:rPr>
                <w:rFonts w:eastAsia="Times New Roman"/>
                <w:color w:val="000000"/>
                <w:lang w:val="sq-AL"/>
              </w:rPr>
              <w:t>**Ndryshimi vjetor në detyrimet e sektorit financiar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ind w:left="111"/>
              <w:textAlignment w:val="baseline"/>
              <w:rPr>
                <w:rFonts w:eastAsia="Times New Roman"/>
                <w:color w:val="000000"/>
                <w:lang w:val="sq-AL"/>
              </w:rPr>
            </w:pPr>
            <w:r w:rsidRPr="00A6284F">
              <w:rPr>
                <w:rFonts w:eastAsia="Times New Roman"/>
                <w:color w:val="000000"/>
                <w:lang w:val="sq-AL"/>
              </w:rPr>
              <w:t>**Rrjedha kreditore private, konsoliduar, në raport me BPV-në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ind w:left="111"/>
              <w:textAlignment w:val="baseline"/>
              <w:rPr>
                <w:rFonts w:eastAsia="Times New Roman"/>
                <w:color w:val="000000"/>
                <w:lang w:val="sq-AL"/>
              </w:rPr>
            </w:pPr>
            <w:r w:rsidRPr="00A6284F">
              <w:rPr>
                <w:rFonts w:eastAsia="Times New Roman"/>
                <w:color w:val="000000"/>
                <w:lang w:val="sq-AL"/>
              </w:rPr>
              <w:t>**Borxhi privat, konsoliduar, në raport me BPV-në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479" w:line="20" w:lineRule="exact"/>
        <w:rPr>
          <w:lang w:val="sq-AL"/>
        </w:rPr>
      </w:pPr>
    </w:p>
    <w:p w:rsidR="00AC51AA" w:rsidRPr="00A6284F" w:rsidRDefault="00AC51AA" w:rsidP="00AC51AA">
      <w:pPr>
        <w:spacing w:after="479" w:line="20" w:lineRule="exact"/>
        <w:rPr>
          <w:lang w:val="sq-AL"/>
        </w:rPr>
        <w:sectPr w:rsidR="00AC51AA" w:rsidRPr="00A6284F">
          <w:pgSz w:w="16838" w:h="11909" w:orient="landscape"/>
          <w:pgMar w:top="1380" w:right="1247" w:bottom="573" w:left="1364" w:header="720" w:footer="720" w:gutter="0"/>
          <w:cols w:space="720"/>
        </w:sectPr>
      </w:pPr>
    </w:p>
    <w:p w:rsidR="00AC51AA" w:rsidRPr="00A6284F" w:rsidRDefault="00AC51AA" w:rsidP="00AC51AA">
      <w:pPr>
        <w:rPr>
          <w:lang w:val="sq-AL"/>
        </w:rPr>
        <w:sectPr w:rsidR="00AC51AA" w:rsidRPr="00A6284F">
          <w:type w:val="continuous"/>
          <w:pgSz w:w="16838" w:h="11909" w:orient="landscape"/>
          <w:pgMar w:top="1380" w:right="3741" w:bottom="573" w:left="3737" w:header="720" w:footer="720" w:gutter="0"/>
          <w:cols w:space="720"/>
        </w:sectPr>
      </w:pPr>
    </w:p>
    <w:p w:rsidR="00AC51AA" w:rsidRPr="00A6284F" w:rsidRDefault="00AC51AA" w:rsidP="00AC51AA">
      <w:pPr>
        <w:spacing w:before="16" w:line="20" w:lineRule="exact"/>
        <w:rPr>
          <w:lang w:val="sq-AL"/>
        </w:rPr>
      </w:pPr>
    </w:p>
    <w:tbl>
      <w:tblPr>
        <w:tblW w:w="0" w:type="auto"/>
        <w:tblInd w:w="14" w:type="dxa"/>
        <w:tblLayout w:type="fixed"/>
        <w:tblCellMar>
          <w:left w:w="0" w:type="dxa"/>
          <w:right w:w="0" w:type="dxa"/>
        </w:tblCellMar>
        <w:tblLook w:val="0000" w:firstRow="0" w:lastRow="0" w:firstColumn="0" w:lastColumn="0" w:noHBand="0" w:noVBand="0"/>
      </w:tblPr>
      <w:tblGrid>
        <w:gridCol w:w="6475"/>
        <w:gridCol w:w="907"/>
        <w:gridCol w:w="1133"/>
        <w:gridCol w:w="1133"/>
        <w:gridCol w:w="1133"/>
        <w:gridCol w:w="1137"/>
        <w:gridCol w:w="1133"/>
        <w:gridCol w:w="1147"/>
      </w:tblGrid>
      <w:tr w:rsidR="00AC51AA" w:rsidRPr="00A6284F" w:rsidTr="007E58F5">
        <w:trPr>
          <w:trHeight w:hRule="exact" w:val="39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ind w:left="115"/>
              <w:textAlignment w:val="baseline"/>
              <w:rPr>
                <w:rFonts w:eastAsia="Times New Roman"/>
                <w:color w:val="000000"/>
                <w:lang w:val="sq-AL"/>
              </w:rPr>
            </w:pPr>
            <w:r w:rsidRPr="00A6284F">
              <w:rPr>
                <w:rFonts w:eastAsia="Times New Roman"/>
                <w:color w:val="000000"/>
                <w:lang w:val="sq-AL"/>
              </w:rPr>
              <w:t>Norma e interesit: shkalla e parasë ditë pas dite, për vit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7"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ind w:left="115"/>
              <w:textAlignment w:val="baseline"/>
              <w:rPr>
                <w:rFonts w:eastAsia="Times New Roman"/>
                <w:color w:val="000000"/>
                <w:lang w:val="sq-AL"/>
              </w:rPr>
            </w:pPr>
            <w:r w:rsidRPr="00A6284F">
              <w:rPr>
                <w:rFonts w:eastAsia="Times New Roman"/>
                <w:color w:val="000000"/>
                <w:lang w:val="sq-AL"/>
              </w:rPr>
              <w:t>Norma e interesit në kredi (një vit), për vit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14.50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1" w:line="248" w:lineRule="exact"/>
              <w:textAlignment w:val="baseline"/>
              <w:rPr>
                <w:rFonts w:eastAsia="Times New Roman"/>
                <w:color w:val="000000"/>
                <w:lang w:val="sq-AL"/>
              </w:rPr>
            </w:pPr>
            <w:r w:rsidRPr="00A6284F">
              <w:rPr>
                <w:rFonts w:eastAsia="Times New Roman"/>
                <w:color w:val="000000"/>
                <w:lang w:val="sq-AL"/>
              </w:rPr>
              <w:t>11.82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1" w:line="248" w:lineRule="exact"/>
              <w:textAlignment w:val="baseline"/>
              <w:rPr>
                <w:rFonts w:eastAsia="Times New Roman"/>
                <w:color w:val="000000"/>
                <w:lang w:val="sq-AL"/>
              </w:rPr>
            </w:pPr>
            <w:r w:rsidRPr="00A6284F">
              <w:rPr>
                <w:rFonts w:eastAsia="Times New Roman"/>
                <w:color w:val="000000"/>
                <w:lang w:val="sq-AL"/>
              </w:rPr>
              <w:t>10.61</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1" w:line="248" w:lineRule="exact"/>
              <w:textAlignment w:val="baseline"/>
              <w:rPr>
                <w:rFonts w:eastAsia="Times New Roman"/>
                <w:color w:val="000000"/>
                <w:lang w:val="sq-AL"/>
              </w:rPr>
            </w:pPr>
            <w:r w:rsidRPr="00A6284F">
              <w:rPr>
                <w:rFonts w:eastAsia="Times New Roman"/>
                <w:color w:val="000000"/>
                <w:lang w:val="sq-AL"/>
              </w:rPr>
              <w:t>8.32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1" w:line="248" w:lineRule="exact"/>
              <w:textAlignment w:val="baseline"/>
              <w:rPr>
                <w:rFonts w:eastAsia="Times New Roman"/>
                <w:color w:val="000000"/>
                <w:lang w:val="sq-AL"/>
              </w:rPr>
            </w:pPr>
            <w:r w:rsidRPr="00A6284F">
              <w:rPr>
                <w:rFonts w:eastAsia="Times New Roman"/>
                <w:color w:val="000000"/>
                <w:lang w:val="sq-AL"/>
              </w:rPr>
              <w:t>7.47</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1" w:line="248" w:lineRule="exact"/>
              <w:textAlignment w:val="baseline"/>
              <w:rPr>
                <w:rFonts w:eastAsia="Times New Roman"/>
                <w:color w:val="000000"/>
                <w:lang w:val="sq-AL"/>
              </w:rPr>
            </w:pPr>
            <w:r w:rsidRPr="00A6284F">
              <w:rPr>
                <w:rFonts w:eastAsia="Times New Roman"/>
                <w:color w:val="000000"/>
                <w:lang w:val="sq-AL"/>
              </w:rPr>
              <w:t>6.83</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5"/>
              <w:textAlignment w:val="baseline"/>
              <w:rPr>
                <w:rFonts w:eastAsia="Times New Roman"/>
                <w:color w:val="000000"/>
                <w:lang w:val="sq-AL"/>
              </w:rPr>
            </w:pPr>
            <w:r w:rsidRPr="00A6284F">
              <w:rPr>
                <w:rFonts w:eastAsia="Times New Roman"/>
                <w:color w:val="000000"/>
                <w:lang w:val="sq-AL"/>
              </w:rPr>
              <w:t>Norma e interesit në depozita (një vit), për vit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26" w:line="248" w:lineRule="exact"/>
              <w:textAlignment w:val="baseline"/>
              <w:rPr>
                <w:rFonts w:eastAsia="Times New Roman"/>
                <w:color w:val="000000"/>
                <w:lang w:val="sq-AL"/>
              </w:rPr>
            </w:pPr>
            <w:r w:rsidRPr="00A6284F">
              <w:rPr>
                <w:rFonts w:eastAsia="Times New Roman"/>
                <w:color w:val="000000"/>
                <w:lang w:val="sq-AL"/>
              </w:rPr>
              <w:t>3.43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26" w:line="248" w:lineRule="exact"/>
              <w:textAlignment w:val="baseline"/>
              <w:rPr>
                <w:rFonts w:eastAsia="Times New Roman"/>
                <w:color w:val="000000"/>
                <w:lang w:val="sq-AL"/>
              </w:rPr>
            </w:pPr>
            <w:r w:rsidRPr="00A6284F">
              <w:rPr>
                <w:rFonts w:eastAsia="Times New Roman"/>
                <w:color w:val="000000"/>
                <w:lang w:val="sq-AL"/>
              </w:rPr>
              <w:t>1.11</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26" w:line="248" w:lineRule="exact"/>
              <w:textAlignment w:val="baseline"/>
              <w:rPr>
                <w:rFonts w:eastAsia="Times New Roman"/>
                <w:color w:val="000000"/>
                <w:lang w:val="sq-AL"/>
              </w:rPr>
            </w:pPr>
            <w:r w:rsidRPr="00A6284F">
              <w:rPr>
                <w:rFonts w:eastAsia="Times New Roman"/>
                <w:color w:val="000000"/>
                <w:lang w:val="sq-AL"/>
              </w:rPr>
              <w:t>0.90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26" w:line="248" w:lineRule="exact"/>
              <w:textAlignment w:val="baseline"/>
              <w:rPr>
                <w:rFonts w:eastAsia="Times New Roman"/>
                <w:color w:val="000000"/>
                <w:lang w:val="sq-AL"/>
              </w:rPr>
            </w:pPr>
            <w:r w:rsidRPr="00A6284F">
              <w:rPr>
                <w:rFonts w:eastAsia="Times New Roman"/>
                <w:color w:val="000000"/>
                <w:lang w:val="sq-AL"/>
              </w:rPr>
              <w:t>1.01</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26" w:line="248" w:lineRule="exact"/>
              <w:textAlignment w:val="baseline"/>
              <w:rPr>
                <w:rFonts w:eastAsia="Times New Roman"/>
                <w:color w:val="000000"/>
                <w:lang w:val="sq-AL"/>
              </w:rPr>
            </w:pPr>
            <w:r w:rsidRPr="00A6284F">
              <w:rPr>
                <w:rFonts w:eastAsia="Times New Roman"/>
                <w:color w:val="000000"/>
                <w:lang w:val="sq-AL"/>
              </w:rPr>
              <w:t>1.04</w:t>
            </w:r>
          </w:p>
        </w:tc>
      </w:tr>
      <w:tr w:rsidR="00AC51AA" w:rsidRPr="00A6284F" w:rsidTr="007E58F5">
        <w:trPr>
          <w:trHeight w:hRule="exact" w:val="680"/>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4" w:line="252" w:lineRule="exact"/>
              <w:ind w:left="115"/>
              <w:textAlignment w:val="baseline"/>
              <w:rPr>
                <w:rFonts w:eastAsia="Times New Roman"/>
                <w:color w:val="000000"/>
                <w:lang w:val="sq-AL"/>
              </w:rPr>
            </w:pPr>
            <w:r w:rsidRPr="00A6284F">
              <w:rPr>
                <w:rFonts w:eastAsia="Times New Roman"/>
                <w:color w:val="000000"/>
                <w:lang w:val="sq-AL"/>
              </w:rPr>
              <w:t>Shkalla e këmbimit të euros: mesatarja e periudhës – 1 euro = ... monedhë kombëtare</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w:t>
            </w:r>
          </w:p>
        </w:tc>
      </w:tr>
      <w:tr w:rsidR="00AC51AA" w:rsidRPr="00A6284F" w:rsidTr="007E58F5">
        <w:trPr>
          <w:trHeight w:hRule="exact" w:val="626"/>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5"/>
              <w:textAlignment w:val="baseline"/>
              <w:rPr>
                <w:rFonts w:eastAsia="Times New Roman"/>
                <w:color w:val="000000"/>
                <w:lang w:val="sq-AL"/>
              </w:rPr>
            </w:pPr>
            <w:r w:rsidRPr="00A6284F">
              <w:rPr>
                <w:rFonts w:eastAsia="Times New Roman"/>
                <w:color w:val="000000"/>
                <w:lang w:val="sq-AL"/>
              </w:rPr>
              <w:t xml:space="preserve">Indeksi i normës </w:t>
            </w:r>
            <w:proofErr w:type="spellStart"/>
            <w:r w:rsidRPr="00A6284F">
              <w:rPr>
                <w:rFonts w:eastAsia="Times New Roman"/>
                <w:color w:val="000000"/>
                <w:lang w:val="sq-AL"/>
              </w:rPr>
              <w:t>këmbimore</w:t>
            </w:r>
            <w:proofErr w:type="spellEnd"/>
            <w:r w:rsidRPr="00A6284F">
              <w:rPr>
                <w:rFonts w:eastAsia="Times New Roman"/>
                <w:color w:val="000000"/>
                <w:lang w:val="sq-AL"/>
              </w:rPr>
              <w:t xml:space="preserve"> efektive të </w:t>
            </w:r>
            <w:proofErr w:type="spellStart"/>
            <w:r w:rsidRPr="00A6284F">
              <w:rPr>
                <w:rFonts w:eastAsia="Times New Roman"/>
                <w:color w:val="000000"/>
                <w:lang w:val="sq-AL"/>
              </w:rPr>
              <w:t>ponderuar</w:t>
            </w:r>
            <w:proofErr w:type="spellEnd"/>
            <w:r w:rsidRPr="00A6284F">
              <w:rPr>
                <w:rFonts w:eastAsia="Times New Roman"/>
                <w:color w:val="000000"/>
                <w:lang w:val="sq-AL"/>
              </w:rPr>
              <w:t xml:space="preserve"> për tregtim , 42 vende (2005 = 100)</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102</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102</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103</w:t>
            </w:r>
          </w:p>
        </w:tc>
      </w:tr>
      <w:tr w:rsidR="00AC51AA" w:rsidRPr="00A6284F" w:rsidTr="007E58F5">
        <w:trPr>
          <w:trHeight w:hRule="exact" w:val="63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50" w:lineRule="exact"/>
              <w:ind w:left="108" w:right="396"/>
              <w:textAlignment w:val="baseline"/>
              <w:rPr>
                <w:rFonts w:eastAsia="Times New Roman"/>
                <w:color w:val="000000"/>
                <w:lang w:val="sq-AL"/>
              </w:rPr>
            </w:pPr>
            <w:r w:rsidRPr="00A6284F">
              <w:rPr>
                <w:rFonts w:eastAsia="Times New Roman"/>
                <w:color w:val="000000"/>
                <w:lang w:val="sq-AL"/>
              </w:rPr>
              <w:t xml:space="preserve">**ndryshimi 3-vjeçar (T/T-3) në Indeksin e normës </w:t>
            </w:r>
            <w:proofErr w:type="spellStart"/>
            <w:r w:rsidRPr="00A6284F">
              <w:rPr>
                <w:rFonts w:eastAsia="Times New Roman"/>
                <w:color w:val="000000"/>
                <w:lang w:val="sq-AL"/>
              </w:rPr>
              <w:t>këmbimore</w:t>
            </w:r>
            <w:proofErr w:type="spellEnd"/>
            <w:r w:rsidRPr="00A6284F">
              <w:rPr>
                <w:rFonts w:eastAsia="Times New Roman"/>
                <w:color w:val="000000"/>
                <w:lang w:val="sq-AL"/>
              </w:rPr>
              <w:t xml:space="preserve"> efektive të </w:t>
            </w:r>
            <w:proofErr w:type="spellStart"/>
            <w:r w:rsidRPr="00A6284F">
              <w:rPr>
                <w:rFonts w:eastAsia="Times New Roman"/>
                <w:color w:val="000000"/>
                <w:lang w:val="sq-AL"/>
              </w:rPr>
              <w:t>ponderuar</w:t>
            </w:r>
            <w:proofErr w:type="spellEnd"/>
            <w:r w:rsidRPr="00A6284F">
              <w:rPr>
                <w:rFonts w:eastAsia="Times New Roman"/>
                <w:color w:val="000000"/>
                <w:lang w:val="sq-AL"/>
              </w:rPr>
              <w:t xml:space="preserve"> për tregtim, 42</w:t>
            </w:r>
          </w:p>
          <w:p w:rsidR="00AC51AA" w:rsidRPr="00A6284F" w:rsidRDefault="00AC51AA" w:rsidP="007E58F5">
            <w:pPr>
              <w:spacing w:after="121" w:line="250" w:lineRule="exact"/>
              <w:ind w:left="108" w:right="396"/>
              <w:textAlignment w:val="baseline"/>
              <w:rPr>
                <w:rFonts w:eastAsia="Times New Roman"/>
                <w:color w:val="000000"/>
                <w:lang w:val="sq-AL"/>
              </w:rPr>
            </w:pPr>
            <w:r w:rsidRPr="00A6284F">
              <w:rPr>
                <w:rFonts w:eastAsia="Times New Roman"/>
                <w:color w:val="000000"/>
                <w:lang w:val="sq-AL"/>
              </w:rPr>
              <w:t>vende (2005 = 100)</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1"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1" w:line="248" w:lineRule="exact"/>
              <w:textAlignment w:val="baseline"/>
              <w:rPr>
                <w:rFonts w:eastAsia="Times New Roman"/>
                <w:color w:val="000000"/>
                <w:lang w:val="sq-AL"/>
              </w:rPr>
            </w:pPr>
            <w:r w:rsidRPr="00A6284F">
              <w:rPr>
                <w:rFonts w:eastAsia="Times New Roman"/>
                <w:color w:val="000000"/>
                <w:lang w:val="sq-AL"/>
              </w:rPr>
              <w:t>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1" w:line="248" w:lineRule="exact"/>
              <w:textAlignment w:val="baseline"/>
              <w:rPr>
                <w:rFonts w:eastAsia="Times New Roman"/>
                <w:color w:val="000000"/>
                <w:lang w:val="sq-AL"/>
              </w:rPr>
            </w:pPr>
            <w:r w:rsidRPr="00A6284F">
              <w:rPr>
                <w:rFonts w:eastAsia="Times New Roman"/>
                <w:color w:val="000000"/>
                <w:lang w:val="sq-AL"/>
              </w:rPr>
              <w:t>0.9</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1" w:line="248" w:lineRule="exact"/>
              <w:textAlignment w:val="baseline"/>
              <w:rPr>
                <w:rFonts w:eastAsia="Times New Roman"/>
                <w:color w:val="000000"/>
                <w:lang w:val="sq-AL"/>
              </w:rPr>
            </w:pPr>
            <w:r w:rsidRPr="00A6284F">
              <w:rPr>
                <w:rFonts w:eastAsia="Times New Roman"/>
                <w:color w:val="000000"/>
                <w:lang w:val="sq-AL"/>
              </w:rPr>
              <w:t>0.4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1" w:line="248" w:lineRule="exact"/>
              <w:textAlignment w:val="baseline"/>
              <w:rPr>
                <w:rFonts w:eastAsia="Times New Roman"/>
                <w:color w:val="000000"/>
                <w:lang w:val="sq-AL"/>
              </w:rPr>
            </w:pPr>
            <w:r w:rsidRPr="00A6284F">
              <w:rPr>
                <w:rFonts w:eastAsia="Times New Roman"/>
                <w:color w:val="000000"/>
                <w:lang w:val="sq-AL"/>
              </w:rPr>
              <w:t>0.1</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1" w:line="248" w:lineRule="exact"/>
              <w:textAlignment w:val="baseline"/>
              <w:rPr>
                <w:rFonts w:eastAsia="Times New Roman"/>
                <w:color w:val="000000"/>
                <w:lang w:val="sq-AL"/>
              </w:rPr>
            </w:pPr>
            <w:r w:rsidRPr="00A6284F">
              <w:rPr>
                <w:rFonts w:eastAsia="Times New Roman"/>
                <w:color w:val="000000"/>
                <w:lang w:val="sq-AL"/>
              </w:rPr>
              <w:t>0.7</w:t>
            </w:r>
          </w:p>
        </w:tc>
      </w:tr>
      <w:tr w:rsidR="00AC51AA" w:rsidRPr="00A6284F" w:rsidTr="007E58F5">
        <w:trPr>
          <w:trHeight w:hRule="exact" w:val="39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ind w:left="115"/>
              <w:textAlignment w:val="baseline"/>
              <w:rPr>
                <w:rFonts w:eastAsia="Times New Roman"/>
                <w:color w:val="000000"/>
                <w:lang w:val="sq-AL"/>
              </w:rPr>
            </w:pPr>
            <w:r w:rsidRPr="00A6284F">
              <w:rPr>
                <w:rFonts w:eastAsia="Times New Roman"/>
                <w:color w:val="000000"/>
                <w:lang w:val="sq-AL"/>
              </w:rPr>
              <w:t>Vlera e aseteve rezervë (përfshirë arin) (milion euro)</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356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694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645</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706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605</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2" w:line="248" w:lineRule="exact"/>
              <w:jc w:val="center"/>
              <w:textAlignment w:val="baseline"/>
              <w:rPr>
                <w:rFonts w:eastAsia="Times New Roman"/>
                <w:color w:val="000000"/>
                <w:lang w:val="sq-AL"/>
              </w:rPr>
            </w:pPr>
            <w:r w:rsidRPr="00A6284F">
              <w:rPr>
                <w:rFonts w:eastAsia="Times New Roman"/>
                <w:color w:val="000000"/>
                <w:lang w:val="sq-AL"/>
              </w:rPr>
              <w:t>683</w:t>
            </w:r>
          </w:p>
        </w:tc>
      </w:tr>
    </w:tbl>
    <w:p w:rsidR="00AC51AA" w:rsidRPr="00A6284F" w:rsidRDefault="00AC51AA" w:rsidP="00AC51AA">
      <w:pPr>
        <w:spacing w:after="336"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b/>
                <w:color w:val="000000"/>
                <w:lang w:val="sq-AL"/>
              </w:rPr>
            </w:pPr>
            <w:r w:rsidRPr="00A6284F">
              <w:rPr>
                <w:rFonts w:eastAsia="Times New Roman"/>
                <w:b/>
                <w:color w:val="000000"/>
                <w:lang w:val="sq-AL"/>
              </w:rPr>
              <w:t>Tregtia e jashtme me mallra</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ind w:left="111"/>
              <w:textAlignment w:val="baseline"/>
              <w:rPr>
                <w:rFonts w:eastAsia="Times New Roman"/>
                <w:color w:val="000000"/>
                <w:lang w:val="sq-AL"/>
              </w:rPr>
            </w:pPr>
            <w:r w:rsidRPr="00A6284F">
              <w:rPr>
                <w:rFonts w:eastAsia="Times New Roman"/>
                <w:color w:val="000000"/>
                <w:lang w:val="sq-AL"/>
              </w:rPr>
              <w:t>Vlera e importeve: të gjitha mallrat, të gjithë partnerët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1 315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2 449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2 538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2 635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2 789</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8" w:lineRule="exact"/>
              <w:jc w:val="center"/>
              <w:textAlignment w:val="baseline"/>
              <w:rPr>
                <w:rFonts w:eastAsia="Times New Roman"/>
                <w:color w:val="000000"/>
                <w:lang w:val="sq-AL"/>
              </w:rPr>
            </w:pPr>
            <w:r w:rsidRPr="00A6284F">
              <w:rPr>
                <w:rFonts w:eastAsia="Times New Roman"/>
                <w:color w:val="000000"/>
                <w:lang w:val="sq-AL"/>
              </w:rPr>
              <w:t>3 047</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ind w:left="111"/>
              <w:textAlignment w:val="baseline"/>
              <w:rPr>
                <w:rFonts w:eastAsia="Times New Roman"/>
                <w:color w:val="000000"/>
                <w:lang w:val="sq-AL"/>
              </w:rPr>
            </w:pPr>
            <w:r w:rsidRPr="00A6284F">
              <w:rPr>
                <w:rFonts w:eastAsia="Times New Roman"/>
                <w:color w:val="000000"/>
                <w:lang w:val="sq-AL"/>
              </w:rPr>
              <w:t>Vlera e eksporteve: të gjitha mallrat, të gjithë partnerët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82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294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325</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325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310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8" w:lineRule="exact"/>
              <w:jc w:val="center"/>
              <w:textAlignment w:val="baseline"/>
              <w:rPr>
                <w:rFonts w:eastAsia="Times New Roman"/>
                <w:color w:val="000000"/>
                <w:lang w:val="sq-AL"/>
              </w:rPr>
            </w:pPr>
            <w:r w:rsidRPr="00A6284F">
              <w:rPr>
                <w:rFonts w:eastAsia="Times New Roman"/>
                <w:color w:val="000000"/>
                <w:lang w:val="sq-AL"/>
              </w:rPr>
              <w:t>378</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Bilanci tregtar: të gjitha mallrat, të gjithë partnerët (milion euro)</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-1 233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-2 155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-2 214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-2 309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-2 480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-2 669</w:t>
            </w:r>
          </w:p>
        </w:tc>
      </w:tr>
      <w:tr w:rsidR="00AC51AA" w:rsidRPr="00A6284F" w:rsidTr="007E58F5">
        <w:trPr>
          <w:trHeight w:hRule="exact" w:val="55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Termat e tregtisë (indeksi i çmimit të eksportit / indeksi i çmimit të importit * 100) (numri)</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97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101</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107</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Pjesa e eksporteve drejt vendeve EU28 në vlerën e eksporteve totale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36.6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40.1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30.2</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32.6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22.6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24.9</w:t>
            </w:r>
          </w:p>
        </w:tc>
      </w:tr>
      <w:tr w:rsidR="00AC51AA" w:rsidRPr="00A6284F" w:rsidTr="007E58F5">
        <w:trPr>
          <w:trHeight w:hRule="exact" w:val="39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ind w:left="111"/>
              <w:textAlignment w:val="baseline"/>
              <w:rPr>
                <w:rFonts w:eastAsia="Times New Roman"/>
                <w:color w:val="000000"/>
                <w:lang w:val="sq-AL"/>
              </w:rPr>
            </w:pPr>
            <w:r w:rsidRPr="00A6284F">
              <w:rPr>
                <w:rFonts w:eastAsia="Times New Roman"/>
                <w:color w:val="000000"/>
                <w:lang w:val="sq-AL"/>
              </w:rPr>
              <w:t>Pjesa e importeve nga vendet EU-28 në vlerën e eksporteve totale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36.3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44.2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42.6</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42.2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43.1</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6" w:line="248" w:lineRule="exact"/>
              <w:jc w:val="center"/>
              <w:textAlignment w:val="baseline"/>
              <w:rPr>
                <w:rFonts w:eastAsia="Times New Roman"/>
                <w:color w:val="000000"/>
                <w:lang w:val="sq-AL"/>
              </w:rPr>
            </w:pPr>
            <w:r w:rsidRPr="00A6284F">
              <w:rPr>
                <w:rFonts w:eastAsia="Times New Roman"/>
                <w:color w:val="000000"/>
                <w:lang w:val="sq-AL"/>
              </w:rPr>
              <w:t>43.1</w:t>
            </w:r>
          </w:p>
        </w:tc>
      </w:tr>
    </w:tbl>
    <w:p w:rsidR="00AC51AA" w:rsidRPr="00A6284F" w:rsidRDefault="00AC51AA" w:rsidP="00AC51AA">
      <w:pPr>
        <w:spacing w:after="336"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06" w:line="249" w:lineRule="exact"/>
              <w:ind w:left="111"/>
              <w:textAlignment w:val="baseline"/>
              <w:rPr>
                <w:rFonts w:eastAsia="Times New Roman"/>
                <w:b/>
                <w:color w:val="000000"/>
                <w:lang w:val="sq-AL"/>
              </w:rPr>
            </w:pPr>
            <w:r w:rsidRPr="00A6284F">
              <w:rPr>
                <w:rFonts w:eastAsia="Times New Roman"/>
                <w:b/>
                <w:color w:val="000000"/>
                <w:lang w:val="sq-AL"/>
              </w:rPr>
              <w:t>Demografia</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8"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64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54" w:lineRule="exact"/>
              <w:ind w:left="108" w:right="180"/>
              <w:jc w:val="both"/>
              <w:textAlignment w:val="baseline"/>
              <w:rPr>
                <w:rFonts w:eastAsia="Times New Roman"/>
                <w:color w:val="000000"/>
                <w:lang w:val="sq-AL"/>
              </w:rPr>
            </w:pPr>
            <w:r w:rsidRPr="00A6284F">
              <w:rPr>
                <w:rFonts w:eastAsia="Times New Roman"/>
                <w:color w:val="000000"/>
                <w:lang w:val="sq-AL"/>
              </w:rPr>
              <w:t>Shkalla e rritjes së natyrshme të popullsisë (ndryshimi natyral): numri i lindjeve minus vdekjet (në 1 mijë banorë)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12.6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13.2be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9.2p</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75" w:line="248" w:lineRule="exact"/>
              <w:textAlignment w:val="baseline"/>
              <w:rPr>
                <w:rFonts w:eastAsia="Times New Roman"/>
                <w:color w:val="000000"/>
                <w:lang w:val="sq-AL"/>
              </w:rPr>
            </w:pPr>
            <w:r w:rsidRPr="00A6284F">
              <w:rPr>
                <w:rFonts w:eastAsia="Times New Roman"/>
                <w:color w:val="000000"/>
                <w:lang w:val="sq-AL"/>
              </w:rPr>
              <w:t>8.4p</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8" w:lineRule="exact"/>
              <w:jc w:val="center"/>
              <w:textAlignment w:val="baseline"/>
              <w:rPr>
                <w:rFonts w:eastAsia="Times New Roman"/>
                <w:color w:val="000000"/>
                <w:lang w:val="sq-AL"/>
              </w:rPr>
            </w:pPr>
            <w:r w:rsidRPr="00A6284F">
              <w:rPr>
                <w:rFonts w:eastAsia="Times New Roman"/>
                <w:color w:val="000000"/>
                <w:lang w:val="sq-AL"/>
              </w:rPr>
              <w:t>8.2</w:t>
            </w:r>
          </w:p>
        </w:tc>
      </w:tr>
      <w:tr w:rsidR="00AC51AA" w:rsidRPr="00A6284F" w:rsidTr="007E58F5">
        <w:trPr>
          <w:trHeight w:hRule="exact" w:val="63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2" w:line="254" w:lineRule="exact"/>
              <w:ind w:left="108" w:right="828"/>
              <w:textAlignment w:val="baseline"/>
              <w:rPr>
                <w:rFonts w:eastAsia="Times New Roman"/>
                <w:color w:val="000000"/>
                <w:lang w:val="sq-AL"/>
              </w:rPr>
            </w:pPr>
            <w:r w:rsidRPr="00A6284F">
              <w:rPr>
                <w:rFonts w:eastAsia="Times New Roman"/>
                <w:color w:val="000000"/>
                <w:lang w:val="sq-AL"/>
              </w:rPr>
              <w:t>Shkalla e vdekshmërisë së foshnjave, fëmijë të vdekur nën oshën njëvjeçare (për mijë lindje të gjalla)</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12.0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9.7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366" w:line="248" w:lineRule="exact"/>
              <w:textAlignment w:val="baseline"/>
              <w:rPr>
                <w:rFonts w:eastAsia="Times New Roman"/>
                <w:color w:val="000000"/>
                <w:lang w:val="sq-AL"/>
              </w:rPr>
            </w:pPr>
            <w:r w:rsidRPr="00A6284F">
              <w:rPr>
                <w:rFonts w:eastAsia="Times New Roman"/>
                <w:color w:val="000000"/>
                <w:lang w:val="sq-AL"/>
              </w:rPr>
              <w:t>8.5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6" w:line="248" w:lineRule="exact"/>
              <w:jc w:val="center"/>
              <w:textAlignment w:val="baseline"/>
              <w:rPr>
                <w:rFonts w:eastAsia="Times New Roman"/>
                <w:color w:val="000000"/>
                <w:lang w:val="sq-AL"/>
              </w:rPr>
            </w:pPr>
            <w:r w:rsidRPr="00A6284F">
              <w:rPr>
                <w:rFonts w:eastAsia="Times New Roman"/>
                <w:color w:val="000000"/>
                <w:lang w:val="sq-AL"/>
              </w:rPr>
              <w:t>9.7</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ind w:left="111"/>
              <w:textAlignment w:val="baseline"/>
              <w:rPr>
                <w:rFonts w:eastAsia="Times New Roman"/>
                <w:color w:val="000000"/>
                <w:lang w:val="sq-AL"/>
              </w:rPr>
            </w:pPr>
            <w:r w:rsidRPr="00A6284F">
              <w:rPr>
                <w:rFonts w:eastAsia="Times New Roman"/>
                <w:color w:val="000000"/>
                <w:lang w:val="sq-AL"/>
              </w:rPr>
              <w:t>Jetëgjatësia e pritur në lindje: meshkuj (vite)</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7" w:line="248" w:lineRule="exact"/>
              <w:textAlignment w:val="baseline"/>
              <w:rPr>
                <w:rFonts w:eastAsia="Times New Roman"/>
                <w:color w:val="000000"/>
                <w:lang w:val="sq-AL"/>
              </w:rPr>
            </w:pPr>
            <w:r w:rsidRPr="00A6284F">
              <w:rPr>
                <w:rFonts w:eastAsia="Times New Roman"/>
                <w:color w:val="000000"/>
                <w:lang w:val="sq-AL"/>
              </w:rPr>
              <w:t>75.9p</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7" w:line="248"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ind w:left="111"/>
              <w:textAlignment w:val="baseline"/>
              <w:rPr>
                <w:rFonts w:eastAsia="Times New Roman"/>
                <w:color w:val="000000"/>
                <w:lang w:val="sq-AL"/>
              </w:rPr>
            </w:pPr>
            <w:r w:rsidRPr="00A6284F">
              <w:rPr>
                <w:rFonts w:eastAsia="Times New Roman"/>
                <w:color w:val="000000"/>
                <w:lang w:val="sq-AL"/>
              </w:rPr>
              <w:t>Jetëgjatësia e pritur në lindje: femra (vite)</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04"/>
              </w:tabs>
              <w:spacing w:after="116" w:line="248" w:lineRule="exact"/>
              <w:textAlignment w:val="baseline"/>
              <w:rPr>
                <w:rFonts w:eastAsia="Times New Roman"/>
                <w:color w:val="000000"/>
                <w:lang w:val="sq-AL"/>
              </w:rPr>
            </w:pPr>
            <w:r w:rsidRPr="00A6284F">
              <w:rPr>
                <w:rFonts w:eastAsia="Times New Roman"/>
                <w:color w:val="000000"/>
                <w:lang w:val="sq-AL"/>
              </w:rPr>
              <w:t>81.6p</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8"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45" w:line="20" w:lineRule="exact"/>
        <w:rPr>
          <w:lang w:val="sq-AL"/>
        </w:rPr>
      </w:pPr>
    </w:p>
    <w:p w:rsidR="00AC51AA" w:rsidRPr="00A6284F" w:rsidRDefault="00AC51AA" w:rsidP="00AC51AA">
      <w:pPr>
        <w:spacing w:after="345" w:line="20" w:lineRule="exact"/>
        <w:rPr>
          <w:lang w:val="sq-AL"/>
        </w:rPr>
        <w:sectPr w:rsidR="00AC51AA" w:rsidRPr="00A6284F">
          <w:pgSz w:w="16838" w:h="11909" w:orient="landscape"/>
          <w:pgMar w:top="1380" w:right="1247" w:bottom="573" w:left="1364" w:header="720" w:footer="720" w:gutter="0"/>
          <w:cols w:space="720"/>
        </w:sectPr>
      </w:pPr>
    </w:p>
    <w:p w:rsidR="00AC51AA" w:rsidRPr="00A6284F" w:rsidRDefault="00AC51AA" w:rsidP="00AC51AA">
      <w:pPr>
        <w:rPr>
          <w:lang w:val="sq-AL"/>
        </w:rPr>
        <w:sectPr w:rsidR="00AC51AA" w:rsidRPr="00A6284F">
          <w:type w:val="continuous"/>
          <w:pgSz w:w="16838" w:h="11909" w:orient="landscape"/>
          <w:pgMar w:top="1380" w:right="3736" w:bottom="573" w:left="3742" w:header="720" w:footer="720" w:gutter="0"/>
          <w:cols w:space="720"/>
        </w:sectPr>
      </w:pPr>
    </w:p>
    <w:p w:rsidR="00AC51AA" w:rsidRPr="00A6284F" w:rsidRDefault="00AC51AA" w:rsidP="00AC51AA">
      <w:pPr>
        <w:spacing w:before="15"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b/>
                <w:color w:val="000000"/>
                <w:lang w:val="sq-AL"/>
              </w:rPr>
            </w:pPr>
            <w:r w:rsidRPr="00A6284F">
              <w:rPr>
                <w:rFonts w:eastAsia="Times New Roman"/>
                <w:b/>
                <w:color w:val="000000"/>
                <w:lang w:val="sq-AL"/>
              </w:rPr>
              <w:t>Tregu i punës</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84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55" w:lineRule="exact"/>
              <w:ind w:left="108" w:right="235"/>
              <w:textAlignment w:val="baseline"/>
              <w:rPr>
                <w:rFonts w:eastAsia="Times New Roman"/>
                <w:color w:val="000000"/>
                <w:lang w:val="sq-AL"/>
              </w:rPr>
            </w:pPr>
            <w:r w:rsidRPr="00A6284F">
              <w:rPr>
                <w:rFonts w:eastAsia="Times New Roman"/>
                <w:color w:val="000000"/>
                <w:lang w:val="sq-AL"/>
              </w:rPr>
              <w:t xml:space="preserve">Shkalla e aktivitetit ekonomik për personat në moshat 20– 64 vjeç: pjesa e popullatës në </w:t>
            </w:r>
            <w:proofErr w:type="spellStart"/>
            <w:r w:rsidRPr="00A6284F">
              <w:rPr>
                <w:rFonts w:eastAsia="Times New Roman"/>
                <w:color w:val="000000"/>
                <w:lang w:val="sq-AL"/>
              </w:rPr>
              <w:t>grupmoshat</w:t>
            </w:r>
            <w:proofErr w:type="spellEnd"/>
            <w:r w:rsidRPr="00A6284F">
              <w:rPr>
                <w:rFonts w:eastAsia="Times New Roman"/>
                <w:color w:val="000000"/>
                <w:lang w:val="sq-AL"/>
              </w:rPr>
              <w:t xml:space="preserve"> 20–64 që është ekonomikisht aktive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46.4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47.7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42.8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44.0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49.0</w:t>
            </w: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50" w:lineRule="exact"/>
              <w:ind w:left="108" w:right="252"/>
              <w:textAlignment w:val="baseline"/>
              <w:rPr>
                <w:rFonts w:eastAsia="Times New Roman"/>
                <w:color w:val="000000"/>
                <w:lang w:val="sq-AL"/>
              </w:rPr>
            </w:pPr>
            <w:r w:rsidRPr="00A6284F">
              <w:rPr>
                <w:rFonts w:eastAsia="Times New Roman"/>
                <w:color w:val="000000"/>
                <w:lang w:val="sq-AL"/>
              </w:rPr>
              <w:t xml:space="preserve">*Shkalla e punësimit për personat në moshat 20 -64 vjeç: pjesa e popullatës në </w:t>
            </w:r>
            <w:proofErr w:type="spellStart"/>
            <w:r w:rsidRPr="00A6284F">
              <w:rPr>
                <w:rFonts w:eastAsia="Times New Roman"/>
                <w:color w:val="000000"/>
                <w:lang w:val="sq-AL"/>
              </w:rPr>
              <w:t>grupmoshat</w:t>
            </w:r>
            <w:proofErr w:type="spellEnd"/>
            <w:r w:rsidRPr="00A6284F">
              <w:rPr>
                <w:rFonts w:eastAsia="Times New Roman"/>
                <w:color w:val="000000"/>
                <w:lang w:val="sq-AL"/>
              </w:rPr>
              <w:t xml:space="preserve"> 20–64 që është në punësim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33.0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31.3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29.1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32.3</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1" w:line="249" w:lineRule="exact"/>
              <w:jc w:val="center"/>
              <w:textAlignment w:val="baseline"/>
              <w:rPr>
                <w:rFonts w:eastAsia="Times New Roman"/>
                <w:color w:val="000000"/>
                <w:lang w:val="sq-AL"/>
              </w:rPr>
            </w:pPr>
            <w:r w:rsidRPr="00A6284F">
              <w:rPr>
                <w:rFonts w:eastAsia="Times New Roman"/>
                <w:color w:val="000000"/>
                <w:lang w:val="sq-AL"/>
              </w:rPr>
              <w:t>34.4</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5" w:line="258" w:lineRule="exact"/>
              <w:ind w:left="106"/>
              <w:textAlignment w:val="baseline"/>
              <w:rPr>
                <w:rFonts w:eastAsia="Times New Roman"/>
                <w:color w:val="000000"/>
                <w:lang w:val="sq-AL"/>
              </w:rPr>
            </w:pPr>
            <w:r w:rsidRPr="00A6284F">
              <w:rPr>
                <w:rFonts w:eastAsia="Times New Roman"/>
                <w:color w:val="000000"/>
                <w:lang w:val="sq-AL"/>
              </w:rPr>
              <w:t>Shkalla e punësimit të meshkujve në moshat 20-64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51.5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48.4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44.9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49.9</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54.0</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8" w:lineRule="exact"/>
              <w:ind w:left="106"/>
              <w:textAlignment w:val="baseline"/>
              <w:rPr>
                <w:rFonts w:eastAsia="Times New Roman"/>
                <w:color w:val="000000"/>
                <w:lang w:val="sq-AL"/>
              </w:rPr>
            </w:pPr>
            <w:r w:rsidRPr="00A6284F">
              <w:rPr>
                <w:rFonts w:eastAsia="Times New Roman"/>
                <w:color w:val="000000"/>
                <w:lang w:val="sq-AL"/>
              </w:rPr>
              <w:t>Shkalla e punësimit të femrave në moshat 20-64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14.9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14.5</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13.2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14.6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14.6</w:t>
            </w: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55" w:lineRule="exact"/>
              <w:ind w:left="108" w:right="360"/>
              <w:textAlignment w:val="baseline"/>
              <w:rPr>
                <w:rFonts w:eastAsia="Times New Roman"/>
                <w:color w:val="000000"/>
                <w:lang w:val="sq-AL"/>
              </w:rPr>
            </w:pPr>
            <w:r w:rsidRPr="00A6284F">
              <w:rPr>
                <w:rFonts w:eastAsia="Times New Roman"/>
                <w:color w:val="000000"/>
                <w:lang w:val="sq-AL"/>
              </w:rPr>
              <w:t xml:space="preserve">Shkalla e punësimit për personat në moshat 55 -64 vjeç: pjesa e popullatës në </w:t>
            </w:r>
            <w:proofErr w:type="spellStart"/>
            <w:r w:rsidRPr="00A6284F">
              <w:rPr>
                <w:rFonts w:eastAsia="Times New Roman"/>
                <w:color w:val="000000"/>
                <w:lang w:val="sq-AL"/>
              </w:rPr>
              <w:t>grupmoshat</w:t>
            </w:r>
            <w:proofErr w:type="spellEnd"/>
            <w:r w:rsidRPr="00A6284F">
              <w:rPr>
                <w:rFonts w:eastAsia="Times New Roman"/>
                <w:color w:val="000000"/>
                <w:lang w:val="sq-AL"/>
              </w:rPr>
              <w:t xml:space="preserve"> 55–64 që është në punësim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26.3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30.8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29.8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27.2</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29.6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32.7</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Punësimi sipas sektorëve kryesorë</w:t>
            </w:r>
          </w:p>
        </w:tc>
        <w:tc>
          <w:tcPr>
            <w:tcW w:w="7728" w:type="dxa"/>
            <w:gridSpan w:val="7"/>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Bujqësia, pylltaria dhe peshkataria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21.4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5.9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2.6</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2.3</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4.4</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ind w:left="106"/>
              <w:textAlignment w:val="baseline"/>
              <w:rPr>
                <w:rFonts w:eastAsia="Times New Roman"/>
                <w:color w:val="000000"/>
                <w:lang w:val="sq-AL"/>
              </w:rPr>
            </w:pPr>
            <w:r w:rsidRPr="00A6284F">
              <w:rPr>
                <w:rFonts w:eastAsia="Times New Roman"/>
                <w:color w:val="000000"/>
                <w:lang w:val="sq-AL"/>
              </w:rPr>
              <w:t>Industria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12.4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16.8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17.7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18.7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18.0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17.4</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Ndërtimtaria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8.1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11.4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10.9</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9.5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11.5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12.9</w:t>
            </w:r>
          </w:p>
        </w:tc>
      </w:tr>
      <w:tr w:rsidR="00AC51AA" w:rsidRPr="00A6284F" w:rsidTr="007E58F5">
        <w:trPr>
          <w:trHeight w:hRule="exact" w:val="38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ind w:left="106"/>
              <w:textAlignment w:val="baseline"/>
              <w:rPr>
                <w:rFonts w:eastAsia="Times New Roman"/>
                <w:color w:val="000000"/>
                <w:lang w:val="sq-AL"/>
              </w:rPr>
            </w:pPr>
            <w:r w:rsidRPr="00A6284F">
              <w:rPr>
                <w:rFonts w:eastAsia="Times New Roman"/>
                <w:color w:val="000000"/>
                <w:lang w:val="sq-AL"/>
              </w:rPr>
              <w:t>Shërbimet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65.9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68.8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69.5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66.3</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65.3</w:t>
            </w:r>
          </w:p>
        </w:tc>
      </w:tr>
      <w:tr w:rsidR="00AC51AA" w:rsidRPr="00A6284F" w:rsidTr="007E58F5">
        <w:trPr>
          <w:trHeight w:hRule="exact" w:val="64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08" w:right="540"/>
              <w:textAlignment w:val="baseline"/>
              <w:rPr>
                <w:rFonts w:eastAsia="Times New Roman"/>
                <w:color w:val="000000"/>
                <w:spacing w:val="-2"/>
                <w:lang w:val="sq-AL"/>
              </w:rPr>
            </w:pPr>
            <w:r w:rsidRPr="00A6284F">
              <w:rPr>
                <w:rFonts w:eastAsia="Times New Roman"/>
                <w:color w:val="000000"/>
                <w:spacing w:val="-2"/>
                <w:lang w:val="sq-AL"/>
              </w:rPr>
              <w:t>Persona të punësuar në sektorin publik si pjesë e punësimit total, persona të moshave 20– 64 vjeç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31.5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32.6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30.8</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28.4</w:t>
            </w: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0" w:line="255" w:lineRule="exact"/>
              <w:ind w:left="108" w:right="468"/>
              <w:textAlignment w:val="baseline"/>
              <w:rPr>
                <w:rFonts w:eastAsia="Times New Roman"/>
                <w:color w:val="000000"/>
                <w:spacing w:val="-2"/>
                <w:lang w:val="sq-AL"/>
              </w:rPr>
            </w:pPr>
            <w:r w:rsidRPr="00A6284F">
              <w:rPr>
                <w:rFonts w:eastAsia="Times New Roman"/>
                <w:color w:val="000000"/>
                <w:spacing w:val="-2"/>
                <w:lang w:val="sq-AL"/>
              </w:rPr>
              <w:t>Persona të punësuar në sektorin privat si pjesë e punësimit total, persona të moshave 20– 64 vjeç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68.5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68.6</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67.4</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69.2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71.6</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50" w:lineRule="exact"/>
              <w:ind w:left="108" w:right="360"/>
              <w:textAlignment w:val="baseline"/>
              <w:rPr>
                <w:rFonts w:eastAsia="Times New Roman"/>
                <w:color w:val="000000"/>
                <w:lang w:val="sq-AL"/>
              </w:rPr>
            </w:pPr>
            <w:r w:rsidRPr="00A6284F">
              <w:rPr>
                <w:rFonts w:eastAsia="Times New Roman"/>
                <w:color w:val="000000"/>
                <w:lang w:val="sq-AL"/>
              </w:rPr>
              <w:t>Shkalla e papunësisë: raporti i fuqisë punëtore që nuk është e punësuar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44.9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30.0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35.3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32.9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27.5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30.3</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color w:val="000000"/>
                <w:lang w:val="sq-AL"/>
              </w:rPr>
            </w:pPr>
            <w:r w:rsidRPr="00A6284F">
              <w:rPr>
                <w:rFonts w:eastAsia="Times New Roman"/>
                <w:color w:val="000000"/>
                <w:lang w:val="sq-AL"/>
              </w:rPr>
              <w:t>Shkalla e papunësisë meshkuj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34.6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26.9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33.1</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31.8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26.2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28.5</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color w:val="000000"/>
                <w:lang w:val="sq-AL"/>
              </w:rPr>
            </w:pPr>
            <w:r w:rsidRPr="00A6284F">
              <w:rPr>
                <w:rFonts w:eastAsia="Times New Roman"/>
                <w:color w:val="000000"/>
                <w:lang w:val="sq-AL"/>
              </w:rPr>
              <w:t>Shkalla e papunësisë femra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61.6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38.8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41.6</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36.6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31.7</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36.4</w:t>
            </w:r>
          </w:p>
        </w:tc>
      </w:tr>
      <w:tr w:rsidR="00AC51AA" w:rsidRPr="00A6284F" w:rsidTr="007E58F5">
        <w:trPr>
          <w:trHeight w:hRule="exact" w:val="64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50" w:lineRule="exact"/>
              <w:ind w:left="108" w:right="468"/>
              <w:textAlignment w:val="baseline"/>
              <w:rPr>
                <w:rFonts w:eastAsia="Times New Roman"/>
                <w:color w:val="000000"/>
                <w:lang w:val="sq-AL"/>
              </w:rPr>
            </w:pPr>
            <w:r w:rsidRPr="00A6284F">
              <w:rPr>
                <w:rFonts w:eastAsia="Times New Roman"/>
                <w:color w:val="000000"/>
                <w:lang w:val="sq-AL"/>
              </w:rPr>
              <w:t>Shkalla e papunësisë rinore: raporti i fuqisë punëtore në moshat 15-24 vjeç që nuk është e punësuar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75.5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55.9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61.0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57.7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52.4</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52.7</w:t>
            </w:r>
          </w:p>
        </w:tc>
      </w:tr>
    </w:tbl>
    <w:p w:rsidR="00AC51AA" w:rsidRPr="00A6284F" w:rsidRDefault="00AC51AA" w:rsidP="00AC51AA">
      <w:pPr>
        <w:spacing w:after="513" w:line="20" w:lineRule="exact"/>
        <w:rPr>
          <w:lang w:val="sq-AL"/>
        </w:rPr>
      </w:pPr>
    </w:p>
    <w:p w:rsidR="00AC51AA" w:rsidRPr="00A6284F" w:rsidRDefault="00AC51AA" w:rsidP="00AC51AA">
      <w:pPr>
        <w:spacing w:after="513" w:line="20" w:lineRule="exact"/>
        <w:rPr>
          <w:lang w:val="sq-AL"/>
        </w:rPr>
        <w:sectPr w:rsidR="00AC51AA" w:rsidRPr="00A6284F">
          <w:pgSz w:w="16838" w:h="11909" w:orient="landscape"/>
          <w:pgMar w:top="1760" w:right="1248" w:bottom="573" w:left="1363"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39"/>
          <w:sz w:val="20"/>
          <w:lang w:val="sq-AL"/>
        </w:rPr>
      </w:pPr>
      <w:r w:rsidRPr="00A6284F">
        <w:rPr>
          <w:rFonts w:eastAsia="Times New Roman"/>
          <w:color w:val="000000"/>
          <w:spacing w:val="39"/>
          <w:sz w:val="20"/>
          <w:lang w:val="sq-AL"/>
        </w:rPr>
        <w:lastRenderedPageBreak/>
        <w:t>97</w:t>
      </w:r>
    </w:p>
    <w:p w:rsidR="00AC51AA" w:rsidRPr="00A6284F" w:rsidRDefault="00AC51AA" w:rsidP="00AC51AA">
      <w:pPr>
        <w:rPr>
          <w:lang w:val="sq-AL"/>
        </w:rPr>
        <w:sectPr w:rsidR="00AC51AA" w:rsidRPr="00A6284F">
          <w:type w:val="continuous"/>
          <w:pgSz w:w="16838" w:h="11909" w:orient="landscape"/>
          <w:pgMar w:top="1760" w:right="3739" w:bottom="573" w:left="3739" w:header="720" w:footer="720" w:gutter="0"/>
          <w:cols w:space="720"/>
        </w:sectPr>
      </w:pPr>
    </w:p>
    <w:p w:rsidR="00AC51AA" w:rsidRPr="00A6284F" w:rsidRDefault="00AC51AA" w:rsidP="00AC51AA">
      <w:pPr>
        <w:spacing w:before="16" w:line="20" w:lineRule="exact"/>
        <w:rPr>
          <w:lang w:val="sq-AL"/>
        </w:rPr>
      </w:pPr>
    </w:p>
    <w:tbl>
      <w:tblPr>
        <w:tblW w:w="0" w:type="auto"/>
        <w:tblInd w:w="14" w:type="dxa"/>
        <w:tblLayout w:type="fixed"/>
        <w:tblCellMar>
          <w:left w:w="0" w:type="dxa"/>
          <w:right w:w="0" w:type="dxa"/>
        </w:tblCellMar>
        <w:tblLook w:val="0000" w:firstRow="0" w:lastRow="0" w:firstColumn="0" w:lastColumn="0" w:noHBand="0" w:noVBand="0"/>
      </w:tblPr>
      <w:tblGrid>
        <w:gridCol w:w="6475"/>
        <w:gridCol w:w="907"/>
        <w:gridCol w:w="1133"/>
        <w:gridCol w:w="1133"/>
        <w:gridCol w:w="1133"/>
        <w:gridCol w:w="1137"/>
        <w:gridCol w:w="1133"/>
        <w:gridCol w:w="1147"/>
      </w:tblGrid>
      <w:tr w:rsidR="00AC51AA" w:rsidRPr="00A6284F" w:rsidTr="007E58F5">
        <w:trPr>
          <w:trHeight w:hRule="exact" w:val="653"/>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ind w:left="108" w:right="432"/>
              <w:textAlignment w:val="baseline"/>
              <w:rPr>
                <w:rFonts w:eastAsia="Times New Roman"/>
                <w:color w:val="000000"/>
                <w:lang w:val="sq-AL"/>
              </w:rPr>
            </w:pPr>
            <w:r w:rsidRPr="00A6284F">
              <w:rPr>
                <w:rFonts w:eastAsia="Times New Roman"/>
                <w:color w:val="000000"/>
                <w:lang w:val="sq-AL"/>
              </w:rPr>
              <w:t>Shkalla e papunësisë afatgjate: masa e fuqisë punëtore që ka qenë pa punë për 12 muaj e më shumë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18.5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5" w:line="249" w:lineRule="exact"/>
              <w:textAlignment w:val="baseline"/>
              <w:rPr>
                <w:rFonts w:eastAsia="Times New Roman"/>
                <w:color w:val="000000"/>
                <w:lang w:val="sq-AL"/>
              </w:rPr>
            </w:pPr>
            <w:r w:rsidRPr="00A6284F">
              <w:rPr>
                <w:rFonts w:eastAsia="Times New Roman"/>
                <w:color w:val="000000"/>
                <w:lang w:val="sq-AL"/>
              </w:rPr>
              <w:t>20.7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5" w:line="249" w:lineRule="exact"/>
              <w:textAlignment w:val="baseline"/>
              <w:rPr>
                <w:rFonts w:eastAsia="Times New Roman"/>
                <w:color w:val="000000"/>
                <w:lang w:val="sq-AL"/>
              </w:rPr>
            </w:pPr>
            <w:r w:rsidRPr="00A6284F">
              <w:rPr>
                <w:rFonts w:eastAsia="Times New Roman"/>
                <w:color w:val="000000"/>
                <w:lang w:val="sq-AL"/>
              </w:rPr>
              <w:t>26.1</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5" w:line="249" w:lineRule="exact"/>
              <w:textAlignment w:val="baseline"/>
              <w:rPr>
                <w:rFonts w:eastAsia="Times New Roman"/>
                <w:color w:val="000000"/>
                <w:lang w:val="sq-AL"/>
              </w:rPr>
            </w:pPr>
            <w:r w:rsidRPr="00A6284F">
              <w:rPr>
                <w:rFonts w:eastAsia="Times New Roman"/>
                <w:color w:val="000000"/>
                <w:lang w:val="sq-AL"/>
              </w:rPr>
              <w:t>23.8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5" w:line="249" w:lineRule="exact"/>
              <w:textAlignment w:val="baseline"/>
              <w:rPr>
                <w:rFonts w:eastAsia="Times New Roman"/>
                <w:color w:val="000000"/>
                <w:lang w:val="sq-AL"/>
              </w:rPr>
            </w:pPr>
            <w:r w:rsidRPr="00A6284F">
              <w:rPr>
                <w:rFonts w:eastAsia="Times New Roman"/>
                <w:color w:val="000000"/>
                <w:lang w:val="sq-AL"/>
              </w:rPr>
              <w:t>18.0</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65" w:line="249" w:lineRule="exact"/>
              <w:textAlignment w:val="baseline"/>
              <w:rPr>
                <w:rFonts w:eastAsia="Times New Roman"/>
                <w:color w:val="000000"/>
                <w:lang w:val="sq-AL"/>
              </w:rPr>
            </w:pPr>
            <w:r w:rsidRPr="00A6284F">
              <w:rPr>
                <w:rFonts w:eastAsia="Times New Roman"/>
                <w:color w:val="000000"/>
                <w:lang w:val="sq-AL"/>
              </w:rPr>
              <w:t>21.7</w:t>
            </w:r>
          </w:p>
        </w:tc>
      </w:tr>
      <w:tr w:rsidR="00AC51AA" w:rsidRPr="00A6284F" w:rsidTr="007E58F5">
        <w:trPr>
          <w:trHeight w:hRule="exact" w:val="643"/>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5" w:lineRule="exact"/>
              <w:ind w:left="108" w:right="252"/>
              <w:textAlignment w:val="baseline"/>
              <w:rPr>
                <w:rFonts w:eastAsia="Times New Roman"/>
                <w:color w:val="000000"/>
                <w:lang w:val="sq-AL"/>
              </w:rPr>
            </w:pPr>
            <w:r w:rsidRPr="00A6284F">
              <w:rPr>
                <w:rFonts w:eastAsia="Times New Roman"/>
                <w:color w:val="000000"/>
                <w:lang w:val="sq-AL"/>
              </w:rPr>
              <w:t>Shkalla e papunësisë për persona (të moshave 25–64) që kanë kryer më së shumti arsimin e mesëm të ulët (nivelet 0-2 ISCED)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5" w:line="249" w:lineRule="exact"/>
              <w:textAlignment w:val="baseline"/>
              <w:rPr>
                <w:rFonts w:eastAsia="Times New Roman"/>
                <w:color w:val="000000"/>
                <w:lang w:val="sq-AL"/>
              </w:rPr>
            </w:pPr>
            <w:r w:rsidRPr="00A6284F">
              <w:rPr>
                <w:rFonts w:eastAsia="Times New Roman"/>
                <w:color w:val="000000"/>
                <w:lang w:val="sq-AL"/>
              </w:rPr>
              <w:t>37.3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5" w:line="249" w:lineRule="exact"/>
              <w:textAlignment w:val="baseline"/>
              <w:rPr>
                <w:rFonts w:eastAsia="Times New Roman"/>
                <w:color w:val="000000"/>
                <w:lang w:val="sq-AL"/>
              </w:rPr>
            </w:pPr>
            <w:r w:rsidRPr="00A6284F">
              <w:rPr>
                <w:rFonts w:eastAsia="Times New Roman"/>
                <w:color w:val="000000"/>
                <w:lang w:val="sq-AL"/>
              </w:rPr>
              <w:t>44.0</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5" w:line="249" w:lineRule="exact"/>
              <w:textAlignment w:val="baseline"/>
              <w:rPr>
                <w:rFonts w:eastAsia="Times New Roman"/>
                <w:color w:val="000000"/>
                <w:lang w:val="sq-AL"/>
              </w:rPr>
            </w:pPr>
            <w:r w:rsidRPr="00A6284F">
              <w:rPr>
                <w:rFonts w:eastAsia="Times New Roman"/>
                <w:color w:val="000000"/>
                <w:lang w:val="sq-AL"/>
              </w:rPr>
              <w:t>45.5</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5" w:line="249" w:lineRule="exact"/>
              <w:textAlignment w:val="baseline"/>
              <w:rPr>
                <w:rFonts w:eastAsia="Times New Roman"/>
                <w:color w:val="000000"/>
                <w:lang w:val="sq-AL"/>
              </w:rPr>
            </w:pPr>
            <w:r w:rsidRPr="00A6284F">
              <w:rPr>
                <w:rFonts w:eastAsia="Times New Roman"/>
                <w:color w:val="000000"/>
                <w:lang w:val="sq-AL"/>
              </w:rPr>
              <w:t>29.6</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75" w:line="249" w:lineRule="exact"/>
              <w:textAlignment w:val="baseline"/>
              <w:rPr>
                <w:rFonts w:eastAsia="Times New Roman"/>
                <w:color w:val="000000"/>
                <w:lang w:val="sq-AL"/>
              </w:rPr>
            </w:pPr>
            <w:r w:rsidRPr="00A6284F">
              <w:rPr>
                <w:rFonts w:eastAsia="Times New Roman"/>
                <w:color w:val="000000"/>
                <w:lang w:val="sq-AL"/>
              </w:rPr>
              <w:t>32.5</w:t>
            </w:r>
          </w:p>
        </w:tc>
      </w:tr>
      <w:tr w:rsidR="00AC51AA" w:rsidRPr="00A6284F" w:rsidTr="007E58F5">
        <w:trPr>
          <w:trHeight w:hRule="exact" w:val="64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30" w:line="250" w:lineRule="exact"/>
              <w:ind w:left="108" w:right="252"/>
              <w:textAlignment w:val="baseline"/>
              <w:rPr>
                <w:rFonts w:eastAsia="Times New Roman"/>
                <w:color w:val="000000"/>
                <w:lang w:val="sq-AL"/>
              </w:rPr>
            </w:pPr>
            <w:r w:rsidRPr="00A6284F">
              <w:rPr>
                <w:rFonts w:eastAsia="Times New Roman"/>
                <w:color w:val="000000"/>
                <w:lang w:val="sq-AL"/>
              </w:rPr>
              <w:t>Shkalla e papunësisë për persona (të moshave 25–64) që kanë kryer arsimin terciar (nivelet 5-8 ISCED) (%)</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8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80" w:line="249" w:lineRule="exact"/>
              <w:textAlignment w:val="baseline"/>
              <w:rPr>
                <w:rFonts w:eastAsia="Times New Roman"/>
                <w:color w:val="000000"/>
                <w:lang w:val="sq-AL"/>
              </w:rPr>
            </w:pPr>
            <w:r w:rsidRPr="00A6284F">
              <w:rPr>
                <w:rFonts w:eastAsia="Times New Roman"/>
                <w:color w:val="000000"/>
                <w:lang w:val="sq-AL"/>
              </w:rPr>
              <w:t>13.4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80" w:line="249" w:lineRule="exact"/>
              <w:textAlignment w:val="baseline"/>
              <w:rPr>
                <w:rFonts w:eastAsia="Times New Roman"/>
                <w:color w:val="000000"/>
                <w:lang w:val="sq-AL"/>
              </w:rPr>
            </w:pPr>
            <w:r w:rsidRPr="00A6284F">
              <w:rPr>
                <w:rFonts w:eastAsia="Times New Roman"/>
                <w:color w:val="000000"/>
                <w:lang w:val="sq-AL"/>
              </w:rPr>
              <w:t>17.1</w:t>
            </w:r>
          </w:p>
        </w:tc>
        <w:tc>
          <w:tcPr>
            <w:tcW w:w="113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80" w:line="249" w:lineRule="exact"/>
              <w:textAlignment w:val="baseline"/>
              <w:rPr>
                <w:rFonts w:eastAsia="Times New Roman"/>
                <w:color w:val="000000"/>
                <w:lang w:val="sq-AL"/>
              </w:rPr>
            </w:pPr>
            <w:r w:rsidRPr="00A6284F">
              <w:rPr>
                <w:rFonts w:eastAsia="Times New Roman"/>
                <w:color w:val="000000"/>
                <w:lang w:val="sq-AL"/>
              </w:rPr>
              <w:t>17.4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80" w:line="249" w:lineRule="exact"/>
              <w:textAlignment w:val="baseline"/>
              <w:rPr>
                <w:rFonts w:eastAsia="Times New Roman"/>
                <w:color w:val="000000"/>
                <w:lang w:val="sq-AL"/>
              </w:rPr>
            </w:pPr>
            <w:r w:rsidRPr="00A6284F">
              <w:rPr>
                <w:rFonts w:eastAsia="Times New Roman"/>
                <w:color w:val="000000"/>
                <w:lang w:val="sq-AL"/>
              </w:rPr>
              <w:t>15.6</w:t>
            </w:r>
          </w:p>
        </w:tc>
        <w:tc>
          <w:tcPr>
            <w:tcW w:w="114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decimal" w:pos="576"/>
              </w:tabs>
              <w:spacing w:after="380" w:line="249" w:lineRule="exact"/>
              <w:textAlignment w:val="baseline"/>
              <w:rPr>
                <w:rFonts w:eastAsia="Times New Roman"/>
                <w:color w:val="000000"/>
                <w:lang w:val="sq-AL"/>
              </w:rPr>
            </w:pPr>
            <w:r w:rsidRPr="00A6284F">
              <w:rPr>
                <w:rFonts w:eastAsia="Times New Roman"/>
                <w:color w:val="000000"/>
                <w:lang w:val="sq-AL"/>
              </w:rPr>
              <w:t>22.6</w:t>
            </w:r>
          </w:p>
        </w:tc>
      </w:tr>
    </w:tbl>
    <w:p w:rsidR="00AC51AA" w:rsidRPr="00A6284F" w:rsidRDefault="00AC51AA" w:rsidP="00AC51AA">
      <w:pPr>
        <w:spacing w:after="335"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1" w:line="249" w:lineRule="exact"/>
              <w:ind w:left="111"/>
              <w:textAlignment w:val="baseline"/>
              <w:rPr>
                <w:rFonts w:eastAsia="Times New Roman"/>
                <w:b/>
                <w:color w:val="000000"/>
                <w:lang w:val="sq-AL"/>
              </w:rPr>
            </w:pPr>
            <w:r w:rsidRPr="00A6284F">
              <w:rPr>
                <w:rFonts w:eastAsia="Times New Roman"/>
                <w:b/>
                <w:color w:val="000000"/>
                <w:lang w:val="sq-AL"/>
              </w:rPr>
              <w:t>Kohezioni social</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ind w:left="111"/>
              <w:textAlignment w:val="baseline"/>
              <w:rPr>
                <w:rFonts w:eastAsia="Times New Roman"/>
                <w:color w:val="000000"/>
                <w:lang w:val="sq-AL"/>
              </w:rPr>
            </w:pPr>
            <w:r w:rsidRPr="00A6284F">
              <w:rPr>
                <w:rFonts w:eastAsia="Times New Roman"/>
                <w:color w:val="000000"/>
                <w:lang w:val="sq-AL"/>
              </w:rPr>
              <w:t>Pagat dhe rrogat mujore nominale mesatare (valutë kombëtare)</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3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50" w:lineRule="exact"/>
              <w:ind w:left="108" w:right="468"/>
              <w:textAlignment w:val="baseline"/>
              <w:rPr>
                <w:rFonts w:eastAsia="Times New Roman"/>
                <w:color w:val="000000"/>
                <w:lang w:val="sq-AL"/>
              </w:rPr>
            </w:pPr>
            <w:r w:rsidRPr="00A6284F">
              <w:rPr>
                <w:rFonts w:eastAsia="Times New Roman"/>
                <w:color w:val="000000"/>
                <w:lang w:val="sq-AL"/>
              </w:rPr>
              <w:t>Indeksi i pagave dhe rrogave reale (indeksi i pagave dhe rrogave nominale pjesëtuar me indeksin e inflacionit) (2010 = 100)</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0"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11"/>
              <w:textAlignment w:val="baseline"/>
              <w:rPr>
                <w:rFonts w:eastAsia="Times New Roman"/>
                <w:color w:val="000000"/>
                <w:lang w:val="sq-AL"/>
              </w:rPr>
            </w:pPr>
            <w:r w:rsidRPr="00A6284F">
              <w:rPr>
                <w:rFonts w:eastAsia="Times New Roman"/>
                <w:color w:val="000000"/>
                <w:lang w:val="sq-AL"/>
              </w:rPr>
              <w:t>Koeficienti GINI</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11"/>
              <w:textAlignment w:val="baseline"/>
              <w:rPr>
                <w:rFonts w:eastAsia="Times New Roman"/>
                <w:color w:val="000000"/>
                <w:lang w:val="sq-AL"/>
              </w:rPr>
            </w:pPr>
            <w:r w:rsidRPr="00A6284F">
              <w:rPr>
                <w:rFonts w:eastAsia="Times New Roman"/>
                <w:color w:val="000000"/>
                <w:lang w:val="sq-AL"/>
              </w:rPr>
              <w:t xml:space="preserve">Hendeku i varfërisë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89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52" w:lineRule="exact"/>
              <w:ind w:left="108" w:right="216"/>
              <w:textAlignment w:val="baseline"/>
              <w:rPr>
                <w:rFonts w:eastAsia="Times New Roman"/>
                <w:color w:val="000000"/>
                <w:lang w:val="sq-AL"/>
              </w:rPr>
            </w:pPr>
            <w:r w:rsidRPr="00A6284F">
              <w:rPr>
                <w:rFonts w:eastAsia="Times New Roman"/>
                <w:color w:val="000000"/>
                <w:lang w:val="sq-AL"/>
              </w:rPr>
              <w:t>*</w:t>
            </w:r>
            <w:proofErr w:type="spellStart"/>
            <w:r w:rsidRPr="00A6284F">
              <w:rPr>
                <w:rFonts w:eastAsia="Times New Roman"/>
                <w:color w:val="000000"/>
                <w:lang w:val="sq-AL"/>
              </w:rPr>
              <w:t>Braktisësit</w:t>
            </w:r>
            <w:proofErr w:type="spellEnd"/>
            <w:r w:rsidRPr="00A6284F">
              <w:rPr>
                <w:rFonts w:eastAsia="Times New Roman"/>
                <w:color w:val="000000"/>
                <w:lang w:val="sq-AL"/>
              </w:rPr>
              <w:t xml:space="preserve"> e hershëm të arsimit dhe aftësimit: masa e popullatës në moshat 18–24 vjeç me më së shumti arsim të mesëm të ulët që nuk ndjekin arsim apo aftësim të mëtutjeshëm (%)</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18.4</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16.5</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14.5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12.7</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629" w:line="249" w:lineRule="exact"/>
              <w:jc w:val="center"/>
              <w:textAlignment w:val="baseline"/>
              <w:rPr>
                <w:rFonts w:eastAsia="Times New Roman"/>
                <w:color w:val="000000"/>
                <w:lang w:val="sq-AL"/>
              </w:rPr>
            </w:pPr>
            <w:r w:rsidRPr="00A6284F">
              <w:rPr>
                <w:rFonts w:eastAsia="Times New Roman"/>
                <w:color w:val="000000"/>
                <w:lang w:val="sq-AL"/>
              </w:rPr>
              <w:t>12.2</w:t>
            </w:r>
          </w:p>
        </w:tc>
      </w:tr>
    </w:tbl>
    <w:p w:rsidR="00AC51AA" w:rsidRPr="00A6284F" w:rsidRDefault="00AC51AA" w:rsidP="00AC51AA">
      <w:pPr>
        <w:spacing w:after="341"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b/>
                <w:color w:val="000000"/>
                <w:lang w:val="sq-AL"/>
              </w:rPr>
            </w:pPr>
            <w:r w:rsidRPr="00A6284F">
              <w:rPr>
                <w:rFonts w:eastAsia="Times New Roman"/>
                <w:b/>
                <w:color w:val="000000"/>
                <w:lang w:val="sq-AL"/>
              </w:rPr>
              <w:t>Standardi i jetesës</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63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8" w:right="828"/>
              <w:textAlignment w:val="baseline"/>
              <w:rPr>
                <w:rFonts w:eastAsia="Times New Roman"/>
                <w:color w:val="000000"/>
                <w:lang w:val="sq-AL"/>
              </w:rPr>
            </w:pPr>
            <w:r w:rsidRPr="00A6284F">
              <w:rPr>
                <w:rFonts w:eastAsia="Times New Roman"/>
                <w:color w:val="000000"/>
                <w:lang w:val="sq-AL"/>
              </w:rPr>
              <w:t>Numri i automjeteve të pasagjerëve në raport me madhësinë e popullsisë (numri për mijë banorë)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69.9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122.5b</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129.7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156.1b</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146.8</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9" w:line="249" w:lineRule="exact"/>
              <w:jc w:val="center"/>
              <w:textAlignment w:val="baseline"/>
              <w:rPr>
                <w:rFonts w:eastAsia="Times New Roman"/>
                <w:color w:val="000000"/>
                <w:lang w:val="sq-AL"/>
              </w:rPr>
            </w:pPr>
            <w:r w:rsidRPr="00A6284F">
              <w:rPr>
                <w:rFonts w:eastAsia="Times New Roman"/>
                <w:color w:val="000000"/>
                <w:lang w:val="sq-AL"/>
              </w:rPr>
              <w:t>153.6</w:t>
            </w:r>
          </w:p>
        </w:tc>
      </w:tr>
      <w:tr w:rsidR="00AC51AA" w:rsidRPr="00A6284F" w:rsidTr="007E58F5">
        <w:trPr>
          <w:trHeight w:hRule="exact" w:val="643"/>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54" w:lineRule="exact"/>
              <w:ind w:left="108" w:right="828"/>
              <w:textAlignment w:val="baseline"/>
              <w:rPr>
                <w:rFonts w:eastAsia="Times New Roman"/>
                <w:color w:val="000000"/>
                <w:lang w:val="sq-AL"/>
              </w:rPr>
            </w:pPr>
            <w:r w:rsidRPr="00A6284F">
              <w:rPr>
                <w:rFonts w:eastAsia="Times New Roman"/>
                <w:color w:val="000000"/>
                <w:lang w:val="sq-AL"/>
              </w:rPr>
              <w:t>Numri i abonimeve të telefonisë mobile në raport me madhësinë e popullsisë (numri për mijë banorë)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464.3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487.8</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545.0</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9" w:line="249" w:lineRule="exact"/>
              <w:jc w:val="center"/>
              <w:textAlignment w:val="baseline"/>
              <w:rPr>
                <w:rFonts w:eastAsia="Times New Roman"/>
                <w:color w:val="000000"/>
                <w:lang w:val="sq-AL"/>
              </w:rPr>
            </w:pPr>
            <w:r w:rsidRPr="00A6284F">
              <w:rPr>
                <w:rFonts w:eastAsia="Times New Roman"/>
                <w:color w:val="000000"/>
                <w:lang w:val="sq-AL"/>
              </w:rPr>
              <w:t>553.1</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06"/>
              <w:textAlignment w:val="baseline"/>
              <w:rPr>
                <w:rFonts w:eastAsia="Times New Roman"/>
                <w:color w:val="000000"/>
                <w:lang w:val="sq-AL"/>
              </w:rPr>
            </w:pPr>
            <w:r w:rsidRPr="00A6284F">
              <w:rPr>
                <w:rFonts w:eastAsia="Times New Roman"/>
                <w:color w:val="000000"/>
                <w:lang w:val="sq-AL"/>
              </w:rPr>
              <w:t>Penetrimi i brezit të gjerë mobil (për 100 banorë)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06"/>
              <w:textAlignment w:val="baseline"/>
              <w:rPr>
                <w:rFonts w:eastAsia="Times New Roman"/>
                <w:color w:val="000000"/>
                <w:lang w:val="sq-AL"/>
              </w:rPr>
            </w:pPr>
            <w:r w:rsidRPr="00A6284F">
              <w:rPr>
                <w:rFonts w:eastAsia="Times New Roman"/>
                <w:color w:val="000000"/>
                <w:lang w:val="sq-AL"/>
              </w:rPr>
              <w:t>Penetrimi i brezit të gjerë fiks (për 100 banorë)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r>
    </w:tbl>
    <w:p w:rsidR="00AC51AA" w:rsidRPr="00A6284F" w:rsidRDefault="00AC51AA" w:rsidP="00AC51AA">
      <w:pPr>
        <w:spacing w:after="1022" w:line="20" w:lineRule="exact"/>
        <w:rPr>
          <w:lang w:val="sq-AL"/>
        </w:rPr>
      </w:pPr>
    </w:p>
    <w:p w:rsidR="00AC51AA" w:rsidRPr="00A6284F" w:rsidRDefault="00AC51AA" w:rsidP="00AC51AA">
      <w:pPr>
        <w:spacing w:after="1022" w:line="20" w:lineRule="exact"/>
        <w:rPr>
          <w:lang w:val="sq-AL"/>
        </w:rPr>
        <w:sectPr w:rsidR="00AC51AA" w:rsidRPr="00A6284F">
          <w:pgSz w:w="16838" w:h="11909" w:orient="landscape"/>
          <w:pgMar w:top="1380" w:right="1247" w:bottom="573" w:left="1364"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39"/>
          <w:sz w:val="20"/>
          <w:lang w:val="sq-AL"/>
        </w:rPr>
      </w:pPr>
      <w:r w:rsidRPr="00A6284F">
        <w:rPr>
          <w:rFonts w:eastAsia="Times New Roman"/>
          <w:color w:val="000000"/>
          <w:spacing w:val="39"/>
          <w:sz w:val="20"/>
          <w:lang w:val="sq-AL"/>
        </w:rPr>
        <w:lastRenderedPageBreak/>
        <w:t>98</w:t>
      </w:r>
    </w:p>
    <w:p w:rsidR="00AC51AA" w:rsidRPr="00A6284F" w:rsidRDefault="00AC51AA" w:rsidP="00AC51AA">
      <w:pPr>
        <w:rPr>
          <w:lang w:val="sq-AL"/>
        </w:rPr>
        <w:sectPr w:rsidR="00AC51AA" w:rsidRPr="00A6284F">
          <w:type w:val="continuous"/>
          <w:pgSz w:w="16838" w:h="11909" w:orient="landscape"/>
          <w:pgMar w:top="1380" w:right="3739" w:bottom="573" w:left="3739" w:header="720" w:footer="720" w:gutter="0"/>
          <w:cols w:space="720"/>
        </w:sectPr>
      </w:pPr>
    </w:p>
    <w:p w:rsidR="00AC51AA" w:rsidRPr="00A6284F" w:rsidRDefault="00AC51AA" w:rsidP="00AC51AA">
      <w:pPr>
        <w:spacing w:before="1"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b/>
                <w:color w:val="000000"/>
                <w:lang w:val="sq-AL"/>
              </w:rPr>
            </w:pPr>
            <w:r w:rsidRPr="00A6284F">
              <w:rPr>
                <w:rFonts w:eastAsia="Times New Roman"/>
                <w:b/>
                <w:color w:val="000000"/>
                <w:lang w:val="sq-AL"/>
              </w:rPr>
              <w:t>Infrastruktura</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ind w:left="111"/>
              <w:textAlignment w:val="baseline"/>
              <w:rPr>
                <w:rFonts w:eastAsia="Times New Roman"/>
                <w:color w:val="000000"/>
                <w:lang w:val="sq-AL"/>
              </w:rPr>
            </w:pPr>
            <w:r w:rsidRPr="00A6284F">
              <w:rPr>
                <w:rFonts w:eastAsia="Times New Roman"/>
                <w:color w:val="000000"/>
                <w:lang w:val="sq-AL"/>
              </w:rPr>
              <w:t>Dendësia e rrjetit hekurudhor (linja në operim për mijë km</w:t>
            </w:r>
            <w:r w:rsidRPr="00A6284F">
              <w:rPr>
                <w:rFonts w:eastAsia="Times New Roman"/>
                <w:color w:val="000000"/>
                <w:vertAlign w:val="superscript"/>
                <w:lang w:val="sq-AL"/>
              </w:rPr>
              <w:t>2</w:t>
            </w:r>
            <w:r w:rsidRPr="00A6284F">
              <w:rPr>
                <w:rFonts w:eastAsia="Times New Roman"/>
                <w:color w:val="000000"/>
                <w:lang w:val="sq-AL"/>
              </w:rPr>
              <w:t>)</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30.9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30.9</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30.9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30.9</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30.9</w:t>
            </w:r>
          </w:p>
        </w:tc>
      </w:tr>
      <w:tr w:rsidR="00AC51AA" w:rsidRPr="00A6284F" w:rsidTr="007E58F5">
        <w:trPr>
          <w:trHeight w:hRule="exact" w:val="39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11"/>
              <w:textAlignment w:val="baseline"/>
              <w:rPr>
                <w:rFonts w:eastAsia="Times New Roman"/>
                <w:color w:val="000000"/>
                <w:lang w:val="sq-AL"/>
              </w:rPr>
            </w:pPr>
            <w:r w:rsidRPr="00A6284F">
              <w:rPr>
                <w:rFonts w:eastAsia="Times New Roman"/>
                <w:color w:val="000000"/>
                <w:lang w:val="sq-AL"/>
              </w:rPr>
              <w:t>Gjatësia e autostradave (kilometra)</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78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78</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80</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98</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108</w:t>
            </w:r>
          </w:p>
        </w:tc>
      </w:tr>
    </w:tbl>
    <w:p w:rsidR="00AC51AA" w:rsidRPr="00A6284F" w:rsidRDefault="00AC51AA" w:rsidP="00AC51AA">
      <w:pPr>
        <w:spacing w:after="340"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b/>
                <w:color w:val="000000"/>
                <w:lang w:val="sq-AL"/>
              </w:rPr>
            </w:pPr>
            <w:r w:rsidRPr="00A6284F">
              <w:rPr>
                <w:rFonts w:eastAsia="Times New Roman"/>
                <w:b/>
                <w:color w:val="000000"/>
                <w:lang w:val="sq-AL"/>
              </w:rPr>
              <w:t>Inovacioni dhe hulumtimi</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06"/>
              <w:textAlignment w:val="baseline"/>
              <w:rPr>
                <w:rFonts w:eastAsia="Times New Roman"/>
                <w:color w:val="000000"/>
                <w:lang w:val="sq-AL"/>
              </w:rPr>
            </w:pPr>
            <w:r w:rsidRPr="00A6284F">
              <w:rPr>
                <w:rFonts w:eastAsia="Times New Roman"/>
                <w:color w:val="000000"/>
                <w:lang w:val="sq-AL"/>
              </w:rPr>
              <w:t>Shpenzimet publike në arsim në raport me BPV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3.8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3.7</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4.5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4.6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4.4</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ind w:left="106"/>
              <w:textAlignment w:val="baseline"/>
              <w:rPr>
                <w:rFonts w:eastAsia="Times New Roman"/>
                <w:color w:val="000000"/>
                <w:lang w:val="sq-AL"/>
              </w:rPr>
            </w:pPr>
            <w:r w:rsidRPr="00A6284F">
              <w:rPr>
                <w:rFonts w:eastAsia="Times New Roman"/>
                <w:color w:val="000000"/>
                <w:lang w:val="sq-AL"/>
              </w:rPr>
              <w:t>*Bruto shpenzimet vendore për R&amp;D në raport me BPV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64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4" w:lineRule="exact"/>
              <w:ind w:left="108" w:right="180"/>
              <w:jc w:val="both"/>
              <w:textAlignment w:val="baseline"/>
              <w:rPr>
                <w:rFonts w:eastAsia="Times New Roman"/>
                <w:color w:val="000000"/>
                <w:lang w:val="sq-AL"/>
              </w:rPr>
            </w:pPr>
            <w:r w:rsidRPr="00A6284F">
              <w:rPr>
                <w:rFonts w:eastAsia="Times New Roman"/>
                <w:color w:val="000000"/>
                <w:lang w:val="sq-AL"/>
              </w:rPr>
              <w:t>Zotimet apo projeksionet buxhetore qeveritare për hulumtim e zhvillim (GBAORD), si përqindje e BPV-së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3"/>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Përqindja e ekonomive familjare që kanë qasje interneti në shtëpi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88.8</w:t>
            </w:r>
          </w:p>
        </w:tc>
      </w:tr>
    </w:tbl>
    <w:p w:rsidR="00AC51AA" w:rsidRPr="00A6284F" w:rsidRDefault="00AC51AA" w:rsidP="00AC51AA">
      <w:pPr>
        <w:spacing w:after="336"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1132"/>
        <w:gridCol w:w="1133"/>
        <w:gridCol w:w="1133"/>
        <w:gridCol w:w="1138"/>
        <w:gridCol w:w="1132"/>
        <w:gridCol w:w="1143"/>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16" w:line="249" w:lineRule="exact"/>
              <w:ind w:left="111"/>
              <w:textAlignment w:val="baseline"/>
              <w:rPr>
                <w:rFonts w:eastAsia="Times New Roman"/>
                <w:b/>
                <w:color w:val="000000"/>
                <w:lang w:val="sq-AL"/>
              </w:rPr>
            </w:pPr>
            <w:r w:rsidRPr="00A6284F">
              <w:rPr>
                <w:rFonts w:eastAsia="Times New Roman"/>
                <w:b/>
                <w:color w:val="000000"/>
                <w:lang w:val="sq-AL"/>
              </w:rPr>
              <w:t>Mjedisi</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11"/>
              <w:textAlignment w:val="baseline"/>
              <w:rPr>
                <w:rFonts w:eastAsia="Times New Roman"/>
                <w:color w:val="000000"/>
                <w:lang w:val="sq-AL"/>
              </w:rPr>
            </w:pPr>
            <w:r w:rsidRPr="00A6284F">
              <w:rPr>
                <w:rFonts w:eastAsia="Times New Roman"/>
                <w:color w:val="000000"/>
                <w:lang w:val="sq-AL"/>
              </w:rPr>
              <w:t>*Indeksi i emisioneve të gazrave serrë, CO</w:t>
            </w:r>
            <w:r w:rsidRPr="00A6284F">
              <w:rPr>
                <w:rFonts w:eastAsia="Times New Roman"/>
                <w:color w:val="000000"/>
                <w:sz w:val="14"/>
                <w:lang w:val="sq-AL"/>
              </w:rPr>
              <w:t xml:space="preserve">2 </w:t>
            </w:r>
            <w:r w:rsidRPr="00A6284F">
              <w:rPr>
                <w:rFonts w:eastAsia="Times New Roman"/>
                <w:color w:val="000000"/>
                <w:lang w:val="sq-AL"/>
              </w:rPr>
              <w:t>ekuivalent (1990 = 100)</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255"/>
        </w:trPr>
        <w:tc>
          <w:tcPr>
            <w:tcW w:w="6461" w:type="dxa"/>
            <w:vMerge w:val="restart"/>
            <w:tcBorders>
              <w:top w:val="single" w:sz="7" w:space="0" w:color="000000"/>
              <w:left w:val="single" w:sz="7" w:space="0" w:color="000000"/>
              <w:right w:val="single" w:sz="7" w:space="0" w:color="000000"/>
            </w:tcBorders>
            <w:vAlign w:val="center"/>
          </w:tcPr>
          <w:p w:rsidR="00AC51AA" w:rsidRPr="00A6284F" w:rsidRDefault="00AC51AA" w:rsidP="007E58F5">
            <w:pPr>
              <w:spacing w:line="230" w:lineRule="exact"/>
              <w:ind w:left="111"/>
              <w:textAlignment w:val="baseline"/>
              <w:rPr>
                <w:rFonts w:eastAsia="Times New Roman"/>
                <w:color w:val="000000"/>
                <w:lang w:val="sq-AL"/>
              </w:rPr>
            </w:pPr>
            <w:r w:rsidRPr="00A6284F">
              <w:rPr>
                <w:rFonts w:eastAsia="Times New Roman"/>
                <w:color w:val="000000"/>
                <w:lang w:val="sq-AL"/>
              </w:rPr>
              <w:t>Intensiteti i energjisë së ekonomisë (kg naftë ekuivalent për 1000 Euro BPV me çmime konstante të 2010-ës)</w:t>
            </w:r>
          </w:p>
        </w:tc>
        <w:tc>
          <w:tcPr>
            <w:tcW w:w="917" w:type="dxa"/>
            <w:tcBorders>
              <w:top w:val="single" w:sz="7" w:space="0" w:color="000000"/>
              <w:left w:val="single" w:sz="7" w:space="0" w:color="000000"/>
              <w:bottom w:val="none" w:sz="0" w:space="0" w:color="02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473.2</w:t>
            </w:r>
          </w:p>
        </w:tc>
        <w:tc>
          <w:tcPr>
            <w:tcW w:w="1133"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448.3</w:t>
            </w:r>
          </w:p>
        </w:tc>
        <w:tc>
          <w:tcPr>
            <w:tcW w:w="1138"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490.3</w:t>
            </w:r>
          </w:p>
        </w:tc>
        <w:tc>
          <w:tcPr>
            <w:tcW w:w="1132"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504.6</w:t>
            </w:r>
          </w:p>
        </w:tc>
        <w:tc>
          <w:tcPr>
            <w:tcW w:w="1143" w:type="dxa"/>
            <w:tcBorders>
              <w:top w:val="single" w:sz="7" w:space="0" w:color="000000"/>
              <w:left w:val="single" w:sz="7" w:space="0" w:color="000000"/>
              <w:bottom w:val="none" w:sz="0" w:space="0" w:color="020000"/>
              <w:right w:val="single" w:sz="7" w:space="0" w:color="000000"/>
            </w:tcBorders>
            <w:vAlign w:val="center"/>
          </w:tcPr>
          <w:p w:rsidR="00AC51AA" w:rsidRPr="00A6284F" w:rsidRDefault="00AC51AA" w:rsidP="007E58F5">
            <w:pPr>
              <w:spacing w:line="230" w:lineRule="exact"/>
              <w:jc w:val="center"/>
              <w:textAlignment w:val="baseline"/>
              <w:rPr>
                <w:rFonts w:eastAsia="Times New Roman"/>
                <w:color w:val="000000"/>
                <w:lang w:val="sq-AL"/>
              </w:rPr>
            </w:pPr>
            <w:r w:rsidRPr="00A6284F">
              <w:rPr>
                <w:rFonts w:eastAsia="Times New Roman"/>
                <w:color w:val="000000"/>
                <w:lang w:val="sq-AL"/>
              </w:rPr>
              <w:t>459.9</w:t>
            </w:r>
          </w:p>
        </w:tc>
      </w:tr>
      <w:tr w:rsidR="00AC51AA" w:rsidRPr="00A6284F" w:rsidTr="007E58F5">
        <w:trPr>
          <w:trHeight w:hRule="exact" w:val="389"/>
        </w:trPr>
        <w:tc>
          <w:tcPr>
            <w:tcW w:w="6461" w:type="dxa"/>
            <w:vMerge/>
            <w:tcBorders>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color w:val="000000"/>
                <w:lang w:val="sq-AL"/>
              </w:rPr>
            </w:pPr>
          </w:p>
        </w:tc>
        <w:tc>
          <w:tcPr>
            <w:tcW w:w="917"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3"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8"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43" w:type="dxa"/>
            <w:tcBorders>
              <w:top w:val="none" w:sz="0" w:space="0" w:color="02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r>
      <w:tr w:rsidR="00AC51AA" w:rsidRPr="00A6284F" w:rsidTr="007E58F5">
        <w:trPr>
          <w:trHeight w:hRule="exact" w:val="63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08" w:right="216"/>
              <w:textAlignment w:val="baseline"/>
              <w:rPr>
                <w:rFonts w:eastAsia="Times New Roman"/>
                <w:color w:val="000000"/>
                <w:lang w:val="sq-AL"/>
              </w:rPr>
            </w:pPr>
            <w:r w:rsidRPr="00A6284F">
              <w:rPr>
                <w:rFonts w:eastAsia="Times New Roman"/>
                <w:color w:val="000000"/>
                <w:lang w:val="sq-AL"/>
              </w:rPr>
              <w:t xml:space="preserve">Energjia elektrike e </w:t>
            </w:r>
            <w:proofErr w:type="spellStart"/>
            <w:r w:rsidRPr="00A6284F">
              <w:rPr>
                <w:rFonts w:eastAsia="Times New Roman"/>
                <w:color w:val="000000"/>
                <w:lang w:val="sq-AL"/>
              </w:rPr>
              <w:t>gjeneruar</w:t>
            </w:r>
            <w:proofErr w:type="spellEnd"/>
            <w:r w:rsidRPr="00A6284F">
              <w:rPr>
                <w:rFonts w:eastAsia="Times New Roman"/>
                <w:color w:val="000000"/>
                <w:lang w:val="sq-AL"/>
              </w:rPr>
              <w:t xml:space="preserve"> nga burime të ripërtërishme në raport me konsumin bruto të energjisë elektrike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3.7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4.0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3.6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6.2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4" w:line="249" w:lineRule="exact"/>
              <w:jc w:val="center"/>
              <w:textAlignment w:val="baseline"/>
              <w:rPr>
                <w:rFonts w:eastAsia="Times New Roman"/>
                <w:color w:val="000000"/>
                <w:lang w:val="sq-AL"/>
              </w:rPr>
            </w:pPr>
            <w:r w:rsidRPr="00A6284F">
              <w:rPr>
                <w:rFonts w:eastAsia="Times New Roman"/>
                <w:color w:val="000000"/>
                <w:lang w:val="sq-AL"/>
              </w:rPr>
              <w:t>4.4</w:t>
            </w:r>
          </w:p>
        </w:tc>
      </w:tr>
      <w:tr w:rsidR="00AC51AA" w:rsidRPr="00A6284F" w:rsidTr="007E58F5">
        <w:trPr>
          <w:trHeight w:hRule="exact" w:val="53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11"/>
              <w:textAlignment w:val="baseline"/>
              <w:rPr>
                <w:rFonts w:eastAsia="Times New Roman"/>
                <w:color w:val="000000"/>
                <w:lang w:val="sq-AL"/>
              </w:rPr>
            </w:pPr>
            <w:r w:rsidRPr="00A6284F">
              <w:rPr>
                <w:rFonts w:eastAsia="Times New Roman"/>
                <w:color w:val="000000"/>
                <w:lang w:val="sq-AL"/>
              </w:rPr>
              <w:t>Pjesa rrugore e transportit të mallrave brenda vendit (me bazë ton-km) (%)</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w:t>
            </w:r>
          </w:p>
        </w:tc>
      </w:tr>
    </w:tbl>
    <w:p w:rsidR="00AC51AA" w:rsidRPr="00A6284F" w:rsidRDefault="00AC51AA" w:rsidP="00AC51AA">
      <w:pPr>
        <w:spacing w:after="340" w:line="20" w:lineRule="exact"/>
        <w:rPr>
          <w:lang w:val="sq-AL"/>
        </w:rPr>
      </w:pPr>
    </w:p>
    <w:tbl>
      <w:tblPr>
        <w:tblW w:w="0" w:type="auto"/>
        <w:tblInd w:w="19" w:type="dxa"/>
        <w:tblLayout w:type="fixed"/>
        <w:tblCellMar>
          <w:left w:w="0" w:type="dxa"/>
          <w:right w:w="0" w:type="dxa"/>
        </w:tblCellMar>
        <w:tblLook w:val="0000" w:firstRow="0" w:lastRow="0" w:firstColumn="0" w:lastColumn="0" w:noHBand="0" w:noVBand="0"/>
      </w:tblPr>
      <w:tblGrid>
        <w:gridCol w:w="6461"/>
        <w:gridCol w:w="917"/>
        <w:gridCol w:w="441"/>
        <w:gridCol w:w="691"/>
        <w:gridCol w:w="447"/>
        <w:gridCol w:w="686"/>
        <w:gridCol w:w="447"/>
        <w:gridCol w:w="686"/>
        <w:gridCol w:w="451"/>
        <w:gridCol w:w="687"/>
        <w:gridCol w:w="456"/>
        <w:gridCol w:w="676"/>
        <w:gridCol w:w="447"/>
        <w:gridCol w:w="696"/>
      </w:tblGrid>
      <w:tr w:rsidR="00AC51AA" w:rsidRPr="00A6284F" w:rsidTr="007E58F5">
        <w:trPr>
          <w:trHeight w:hRule="exact" w:val="394"/>
        </w:trPr>
        <w:tc>
          <w:tcPr>
            <w:tcW w:w="6461"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1" w:line="249" w:lineRule="exact"/>
              <w:ind w:left="111"/>
              <w:textAlignment w:val="baseline"/>
              <w:rPr>
                <w:rFonts w:eastAsia="Times New Roman"/>
                <w:b/>
                <w:color w:val="000000"/>
                <w:lang w:val="sq-AL"/>
              </w:rPr>
            </w:pPr>
            <w:r w:rsidRPr="00A6284F">
              <w:rPr>
                <w:rFonts w:eastAsia="Times New Roman"/>
                <w:b/>
                <w:color w:val="000000"/>
                <w:lang w:val="sq-AL"/>
              </w:rPr>
              <w:t>Energjia</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41"/>
              <w:textAlignment w:val="baseline"/>
              <w:rPr>
                <w:rFonts w:eastAsia="Times New Roman"/>
                <w:color w:val="000000"/>
                <w:lang w:val="sq-AL"/>
              </w:rPr>
            </w:pPr>
            <w:r w:rsidRPr="00A6284F">
              <w:rPr>
                <w:rFonts w:eastAsia="Times New Roman"/>
                <w:color w:val="000000"/>
                <w:lang w:val="sq-AL"/>
              </w:rPr>
              <w:t>2006</w:t>
            </w:r>
          </w:p>
        </w:tc>
        <w:tc>
          <w:tcPr>
            <w:tcW w:w="1133"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46"/>
              <w:textAlignment w:val="baseline"/>
              <w:rPr>
                <w:rFonts w:eastAsia="Times New Roman"/>
                <w:color w:val="000000"/>
                <w:lang w:val="sq-AL"/>
              </w:rPr>
            </w:pPr>
            <w:r w:rsidRPr="00A6284F">
              <w:rPr>
                <w:rFonts w:eastAsia="Times New Roman"/>
                <w:color w:val="000000"/>
                <w:lang w:val="sq-AL"/>
              </w:rPr>
              <w:t>2013</w:t>
            </w:r>
          </w:p>
        </w:tc>
        <w:tc>
          <w:tcPr>
            <w:tcW w:w="1133"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46"/>
              <w:textAlignment w:val="baseline"/>
              <w:rPr>
                <w:rFonts w:eastAsia="Times New Roman"/>
                <w:color w:val="000000"/>
                <w:lang w:val="sq-AL"/>
              </w:rPr>
            </w:pPr>
            <w:r w:rsidRPr="00A6284F">
              <w:rPr>
                <w:rFonts w:eastAsia="Times New Roman"/>
                <w:color w:val="000000"/>
                <w:lang w:val="sq-AL"/>
              </w:rPr>
              <w:t>2014</w:t>
            </w:r>
          </w:p>
        </w:tc>
        <w:tc>
          <w:tcPr>
            <w:tcW w:w="1138"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46"/>
              <w:textAlignment w:val="baseline"/>
              <w:rPr>
                <w:rFonts w:eastAsia="Times New Roman"/>
                <w:color w:val="000000"/>
                <w:lang w:val="sq-AL"/>
              </w:rPr>
            </w:pPr>
            <w:r w:rsidRPr="00A6284F">
              <w:rPr>
                <w:rFonts w:eastAsia="Times New Roman"/>
                <w:color w:val="000000"/>
                <w:lang w:val="sq-AL"/>
              </w:rPr>
              <w:t>2015</w:t>
            </w:r>
          </w:p>
        </w:tc>
        <w:tc>
          <w:tcPr>
            <w:tcW w:w="1132"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17"/>
              <w:textAlignment w:val="baseline"/>
              <w:rPr>
                <w:rFonts w:eastAsia="Times New Roman"/>
                <w:color w:val="000000"/>
                <w:lang w:val="sq-AL"/>
              </w:rPr>
            </w:pPr>
            <w:r w:rsidRPr="00A6284F">
              <w:rPr>
                <w:rFonts w:eastAsia="Times New Roman"/>
                <w:color w:val="000000"/>
                <w:lang w:val="sq-AL"/>
              </w:rPr>
              <w:t>2016</w:t>
            </w:r>
          </w:p>
        </w:tc>
        <w:tc>
          <w:tcPr>
            <w:tcW w:w="1143" w:type="dxa"/>
            <w:gridSpan w:val="2"/>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346"/>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38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11"/>
              <w:textAlignment w:val="baseline"/>
              <w:rPr>
                <w:rFonts w:eastAsia="Times New Roman"/>
                <w:color w:val="000000"/>
                <w:lang w:val="sq-AL"/>
              </w:rPr>
            </w:pPr>
            <w:r w:rsidRPr="00A6284F">
              <w:rPr>
                <w:rFonts w:eastAsia="Times New Roman"/>
                <w:color w:val="000000"/>
                <w:lang w:val="sq-AL"/>
              </w:rPr>
              <w:t>Prodhimi primar i të gjitha produkteve të energjisë (mijë TOE)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4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41"/>
              <w:textAlignment w:val="baseline"/>
              <w:rPr>
                <w:rFonts w:eastAsia="Times New Roman"/>
                <w:color w:val="000000"/>
                <w:lang w:val="sq-AL"/>
              </w:rPr>
            </w:pPr>
            <w:r w:rsidRPr="00A6284F">
              <w:rPr>
                <w:rFonts w:eastAsia="Times New Roman"/>
                <w:color w:val="000000"/>
                <w:lang w:val="sq-AL"/>
              </w:rPr>
              <w:t>1</w:t>
            </w: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424</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46"/>
              <w:textAlignment w:val="baseline"/>
              <w:rPr>
                <w:rFonts w:eastAsia="Times New Roman"/>
                <w:color w:val="000000"/>
                <w:lang w:val="sq-AL"/>
              </w:rPr>
            </w:pPr>
            <w:r w:rsidRPr="00A6284F">
              <w:rPr>
                <w:rFonts w:eastAsia="Times New Roman"/>
                <w:color w:val="000000"/>
                <w:lang w:val="sq-AL"/>
              </w:rPr>
              <w:t>1</w:t>
            </w: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792</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46"/>
              <w:textAlignment w:val="baseline"/>
              <w:rPr>
                <w:rFonts w:eastAsia="Times New Roman"/>
                <w:color w:val="000000"/>
                <w:lang w:val="sq-AL"/>
              </w:rPr>
            </w:pPr>
            <w:r w:rsidRPr="00A6284F">
              <w:rPr>
                <w:rFonts w:eastAsia="Times New Roman"/>
                <w:color w:val="000000"/>
                <w:lang w:val="sq-AL"/>
              </w:rPr>
              <w:t>1</w:t>
            </w: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605</w:t>
            </w:r>
          </w:p>
        </w:tc>
        <w:tc>
          <w:tcPr>
            <w:tcW w:w="45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46"/>
              <w:textAlignment w:val="baseline"/>
              <w:rPr>
                <w:rFonts w:eastAsia="Times New Roman"/>
                <w:color w:val="000000"/>
                <w:lang w:val="sq-AL"/>
              </w:rPr>
            </w:pPr>
            <w:r w:rsidRPr="00A6284F">
              <w:rPr>
                <w:rFonts w:eastAsia="Times New Roman"/>
                <w:color w:val="000000"/>
                <w:lang w:val="sq-AL"/>
              </w:rPr>
              <w:t>1</w:t>
            </w:r>
          </w:p>
        </w:tc>
        <w:tc>
          <w:tcPr>
            <w:tcW w:w="68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804</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17"/>
              <w:textAlignment w:val="baseline"/>
              <w:rPr>
                <w:rFonts w:eastAsia="Times New Roman"/>
                <w:color w:val="000000"/>
                <w:lang w:val="sq-AL"/>
              </w:rPr>
            </w:pPr>
            <w:r w:rsidRPr="00A6284F">
              <w:rPr>
                <w:rFonts w:eastAsia="Times New Roman"/>
                <w:color w:val="000000"/>
                <w:lang w:val="sq-AL"/>
              </w:rPr>
              <w:t>2</w:t>
            </w: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016</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1" w:line="249" w:lineRule="exact"/>
              <w:ind w:left="346"/>
              <w:textAlignment w:val="baseline"/>
              <w:rPr>
                <w:rFonts w:eastAsia="Times New Roman"/>
                <w:color w:val="000000"/>
                <w:lang w:val="sq-AL"/>
              </w:rPr>
            </w:pPr>
            <w:r w:rsidRPr="00A6284F">
              <w:rPr>
                <w:rFonts w:eastAsia="Times New Roman"/>
                <w:color w:val="000000"/>
                <w:lang w:val="sq-AL"/>
              </w:rPr>
              <w:t>1</w:t>
            </w:r>
          </w:p>
        </w:tc>
        <w:tc>
          <w:tcPr>
            <w:tcW w:w="69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793</w:t>
            </w:r>
          </w:p>
        </w:tc>
      </w:tr>
      <w:tr w:rsidR="00AC51AA" w:rsidRPr="00A6284F" w:rsidTr="007E58F5">
        <w:trPr>
          <w:trHeight w:hRule="exact" w:val="388"/>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1" w:line="249" w:lineRule="exact"/>
              <w:ind w:left="111"/>
              <w:textAlignment w:val="baseline"/>
              <w:rPr>
                <w:rFonts w:eastAsia="Times New Roman"/>
                <w:color w:val="000000"/>
                <w:lang w:val="sq-AL"/>
              </w:rPr>
            </w:pPr>
            <w:r w:rsidRPr="00A6284F">
              <w:rPr>
                <w:rFonts w:eastAsia="Times New Roman"/>
                <w:color w:val="000000"/>
                <w:lang w:val="sq-AL"/>
              </w:rPr>
              <w:t xml:space="preserve">Prodhimi primar i naftës </w:t>
            </w:r>
            <w:proofErr w:type="spellStart"/>
            <w:r w:rsidRPr="00A6284F">
              <w:rPr>
                <w:rFonts w:eastAsia="Times New Roman"/>
                <w:color w:val="000000"/>
                <w:lang w:val="sq-AL"/>
              </w:rPr>
              <w:t>krud</w:t>
            </w:r>
            <w:proofErr w:type="spellEnd"/>
            <w:r w:rsidRPr="00A6284F">
              <w:rPr>
                <w:rFonts w:eastAsia="Times New Roman"/>
                <w:color w:val="000000"/>
                <w:lang w:val="sq-AL"/>
              </w:rPr>
              <w:t xml:space="preserve"> (mijë TOE)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4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c>
          <w:tcPr>
            <w:tcW w:w="45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9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1" w:line="249" w:lineRule="exact"/>
              <w:jc w:val="center"/>
              <w:textAlignment w:val="baseline"/>
              <w:rPr>
                <w:rFonts w:eastAsia="Times New Roman"/>
                <w:color w:val="000000"/>
                <w:lang w:val="sq-AL"/>
              </w:rPr>
            </w:pPr>
            <w:r w:rsidRPr="00A6284F">
              <w:rPr>
                <w:rFonts w:eastAsia="Times New Roman"/>
                <w:color w:val="000000"/>
                <w:lang w:val="sq-AL"/>
              </w:rPr>
              <w:t>0</w:t>
            </w:r>
          </w:p>
        </w:tc>
      </w:tr>
      <w:tr w:rsidR="00AC51AA" w:rsidRPr="00A6284F" w:rsidTr="007E58F5">
        <w:trPr>
          <w:trHeight w:hRule="exact" w:val="389"/>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ind w:left="111"/>
              <w:textAlignment w:val="baseline"/>
              <w:rPr>
                <w:rFonts w:eastAsia="Times New Roman"/>
                <w:color w:val="000000"/>
                <w:lang w:val="sq-AL"/>
              </w:rPr>
            </w:pPr>
            <w:r w:rsidRPr="00A6284F">
              <w:rPr>
                <w:rFonts w:eastAsia="Times New Roman"/>
                <w:color w:val="000000"/>
                <w:lang w:val="sq-AL"/>
              </w:rPr>
              <w:t>Prodhimi primar i lëndëve të ngurta (mijë TOE)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4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41"/>
              <w:textAlignment w:val="baseline"/>
              <w:rPr>
                <w:rFonts w:eastAsia="Times New Roman"/>
                <w:color w:val="000000"/>
                <w:lang w:val="sq-AL"/>
              </w:rPr>
            </w:pPr>
            <w:r w:rsidRPr="00A6284F">
              <w:rPr>
                <w:rFonts w:eastAsia="Times New Roman"/>
                <w:color w:val="000000"/>
                <w:lang w:val="sq-AL"/>
              </w:rPr>
              <w:t>1</w:t>
            </w: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248</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46"/>
              <w:textAlignment w:val="baseline"/>
              <w:rPr>
                <w:rFonts w:eastAsia="Times New Roman"/>
                <w:color w:val="000000"/>
                <w:lang w:val="sq-AL"/>
              </w:rPr>
            </w:pPr>
            <w:r w:rsidRPr="00A6284F">
              <w:rPr>
                <w:rFonts w:eastAsia="Times New Roman"/>
                <w:color w:val="000000"/>
                <w:lang w:val="sq-AL"/>
              </w:rPr>
              <w:t>1</w:t>
            </w: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532</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46"/>
              <w:textAlignment w:val="baseline"/>
              <w:rPr>
                <w:rFonts w:eastAsia="Times New Roman"/>
                <w:color w:val="000000"/>
                <w:lang w:val="sq-AL"/>
              </w:rPr>
            </w:pPr>
            <w:r w:rsidRPr="00A6284F">
              <w:rPr>
                <w:rFonts w:eastAsia="Times New Roman"/>
                <w:color w:val="000000"/>
                <w:lang w:val="sq-AL"/>
              </w:rPr>
              <w:t>1</w:t>
            </w: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342</w:t>
            </w:r>
          </w:p>
        </w:tc>
        <w:tc>
          <w:tcPr>
            <w:tcW w:w="45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46"/>
              <w:textAlignment w:val="baseline"/>
              <w:rPr>
                <w:rFonts w:eastAsia="Times New Roman"/>
                <w:color w:val="000000"/>
                <w:lang w:val="sq-AL"/>
              </w:rPr>
            </w:pPr>
            <w:r w:rsidRPr="00A6284F">
              <w:rPr>
                <w:rFonts w:eastAsia="Times New Roman"/>
                <w:color w:val="000000"/>
                <w:lang w:val="sq-AL"/>
              </w:rPr>
              <w:t>1</w:t>
            </w:r>
          </w:p>
        </w:tc>
        <w:tc>
          <w:tcPr>
            <w:tcW w:w="68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536</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17"/>
              <w:textAlignment w:val="baseline"/>
              <w:rPr>
                <w:rFonts w:eastAsia="Times New Roman"/>
                <w:color w:val="000000"/>
                <w:lang w:val="sq-AL"/>
              </w:rPr>
            </w:pPr>
            <w:r w:rsidRPr="00A6284F">
              <w:rPr>
                <w:rFonts w:eastAsia="Times New Roman"/>
                <w:color w:val="000000"/>
                <w:lang w:val="sq-AL"/>
              </w:rPr>
              <w:t>1</w:t>
            </w: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640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6" w:line="249" w:lineRule="exact"/>
              <w:ind w:left="346"/>
              <w:textAlignment w:val="baseline"/>
              <w:rPr>
                <w:rFonts w:eastAsia="Times New Roman"/>
                <w:color w:val="000000"/>
                <w:lang w:val="sq-AL"/>
              </w:rPr>
            </w:pPr>
            <w:r w:rsidRPr="00A6284F">
              <w:rPr>
                <w:rFonts w:eastAsia="Times New Roman"/>
                <w:color w:val="000000"/>
                <w:lang w:val="sq-AL"/>
              </w:rPr>
              <w:t>1</w:t>
            </w:r>
          </w:p>
        </w:tc>
        <w:tc>
          <w:tcPr>
            <w:tcW w:w="69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412</w:t>
            </w:r>
          </w:p>
        </w:tc>
      </w:tr>
      <w:tr w:rsidR="00AC51AA" w:rsidRPr="00A6284F" w:rsidTr="007E58F5">
        <w:trPr>
          <w:trHeight w:hRule="exact" w:val="394"/>
        </w:trPr>
        <w:tc>
          <w:tcPr>
            <w:tcW w:w="6461"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11"/>
              <w:textAlignment w:val="baseline"/>
              <w:rPr>
                <w:rFonts w:eastAsia="Times New Roman"/>
                <w:color w:val="000000"/>
                <w:lang w:val="sq-AL"/>
              </w:rPr>
            </w:pPr>
            <w:r w:rsidRPr="00A6284F">
              <w:rPr>
                <w:rFonts w:eastAsia="Times New Roman"/>
                <w:color w:val="000000"/>
                <w:lang w:val="sq-AL"/>
              </w:rPr>
              <w:t>Prodhimi primar i gazit (mijë TOE)</w:t>
            </w:r>
          </w:p>
        </w:tc>
        <w:tc>
          <w:tcPr>
            <w:tcW w:w="91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4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45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447"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9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r>
    </w:tbl>
    <w:p w:rsidR="00AC51AA" w:rsidRPr="00A6284F" w:rsidRDefault="00AC51AA" w:rsidP="00AC51AA">
      <w:pPr>
        <w:spacing w:after="345" w:line="20" w:lineRule="exact"/>
        <w:rPr>
          <w:lang w:val="sq-AL"/>
        </w:rPr>
      </w:pPr>
    </w:p>
    <w:p w:rsidR="00AC51AA" w:rsidRPr="00A6284F" w:rsidRDefault="00AC51AA" w:rsidP="00AC51AA">
      <w:pPr>
        <w:spacing w:after="345" w:line="20" w:lineRule="exact"/>
        <w:rPr>
          <w:lang w:val="sq-AL"/>
        </w:rPr>
        <w:sectPr w:rsidR="00AC51AA" w:rsidRPr="00A6284F">
          <w:pgSz w:w="16838" w:h="11909" w:orient="landscape"/>
          <w:pgMar w:top="1400" w:right="1248" w:bottom="573" w:left="1363"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39"/>
          <w:sz w:val="20"/>
          <w:lang w:val="sq-AL"/>
        </w:rPr>
      </w:pPr>
      <w:r w:rsidRPr="00A6284F">
        <w:rPr>
          <w:rFonts w:eastAsia="Times New Roman"/>
          <w:color w:val="000000"/>
          <w:spacing w:val="39"/>
          <w:sz w:val="20"/>
          <w:lang w:val="sq-AL"/>
        </w:rPr>
        <w:lastRenderedPageBreak/>
        <w:t>99</w:t>
      </w:r>
    </w:p>
    <w:p w:rsidR="00AC51AA" w:rsidRPr="00A6284F" w:rsidRDefault="00AC51AA" w:rsidP="00AC51AA">
      <w:pPr>
        <w:rPr>
          <w:lang w:val="sq-AL"/>
        </w:rPr>
        <w:sectPr w:rsidR="00AC51AA" w:rsidRPr="00A6284F">
          <w:type w:val="continuous"/>
          <w:pgSz w:w="16838" w:h="11909" w:orient="landscape"/>
          <w:pgMar w:top="1400" w:right="3739" w:bottom="573" w:left="3739" w:header="720" w:footer="720" w:gutter="0"/>
          <w:cols w:space="720"/>
        </w:sectPr>
      </w:pPr>
    </w:p>
    <w:p w:rsidR="00AC51AA" w:rsidRPr="00A6284F" w:rsidRDefault="00AC51AA" w:rsidP="00AC51AA">
      <w:pPr>
        <w:spacing w:before="16" w:line="20" w:lineRule="exact"/>
        <w:rPr>
          <w:lang w:val="sq-AL"/>
        </w:rPr>
      </w:pPr>
    </w:p>
    <w:tbl>
      <w:tblPr>
        <w:tblW w:w="0" w:type="auto"/>
        <w:tblInd w:w="14" w:type="dxa"/>
        <w:tblLayout w:type="fixed"/>
        <w:tblCellMar>
          <w:left w:w="0" w:type="dxa"/>
          <w:right w:w="0" w:type="dxa"/>
        </w:tblCellMar>
        <w:tblLook w:val="0000" w:firstRow="0" w:lastRow="0" w:firstColumn="0" w:lastColumn="0" w:noHBand="0" w:noVBand="0"/>
      </w:tblPr>
      <w:tblGrid>
        <w:gridCol w:w="6475"/>
        <w:gridCol w:w="907"/>
        <w:gridCol w:w="452"/>
        <w:gridCol w:w="681"/>
        <w:gridCol w:w="456"/>
        <w:gridCol w:w="677"/>
        <w:gridCol w:w="456"/>
        <w:gridCol w:w="677"/>
        <w:gridCol w:w="461"/>
        <w:gridCol w:w="676"/>
        <w:gridCol w:w="456"/>
        <w:gridCol w:w="677"/>
        <w:gridCol w:w="456"/>
        <w:gridCol w:w="691"/>
      </w:tblGrid>
      <w:tr w:rsidR="00AC51AA" w:rsidRPr="00A6284F" w:rsidTr="007E58F5">
        <w:trPr>
          <w:trHeight w:hRule="exact" w:val="398"/>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06" w:line="249" w:lineRule="exact"/>
              <w:ind w:left="110"/>
              <w:textAlignment w:val="baseline"/>
              <w:rPr>
                <w:rFonts w:eastAsia="Times New Roman"/>
                <w:color w:val="000000"/>
                <w:lang w:val="sq-AL"/>
              </w:rPr>
            </w:pPr>
            <w:r w:rsidRPr="00A6284F">
              <w:rPr>
                <w:rFonts w:eastAsia="Times New Roman"/>
                <w:color w:val="000000"/>
                <w:lang w:val="sq-AL"/>
              </w:rPr>
              <w:t>Importet neto i të gjitha produkteve të energjisë (mijë TOE)</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52"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8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581</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505</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603</w:t>
            </w:r>
          </w:p>
        </w:tc>
        <w:tc>
          <w:tcPr>
            <w:tcW w:w="46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ind w:right="128"/>
              <w:jc w:val="right"/>
              <w:textAlignment w:val="baseline"/>
              <w:rPr>
                <w:rFonts w:eastAsia="Times New Roman"/>
                <w:color w:val="000000"/>
                <w:lang w:val="sq-AL"/>
              </w:rPr>
            </w:pPr>
            <w:r w:rsidRPr="00A6284F">
              <w:rPr>
                <w:rFonts w:eastAsia="Times New Roman"/>
                <w:color w:val="000000"/>
                <w:lang w:val="sq-AL"/>
              </w:rPr>
              <w:t>697</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jc w:val="center"/>
              <w:textAlignment w:val="baseline"/>
              <w:rPr>
                <w:rFonts w:eastAsia="Times New Roman"/>
                <w:color w:val="000000"/>
                <w:lang w:val="sq-AL"/>
              </w:rPr>
            </w:pPr>
            <w:r w:rsidRPr="00A6284F">
              <w:rPr>
                <w:rFonts w:eastAsia="Times New Roman"/>
                <w:color w:val="000000"/>
                <w:lang w:val="sq-AL"/>
              </w:rPr>
              <w:t>638</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textAlignment w:val="baseline"/>
              <w:rPr>
                <w:rFonts w:eastAsia="Times New Roman"/>
                <w:color w:val="000000"/>
                <w:sz w:val="24"/>
                <w:lang w:val="sq-AL"/>
              </w:rPr>
            </w:pP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06" w:line="249" w:lineRule="exact"/>
              <w:ind w:right="143"/>
              <w:jc w:val="right"/>
              <w:textAlignment w:val="baseline"/>
              <w:rPr>
                <w:rFonts w:eastAsia="Times New Roman"/>
                <w:color w:val="000000"/>
                <w:lang w:val="sq-AL"/>
              </w:rPr>
            </w:pPr>
            <w:r w:rsidRPr="00A6284F">
              <w:rPr>
                <w:rFonts w:eastAsia="Times New Roman"/>
                <w:color w:val="000000"/>
                <w:lang w:val="sq-AL"/>
              </w:rPr>
              <w:t>769</w:t>
            </w:r>
          </w:p>
        </w:tc>
      </w:tr>
      <w:tr w:rsidR="00AC51AA" w:rsidRPr="00A6284F" w:rsidTr="007E58F5">
        <w:trPr>
          <w:trHeight w:hRule="exact" w:val="38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0" w:line="249" w:lineRule="exact"/>
              <w:ind w:left="110"/>
              <w:textAlignment w:val="baseline"/>
              <w:rPr>
                <w:rFonts w:eastAsia="Times New Roman"/>
                <w:color w:val="000000"/>
                <w:lang w:val="sq-AL"/>
              </w:rPr>
            </w:pPr>
            <w:r w:rsidRPr="00A6284F">
              <w:rPr>
                <w:rFonts w:eastAsia="Times New Roman"/>
                <w:color w:val="000000"/>
                <w:lang w:val="sq-AL"/>
              </w:rPr>
              <w:t>Konsumi bruto i energjisë brenda vendit (mijë TOE)</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52"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1</w:t>
            </w:r>
          </w:p>
        </w:tc>
        <w:tc>
          <w:tcPr>
            <w:tcW w:w="68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970</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2</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312</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2</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217</w:t>
            </w:r>
          </w:p>
        </w:tc>
        <w:tc>
          <w:tcPr>
            <w:tcW w:w="46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2</w:t>
            </w: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ind w:right="128"/>
              <w:jc w:val="right"/>
              <w:textAlignment w:val="baseline"/>
              <w:rPr>
                <w:rFonts w:eastAsia="Times New Roman"/>
                <w:color w:val="000000"/>
                <w:lang w:val="sq-AL"/>
              </w:rPr>
            </w:pPr>
            <w:r w:rsidRPr="00A6284F">
              <w:rPr>
                <w:rFonts w:eastAsia="Times New Roman"/>
                <w:color w:val="000000"/>
                <w:lang w:val="sq-AL"/>
              </w:rPr>
              <w:t>524</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2</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jc w:val="center"/>
              <w:textAlignment w:val="baseline"/>
              <w:rPr>
                <w:rFonts w:eastAsia="Times New Roman"/>
                <w:color w:val="000000"/>
                <w:lang w:val="sq-AL"/>
              </w:rPr>
            </w:pPr>
            <w:r w:rsidRPr="00A6284F">
              <w:rPr>
                <w:rFonts w:eastAsia="Times New Roman"/>
                <w:color w:val="000000"/>
                <w:lang w:val="sq-AL"/>
              </w:rPr>
              <w:t>704</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10" w:line="249" w:lineRule="exact"/>
              <w:jc w:val="right"/>
              <w:textAlignment w:val="baseline"/>
              <w:rPr>
                <w:rFonts w:eastAsia="Times New Roman"/>
                <w:color w:val="000000"/>
                <w:lang w:val="sq-AL"/>
              </w:rPr>
            </w:pPr>
            <w:r w:rsidRPr="00A6284F">
              <w:rPr>
                <w:rFonts w:eastAsia="Times New Roman"/>
                <w:color w:val="000000"/>
                <w:lang w:val="sq-AL"/>
              </w:rPr>
              <w:t>2</w:t>
            </w: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10" w:line="249" w:lineRule="exact"/>
              <w:ind w:right="143"/>
              <w:jc w:val="right"/>
              <w:textAlignment w:val="baseline"/>
              <w:rPr>
                <w:rFonts w:eastAsia="Times New Roman"/>
                <w:color w:val="000000"/>
                <w:lang w:val="sq-AL"/>
              </w:rPr>
            </w:pPr>
            <w:r w:rsidRPr="00A6284F">
              <w:rPr>
                <w:rFonts w:eastAsia="Times New Roman"/>
                <w:color w:val="000000"/>
                <w:lang w:val="sq-AL"/>
              </w:rPr>
              <w:t>569</w:t>
            </w:r>
          </w:p>
        </w:tc>
      </w:tr>
      <w:tr w:rsidR="00AC51AA" w:rsidRPr="00A6284F" w:rsidTr="007E58F5">
        <w:trPr>
          <w:trHeight w:hRule="exact" w:val="399"/>
        </w:trPr>
        <w:tc>
          <w:tcPr>
            <w:tcW w:w="6475"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ind w:left="110"/>
              <w:textAlignment w:val="baseline"/>
              <w:rPr>
                <w:rFonts w:eastAsia="Times New Roman"/>
                <w:color w:val="000000"/>
                <w:lang w:val="sq-AL"/>
              </w:rPr>
            </w:pPr>
            <w:r w:rsidRPr="00A6284F">
              <w:rPr>
                <w:rFonts w:eastAsia="Times New Roman"/>
                <w:color w:val="000000"/>
                <w:lang w:val="sq-AL"/>
              </w:rPr>
              <w:t>Gjenerimi bruto i energjisë elektrike (</w:t>
            </w:r>
            <w:proofErr w:type="spellStart"/>
            <w:r w:rsidRPr="00A6284F">
              <w:rPr>
                <w:rFonts w:eastAsia="Times New Roman"/>
                <w:color w:val="000000"/>
                <w:lang w:val="sq-AL"/>
              </w:rPr>
              <w:t>GWh</w:t>
            </w:r>
            <w:proofErr w:type="spellEnd"/>
            <w:r w:rsidRPr="00A6284F">
              <w:rPr>
                <w:rFonts w:eastAsia="Times New Roman"/>
                <w:color w:val="000000"/>
                <w:lang w:val="sq-AL"/>
              </w:rPr>
              <w:t>)</w:t>
            </w:r>
          </w:p>
        </w:tc>
        <w:tc>
          <w:tcPr>
            <w:tcW w:w="907"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452"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4</w:t>
            </w:r>
          </w:p>
        </w:tc>
        <w:tc>
          <w:tcPr>
            <w:tcW w:w="68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434</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6</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525</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5</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436</w:t>
            </w:r>
          </w:p>
        </w:tc>
        <w:tc>
          <w:tcPr>
            <w:tcW w:w="461"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6</w:t>
            </w:r>
          </w:p>
        </w:tc>
        <w:tc>
          <w:tcPr>
            <w:tcW w:w="676"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ind w:right="128"/>
              <w:jc w:val="right"/>
              <w:textAlignment w:val="baseline"/>
              <w:rPr>
                <w:rFonts w:eastAsia="Times New Roman"/>
                <w:color w:val="000000"/>
                <w:lang w:val="sq-AL"/>
              </w:rPr>
            </w:pPr>
            <w:r w:rsidRPr="00A6284F">
              <w:rPr>
                <w:rFonts w:eastAsia="Times New Roman"/>
                <w:color w:val="000000"/>
                <w:lang w:val="sq-AL"/>
              </w:rPr>
              <w:t>119</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5</w:t>
            </w:r>
          </w:p>
        </w:tc>
        <w:tc>
          <w:tcPr>
            <w:tcW w:w="677"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981</w:t>
            </w:r>
          </w:p>
        </w:tc>
        <w:tc>
          <w:tcPr>
            <w:tcW w:w="456" w:type="dxa"/>
            <w:tcBorders>
              <w:top w:val="single" w:sz="7" w:space="0" w:color="000000"/>
              <w:left w:val="single" w:sz="7" w:space="0" w:color="000000"/>
              <w:bottom w:val="single" w:sz="7" w:space="0" w:color="000000"/>
              <w:right w:val="none" w:sz="0" w:space="0" w:color="020000"/>
            </w:tcBorders>
          </w:tcPr>
          <w:p w:rsidR="00AC51AA" w:rsidRPr="00A6284F" w:rsidRDefault="00AC51AA" w:rsidP="007E58F5">
            <w:pPr>
              <w:spacing w:after="125" w:line="249" w:lineRule="exact"/>
              <w:jc w:val="right"/>
              <w:textAlignment w:val="baseline"/>
              <w:rPr>
                <w:rFonts w:eastAsia="Times New Roman"/>
                <w:color w:val="000000"/>
                <w:lang w:val="sq-AL"/>
              </w:rPr>
            </w:pPr>
            <w:r w:rsidRPr="00A6284F">
              <w:rPr>
                <w:rFonts w:eastAsia="Times New Roman"/>
                <w:color w:val="000000"/>
                <w:lang w:val="sq-AL"/>
              </w:rPr>
              <w:t>5</w:t>
            </w:r>
          </w:p>
        </w:tc>
        <w:tc>
          <w:tcPr>
            <w:tcW w:w="691" w:type="dxa"/>
            <w:tcBorders>
              <w:top w:val="single" w:sz="7" w:space="0" w:color="000000"/>
              <w:left w:val="none" w:sz="0" w:space="0" w:color="020000"/>
              <w:bottom w:val="single" w:sz="7" w:space="0" w:color="000000"/>
              <w:right w:val="single" w:sz="7" w:space="0" w:color="000000"/>
            </w:tcBorders>
          </w:tcPr>
          <w:p w:rsidR="00AC51AA" w:rsidRPr="00A6284F" w:rsidRDefault="00AC51AA" w:rsidP="007E58F5">
            <w:pPr>
              <w:spacing w:after="125" w:line="249" w:lineRule="exact"/>
              <w:ind w:right="143"/>
              <w:jc w:val="right"/>
              <w:textAlignment w:val="baseline"/>
              <w:rPr>
                <w:rFonts w:eastAsia="Times New Roman"/>
                <w:color w:val="000000"/>
                <w:lang w:val="sq-AL"/>
              </w:rPr>
            </w:pPr>
            <w:r w:rsidRPr="00A6284F">
              <w:rPr>
                <w:rFonts w:eastAsia="Times New Roman"/>
                <w:color w:val="000000"/>
                <w:lang w:val="sq-AL"/>
              </w:rPr>
              <w:t>918</w:t>
            </w:r>
          </w:p>
        </w:tc>
      </w:tr>
    </w:tbl>
    <w:p w:rsidR="00AC51AA" w:rsidRPr="00A6284F" w:rsidRDefault="00AC51AA" w:rsidP="00AC51AA">
      <w:pPr>
        <w:spacing w:after="335" w:line="20" w:lineRule="exact"/>
        <w:rPr>
          <w:lang w:val="sq-AL"/>
        </w:rPr>
      </w:pPr>
    </w:p>
    <w:tbl>
      <w:tblPr>
        <w:tblW w:w="0" w:type="auto"/>
        <w:tblInd w:w="18" w:type="dxa"/>
        <w:tblLayout w:type="fixed"/>
        <w:tblCellMar>
          <w:left w:w="0" w:type="dxa"/>
          <w:right w:w="0" w:type="dxa"/>
        </w:tblCellMar>
        <w:tblLook w:val="0000" w:firstRow="0" w:lastRow="0" w:firstColumn="0" w:lastColumn="0" w:noHBand="0" w:noVBand="0"/>
      </w:tblPr>
      <w:tblGrid>
        <w:gridCol w:w="6462"/>
        <w:gridCol w:w="916"/>
        <w:gridCol w:w="1132"/>
        <w:gridCol w:w="1133"/>
        <w:gridCol w:w="1133"/>
        <w:gridCol w:w="1138"/>
        <w:gridCol w:w="1132"/>
        <w:gridCol w:w="1143"/>
      </w:tblGrid>
      <w:tr w:rsidR="00AC51AA" w:rsidRPr="00A6284F" w:rsidTr="007E58F5">
        <w:trPr>
          <w:trHeight w:hRule="exact" w:val="394"/>
        </w:trPr>
        <w:tc>
          <w:tcPr>
            <w:tcW w:w="6462" w:type="dxa"/>
            <w:tcBorders>
              <w:top w:val="none" w:sz="0" w:space="0" w:color="020000"/>
              <w:left w:val="none" w:sz="0" w:space="0" w:color="02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b/>
                <w:color w:val="000000"/>
                <w:lang w:val="sq-AL"/>
              </w:rPr>
            </w:pPr>
            <w:r w:rsidRPr="00A6284F">
              <w:rPr>
                <w:rFonts w:eastAsia="Times New Roman"/>
                <w:b/>
                <w:color w:val="000000"/>
                <w:lang w:val="sq-AL"/>
              </w:rPr>
              <w:t>Bujqësia</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Shënim</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2006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5" w:line="249" w:lineRule="exact"/>
              <w:jc w:val="center"/>
              <w:textAlignment w:val="baseline"/>
              <w:rPr>
                <w:rFonts w:eastAsia="Times New Roman"/>
                <w:color w:val="000000"/>
                <w:lang w:val="sq-AL"/>
              </w:rPr>
            </w:pPr>
            <w:r w:rsidRPr="00A6284F">
              <w:rPr>
                <w:rFonts w:eastAsia="Times New Roman"/>
                <w:color w:val="000000"/>
                <w:lang w:val="sq-AL"/>
              </w:rPr>
              <w:t>2017</w:t>
            </w:r>
          </w:p>
        </w:tc>
      </w:tr>
      <w:tr w:rsidR="00AC51AA" w:rsidRPr="00A6284F" w:rsidTr="007E58F5">
        <w:trPr>
          <w:trHeight w:hRule="exact" w:val="63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50" w:lineRule="exact"/>
              <w:ind w:left="108" w:right="144"/>
              <w:jc w:val="both"/>
              <w:textAlignment w:val="baseline"/>
              <w:rPr>
                <w:rFonts w:eastAsia="Times New Roman"/>
                <w:color w:val="000000"/>
                <w:lang w:val="sq-AL"/>
              </w:rPr>
            </w:pPr>
            <w:r w:rsidRPr="00A6284F">
              <w:rPr>
                <w:rFonts w:eastAsia="Times New Roman"/>
                <w:color w:val="000000"/>
                <w:lang w:val="sq-AL"/>
              </w:rPr>
              <w:t>Indeksi i vëllimit të prodhimit bujqësor për mallra e shërbime (me çmime të prodhuesit) (2010 = 100)</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102.7</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117.6</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93.3</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103.7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70"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ind w:left="106"/>
              <w:textAlignment w:val="baseline"/>
              <w:rPr>
                <w:rFonts w:eastAsia="Times New Roman"/>
                <w:color w:val="000000"/>
                <w:lang w:val="sq-AL"/>
              </w:rPr>
            </w:pPr>
            <w:r w:rsidRPr="00A6284F">
              <w:rPr>
                <w:rFonts w:eastAsia="Times New Roman"/>
                <w:color w:val="000000"/>
                <w:lang w:val="sq-AL"/>
              </w:rPr>
              <w:t>Sipërfaqe bujqësore e shfrytëzuar (mijë hektarë)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4) 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ind w:right="416"/>
              <w:jc w:val="right"/>
              <w:textAlignment w:val="baseline"/>
              <w:rPr>
                <w:rFonts w:eastAsia="Times New Roman"/>
                <w:color w:val="000000"/>
                <w:lang w:val="sq-AL"/>
              </w:rPr>
            </w:pPr>
            <w:r w:rsidRPr="00A6284F">
              <w:rPr>
                <w:rFonts w:eastAsia="Times New Roman"/>
                <w:color w:val="000000"/>
                <w:lang w:val="sq-AL"/>
              </w:rPr>
              <w:t>401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442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416e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ind w:right="416"/>
              <w:jc w:val="right"/>
              <w:textAlignment w:val="baseline"/>
              <w:rPr>
                <w:rFonts w:eastAsia="Times New Roman"/>
                <w:color w:val="000000"/>
                <w:lang w:val="sq-AL"/>
              </w:rPr>
            </w:pPr>
            <w:r w:rsidRPr="00A6284F">
              <w:rPr>
                <w:rFonts w:eastAsia="Times New Roman"/>
                <w:color w:val="000000"/>
                <w:lang w:val="sq-AL"/>
              </w:rPr>
              <w:t>411</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417</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1" w:line="249" w:lineRule="exact"/>
              <w:jc w:val="center"/>
              <w:textAlignment w:val="baseline"/>
              <w:rPr>
                <w:rFonts w:eastAsia="Times New Roman"/>
                <w:color w:val="000000"/>
                <w:lang w:val="sq-AL"/>
              </w:rPr>
            </w:pPr>
            <w:r w:rsidRPr="00A6284F">
              <w:rPr>
                <w:rFonts w:eastAsia="Times New Roman"/>
                <w:color w:val="000000"/>
                <w:lang w:val="sq-AL"/>
              </w:rPr>
              <w:t>417</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Shifrat e bagëtisë: kafshë të gjalla</w:t>
            </w:r>
            <w:r w:rsidR="00A6284F">
              <w:rPr>
                <w:rFonts w:eastAsia="Times New Roman"/>
                <w:color w:val="000000"/>
                <w:lang w:val="sq-AL"/>
              </w:rPr>
              <w:t xml:space="preserve"> - </w:t>
            </w:r>
            <w:r w:rsidRPr="00A6284F">
              <w:rPr>
                <w:rFonts w:eastAsia="Times New Roman"/>
                <w:color w:val="000000"/>
                <w:lang w:val="sq-AL"/>
              </w:rPr>
              <w:t>gjedh (mijë koka, fundi i</w:t>
            </w:r>
            <w:r w:rsidR="00A6284F">
              <w:rPr>
                <w:rFonts w:eastAsia="Times New Roman"/>
                <w:color w:val="000000"/>
                <w:lang w:val="sq-AL"/>
              </w:rPr>
              <w:t xml:space="preserve"> </w:t>
            </w:r>
            <w:r w:rsidRPr="00A6284F">
              <w:rPr>
                <w:rFonts w:eastAsia="Times New Roman"/>
                <w:color w:val="000000"/>
                <w:lang w:val="sq-AL"/>
              </w:rPr>
              <w:t>periudhës)</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5) 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416"/>
              <w:jc w:val="right"/>
              <w:textAlignment w:val="baseline"/>
              <w:rPr>
                <w:rFonts w:eastAsia="Times New Roman"/>
                <w:color w:val="000000"/>
                <w:lang w:val="sq-AL"/>
              </w:rPr>
            </w:pPr>
            <w:r w:rsidRPr="00A6284F">
              <w:rPr>
                <w:rFonts w:eastAsia="Times New Roman"/>
                <w:color w:val="000000"/>
                <w:lang w:val="sq-AL"/>
              </w:rPr>
              <w:t>382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321</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270e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416"/>
              <w:jc w:val="right"/>
              <w:textAlignment w:val="baseline"/>
              <w:rPr>
                <w:rFonts w:eastAsia="Times New Roman"/>
                <w:color w:val="000000"/>
                <w:lang w:val="sq-AL"/>
              </w:rPr>
            </w:pPr>
            <w:r w:rsidRPr="00A6284F">
              <w:rPr>
                <w:rFonts w:eastAsia="Times New Roman"/>
                <w:color w:val="000000"/>
                <w:lang w:val="sq-AL"/>
              </w:rPr>
              <w:t>259</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265</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260</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left="106"/>
              <w:textAlignment w:val="baseline"/>
              <w:rPr>
                <w:rFonts w:eastAsia="Times New Roman"/>
                <w:color w:val="000000"/>
                <w:lang w:val="sq-AL"/>
              </w:rPr>
            </w:pPr>
            <w:r w:rsidRPr="00A6284F">
              <w:rPr>
                <w:rFonts w:eastAsia="Times New Roman"/>
                <w:color w:val="000000"/>
                <w:lang w:val="sq-AL"/>
              </w:rPr>
              <w:t>Shifrat e bagëtisë: kafshë të gjalla</w:t>
            </w:r>
            <w:r w:rsidR="00A6284F">
              <w:rPr>
                <w:rFonts w:eastAsia="Times New Roman"/>
                <w:color w:val="000000"/>
                <w:lang w:val="sq-AL"/>
              </w:rPr>
              <w:t xml:space="preserve"> - </w:t>
            </w:r>
            <w:r w:rsidRPr="00A6284F">
              <w:rPr>
                <w:rFonts w:eastAsia="Times New Roman"/>
                <w:color w:val="000000"/>
                <w:lang w:val="sq-AL"/>
              </w:rPr>
              <w:t>derr (mijë koka, fundi i periudhës)</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5) 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416"/>
              <w:jc w:val="right"/>
              <w:textAlignment w:val="baseline"/>
              <w:rPr>
                <w:rFonts w:eastAsia="Times New Roman"/>
                <w:color w:val="000000"/>
                <w:lang w:val="sq-AL"/>
              </w:rPr>
            </w:pPr>
            <w:r w:rsidRPr="00A6284F">
              <w:rPr>
                <w:rFonts w:eastAsia="Times New Roman"/>
                <w:color w:val="000000"/>
                <w:lang w:val="sq-AL"/>
              </w:rPr>
              <w:t>68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49</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46e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ind w:right="416"/>
              <w:jc w:val="right"/>
              <w:textAlignment w:val="baseline"/>
              <w:rPr>
                <w:rFonts w:eastAsia="Times New Roman"/>
                <w:color w:val="000000"/>
                <w:lang w:val="sq-AL"/>
              </w:rPr>
            </w:pPr>
            <w:r w:rsidRPr="00A6284F">
              <w:rPr>
                <w:rFonts w:eastAsia="Times New Roman"/>
                <w:color w:val="000000"/>
                <w:lang w:val="sq-AL"/>
              </w:rPr>
              <w:t>44</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0" w:line="249" w:lineRule="exact"/>
              <w:jc w:val="center"/>
              <w:textAlignment w:val="baseline"/>
              <w:rPr>
                <w:rFonts w:eastAsia="Times New Roman"/>
                <w:color w:val="000000"/>
                <w:lang w:val="sq-AL"/>
              </w:rPr>
            </w:pPr>
            <w:r w:rsidRPr="00A6284F">
              <w:rPr>
                <w:rFonts w:eastAsia="Times New Roman"/>
                <w:color w:val="000000"/>
                <w:lang w:val="sq-AL"/>
              </w:rPr>
              <w:t>41</w:t>
            </w:r>
          </w:p>
        </w:tc>
      </w:tr>
      <w:tr w:rsidR="00AC51AA" w:rsidRPr="00A6284F" w:rsidTr="007E58F5">
        <w:trPr>
          <w:trHeight w:hRule="exact" w:val="63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ind w:left="108" w:right="468"/>
              <w:textAlignment w:val="baseline"/>
              <w:rPr>
                <w:rFonts w:eastAsia="Times New Roman"/>
                <w:color w:val="000000"/>
                <w:lang w:val="sq-AL"/>
              </w:rPr>
            </w:pPr>
            <w:r w:rsidRPr="00A6284F">
              <w:rPr>
                <w:rFonts w:eastAsia="Times New Roman"/>
                <w:color w:val="000000"/>
                <w:lang w:val="sq-AL"/>
              </w:rPr>
              <w:t>Shifrat e bagëtisë: dele dhe dhi të</w:t>
            </w:r>
            <w:r w:rsidR="00B178FD">
              <w:rPr>
                <w:rFonts w:eastAsia="Times New Roman"/>
                <w:color w:val="000000"/>
                <w:lang w:val="sq-AL"/>
              </w:rPr>
              <w:t xml:space="preserve"> </w:t>
            </w:r>
            <w:r w:rsidRPr="00A6284F">
              <w:rPr>
                <w:rFonts w:eastAsia="Times New Roman"/>
                <w:color w:val="000000"/>
                <w:lang w:val="sq-AL"/>
              </w:rPr>
              <w:t>gjalla (mijë koka, fundi i</w:t>
            </w:r>
            <w:r w:rsidR="00B178FD">
              <w:rPr>
                <w:rFonts w:eastAsia="Times New Roman"/>
                <w:color w:val="000000"/>
                <w:lang w:val="sq-AL"/>
              </w:rPr>
              <w:t xml:space="preserve"> </w:t>
            </w:r>
            <w:r w:rsidRPr="00A6284F">
              <w:rPr>
                <w:rFonts w:eastAsia="Times New Roman"/>
                <w:color w:val="000000"/>
                <w:lang w:val="sq-AL"/>
              </w:rPr>
              <w:t>periudhës)</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5) 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ind w:right="416"/>
              <w:jc w:val="right"/>
              <w:textAlignment w:val="baseline"/>
              <w:rPr>
                <w:rFonts w:eastAsia="Times New Roman"/>
                <w:color w:val="000000"/>
                <w:lang w:val="sq-AL"/>
              </w:rPr>
            </w:pPr>
            <w:r w:rsidRPr="00A6284F">
              <w:rPr>
                <w:rFonts w:eastAsia="Times New Roman"/>
                <w:color w:val="000000"/>
                <w:lang w:val="sq-AL"/>
              </w:rPr>
              <w:t>113</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160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234</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ind w:right="416"/>
              <w:jc w:val="right"/>
              <w:textAlignment w:val="baseline"/>
              <w:rPr>
                <w:rFonts w:eastAsia="Times New Roman"/>
                <w:color w:val="000000"/>
                <w:lang w:val="sq-AL"/>
              </w:rPr>
            </w:pPr>
            <w:r w:rsidRPr="00A6284F">
              <w:rPr>
                <w:rFonts w:eastAsia="Times New Roman"/>
                <w:color w:val="000000"/>
                <w:lang w:val="sq-AL"/>
              </w:rPr>
              <w:t>224</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212</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365" w:line="249" w:lineRule="exact"/>
              <w:jc w:val="center"/>
              <w:textAlignment w:val="baseline"/>
              <w:rPr>
                <w:rFonts w:eastAsia="Times New Roman"/>
                <w:color w:val="000000"/>
                <w:lang w:val="sq-AL"/>
              </w:rPr>
            </w:pPr>
            <w:r w:rsidRPr="00A6284F">
              <w:rPr>
                <w:rFonts w:eastAsia="Times New Roman"/>
                <w:color w:val="000000"/>
                <w:lang w:val="sq-AL"/>
              </w:rPr>
              <w:t>211</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abs>
                <w:tab w:val="left" w:pos="4687"/>
              </w:tabs>
              <w:spacing w:after="116" w:line="249" w:lineRule="exact"/>
              <w:ind w:left="106"/>
              <w:textAlignment w:val="baseline"/>
              <w:rPr>
                <w:rFonts w:eastAsia="Times New Roman"/>
                <w:color w:val="000000"/>
                <w:lang w:val="sq-AL"/>
              </w:rPr>
            </w:pPr>
            <w:r w:rsidRPr="00A6284F">
              <w:rPr>
                <w:rFonts w:eastAsia="Times New Roman"/>
                <w:color w:val="000000"/>
                <w:lang w:val="sq-AL"/>
              </w:rPr>
              <w:t>Qumësht i gjallë në dispozicion në</w:t>
            </w:r>
            <w:r w:rsidR="00B178FD">
              <w:rPr>
                <w:rFonts w:eastAsia="Times New Roman"/>
                <w:color w:val="000000"/>
                <w:lang w:val="sq-AL"/>
              </w:rPr>
              <w:t xml:space="preserve"> </w:t>
            </w:r>
            <w:r w:rsidRPr="00A6284F">
              <w:rPr>
                <w:rFonts w:eastAsia="Times New Roman"/>
                <w:color w:val="000000"/>
                <w:lang w:val="sq-AL"/>
              </w:rPr>
              <w:t>ferma (mijë tonë)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376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6" w:line="249" w:lineRule="exact"/>
              <w:jc w:val="center"/>
              <w:textAlignment w:val="baseline"/>
              <w:rPr>
                <w:rFonts w:eastAsia="Times New Roman"/>
                <w:color w:val="000000"/>
                <w:lang w:val="sq-AL"/>
              </w:rPr>
            </w:pPr>
            <w:r w:rsidRPr="00A6284F">
              <w:rPr>
                <w:rFonts w:eastAsia="Times New Roman"/>
                <w:color w:val="000000"/>
                <w:lang w:val="sq-AL"/>
              </w:rPr>
              <w:t>332</w:t>
            </w:r>
          </w:p>
        </w:tc>
      </w:tr>
      <w:tr w:rsidR="00AC51AA" w:rsidRPr="00A6284F" w:rsidTr="007E58F5">
        <w:trPr>
          <w:trHeight w:hRule="exact" w:val="388"/>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color w:val="000000"/>
                <w:lang w:val="sq-AL"/>
              </w:rPr>
            </w:pPr>
            <w:r w:rsidRPr="00A6284F">
              <w:rPr>
                <w:rFonts w:eastAsia="Times New Roman"/>
                <w:color w:val="000000"/>
                <w:lang w:val="sq-AL"/>
              </w:rPr>
              <w:t>Prodhimi i të vjelave: drithëra(përfshirë orizin) (mijë tonë)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7)</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right="416"/>
              <w:jc w:val="right"/>
              <w:textAlignment w:val="baseline"/>
              <w:rPr>
                <w:rFonts w:eastAsia="Times New Roman"/>
                <w:color w:val="000000"/>
                <w:lang w:val="sq-AL"/>
              </w:rPr>
            </w:pPr>
            <w:r w:rsidRPr="00A6284F">
              <w:rPr>
                <w:rFonts w:eastAsia="Times New Roman"/>
                <w:color w:val="000000"/>
                <w:lang w:val="sq-AL"/>
              </w:rPr>
              <w:t>392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540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465e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right="416"/>
              <w:jc w:val="right"/>
              <w:textAlignment w:val="baseline"/>
              <w:rPr>
                <w:rFonts w:eastAsia="Times New Roman"/>
                <w:color w:val="000000"/>
                <w:lang w:val="sq-AL"/>
              </w:rPr>
            </w:pPr>
            <w:r w:rsidRPr="00A6284F">
              <w:rPr>
                <w:rFonts w:eastAsia="Times New Roman"/>
                <w:color w:val="000000"/>
                <w:lang w:val="sq-AL"/>
              </w:rPr>
              <w:t>444</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563</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478</w:t>
            </w:r>
          </w:p>
        </w:tc>
      </w:tr>
      <w:tr w:rsidR="00AC51AA" w:rsidRPr="00A6284F" w:rsidTr="007E58F5">
        <w:trPr>
          <w:trHeight w:hRule="exact" w:val="389"/>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ind w:left="106"/>
              <w:textAlignment w:val="baseline"/>
              <w:rPr>
                <w:rFonts w:eastAsia="Times New Roman"/>
                <w:color w:val="000000"/>
                <w:lang w:val="sq-AL"/>
              </w:rPr>
            </w:pPr>
            <w:r w:rsidRPr="00A6284F">
              <w:rPr>
                <w:rFonts w:eastAsia="Times New Roman"/>
                <w:color w:val="000000"/>
                <w:lang w:val="sq-AL"/>
              </w:rPr>
              <w:t>Prodhimi i të vjelave: panxharsheqer</w:t>
            </w:r>
            <w:r w:rsidR="00B178FD">
              <w:rPr>
                <w:rFonts w:eastAsia="Times New Roman"/>
                <w:color w:val="000000"/>
                <w:lang w:val="sq-AL"/>
              </w:rPr>
              <w:t xml:space="preserve">i </w:t>
            </w:r>
            <w:r w:rsidRPr="00A6284F">
              <w:rPr>
                <w:rFonts w:eastAsia="Times New Roman"/>
                <w:color w:val="000000"/>
                <w:lang w:val="sq-AL"/>
              </w:rPr>
              <w:t>(mijë tonë)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textAlignment w:val="baseline"/>
              <w:rPr>
                <w:rFonts w:eastAsia="Times New Roman"/>
                <w:color w:val="000000"/>
                <w:sz w:val="24"/>
                <w:lang w:val="sq-AL"/>
              </w:rPr>
            </w:pP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0</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15" w:line="249" w:lineRule="exact"/>
              <w:jc w:val="center"/>
              <w:textAlignment w:val="baseline"/>
              <w:rPr>
                <w:rFonts w:eastAsia="Times New Roman"/>
                <w:color w:val="000000"/>
                <w:lang w:val="sq-AL"/>
              </w:rPr>
            </w:pPr>
            <w:r w:rsidRPr="00A6284F">
              <w:rPr>
                <w:rFonts w:eastAsia="Times New Roman"/>
                <w:color w:val="000000"/>
                <w:lang w:val="sq-AL"/>
              </w:rPr>
              <w:t>:</w:t>
            </w:r>
          </w:p>
        </w:tc>
      </w:tr>
      <w:tr w:rsidR="00AC51AA" w:rsidRPr="00A6284F" w:rsidTr="007E58F5">
        <w:trPr>
          <w:trHeight w:hRule="exact" w:val="394"/>
        </w:trPr>
        <w:tc>
          <w:tcPr>
            <w:tcW w:w="646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ind w:left="106"/>
              <w:textAlignment w:val="baseline"/>
              <w:rPr>
                <w:rFonts w:eastAsia="Times New Roman"/>
                <w:color w:val="000000"/>
                <w:lang w:val="sq-AL"/>
              </w:rPr>
            </w:pPr>
            <w:r w:rsidRPr="00A6284F">
              <w:rPr>
                <w:rFonts w:eastAsia="Times New Roman"/>
                <w:color w:val="000000"/>
                <w:lang w:val="sq-AL"/>
              </w:rPr>
              <w:t>Prodhimi i të vjelave: perime(mijë tonë)</w:t>
            </w:r>
          </w:p>
        </w:tc>
        <w:tc>
          <w:tcPr>
            <w:tcW w:w="916"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jc w:val="center"/>
              <w:textAlignment w:val="baseline"/>
              <w:rPr>
                <w:rFonts w:eastAsia="Times New Roman"/>
                <w:color w:val="000000"/>
                <w:lang w:val="sq-AL"/>
              </w:rPr>
            </w:pPr>
            <w:r w:rsidRPr="00A6284F">
              <w:rPr>
                <w:rFonts w:eastAsia="Times New Roman"/>
                <w:color w:val="000000"/>
                <w:lang w:val="sq-AL"/>
              </w:rPr>
              <w:t>6)</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ind w:right="416"/>
              <w:jc w:val="right"/>
              <w:textAlignment w:val="baseline"/>
              <w:rPr>
                <w:rFonts w:eastAsia="Times New Roman"/>
                <w:color w:val="000000"/>
                <w:lang w:val="sq-AL"/>
              </w:rPr>
            </w:pPr>
            <w:r w:rsidRPr="00A6284F">
              <w:rPr>
                <w:rFonts w:eastAsia="Times New Roman"/>
                <w:color w:val="000000"/>
                <w:lang w:val="sq-AL"/>
              </w:rPr>
              <w:t>142</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jc w:val="center"/>
              <w:textAlignment w:val="baseline"/>
              <w:rPr>
                <w:rFonts w:eastAsia="Times New Roman"/>
                <w:color w:val="000000"/>
                <w:lang w:val="sq-AL"/>
              </w:rPr>
            </w:pPr>
            <w:r w:rsidRPr="00A6284F">
              <w:rPr>
                <w:rFonts w:eastAsia="Times New Roman"/>
                <w:color w:val="000000"/>
                <w:lang w:val="sq-AL"/>
              </w:rPr>
              <w:t>158</w:t>
            </w:r>
          </w:p>
        </w:tc>
        <w:tc>
          <w:tcPr>
            <w:tcW w:w="113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jc w:val="center"/>
              <w:textAlignment w:val="baseline"/>
              <w:rPr>
                <w:rFonts w:eastAsia="Times New Roman"/>
                <w:color w:val="000000"/>
                <w:lang w:val="sq-AL"/>
              </w:rPr>
            </w:pPr>
            <w:r w:rsidRPr="00A6284F">
              <w:rPr>
                <w:rFonts w:eastAsia="Times New Roman"/>
                <w:color w:val="000000"/>
                <w:lang w:val="sq-AL"/>
              </w:rPr>
              <w:t>170e</w:t>
            </w:r>
          </w:p>
        </w:tc>
        <w:tc>
          <w:tcPr>
            <w:tcW w:w="1138"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ind w:right="416"/>
              <w:jc w:val="right"/>
              <w:textAlignment w:val="baseline"/>
              <w:rPr>
                <w:rFonts w:eastAsia="Times New Roman"/>
                <w:color w:val="000000"/>
                <w:lang w:val="sq-AL"/>
              </w:rPr>
            </w:pPr>
            <w:r w:rsidRPr="00A6284F">
              <w:rPr>
                <w:rFonts w:eastAsia="Times New Roman"/>
                <w:color w:val="000000"/>
                <w:lang w:val="sq-AL"/>
              </w:rPr>
              <w:t>145</w:t>
            </w:r>
          </w:p>
        </w:tc>
        <w:tc>
          <w:tcPr>
            <w:tcW w:w="1132"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jc w:val="center"/>
              <w:textAlignment w:val="baseline"/>
              <w:rPr>
                <w:rFonts w:eastAsia="Times New Roman"/>
                <w:color w:val="000000"/>
                <w:lang w:val="sq-AL"/>
              </w:rPr>
            </w:pPr>
            <w:r w:rsidRPr="00A6284F">
              <w:rPr>
                <w:rFonts w:eastAsia="Times New Roman"/>
                <w:color w:val="000000"/>
                <w:lang w:val="sq-AL"/>
              </w:rPr>
              <w:t>186</w:t>
            </w:r>
          </w:p>
        </w:tc>
        <w:tc>
          <w:tcPr>
            <w:tcW w:w="1143" w:type="dxa"/>
            <w:tcBorders>
              <w:top w:val="single" w:sz="7" w:space="0" w:color="000000"/>
              <w:left w:val="single" w:sz="7" w:space="0" w:color="000000"/>
              <w:bottom w:val="single" w:sz="7" w:space="0" w:color="000000"/>
              <w:right w:val="single" w:sz="7" w:space="0" w:color="000000"/>
            </w:tcBorders>
          </w:tcPr>
          <w:p w:rsidR="00AC51AA" w:rsidRPr="00A6284F" w:rsidRDefault="00AC51AA" w:rsidP="007E58F5">
            <w:pPr>
              <w:spacing w:after="129" w:line="249" w:lineRule="exact"/>
              <w:jc w:val="center"/>
              <w:textAlignment w:val="baseline"/>
              <w:rPr>
                <w:rFonts w:eastAsia="Times New Roman"/>
                <w:color w:val="000000"/>
                <w:lang w:val="sq-AL"/>
              </w:rPr>
            </w:pPr>
            <w:r w:rsidRPr="00A6284F">
              <w:rPr>
                <w:rFonts w:eastAsia="Times New Roman"/>
                <w:color w:val="000000"/>
                <w:lang w:val="sq-AL"/>
              </w:rPr>
              <w:t>182</w:t>
            </w:r>
          </w:p>
        </w:tc>
      </w:tr>
    </w:tbl>
    <w:p w:rsidR="00AC51AA" w:rsidRPr="00A6284F" w:rsidRDefault="00AC51AA" w:rsidP="00AC51AA">
      <w:pPr>
        <w:spacing w:after="609" w:line="20" w:lineRule="exact"/>
        <w:rPr>
          <w:lang w:val="sq-AL"/>
        </w:rPr>
      </w:pPr>
    </w:p>
    <w:p w:rsidR="00AC51AA" w:rsidRPr="00A6284F" w:rsidRDefault="00AC51AA" w:rsidP="00AC51AA">
      <w:pPr>
        <w:spacing w:before="4" w:line="249" w:lineRule="exact"/>
        <w:ind w:left="504"/>
        <w:jc w:val="both"/>
        <w:textAlignment w:val="baseline"/>
        <w:rPr>
          <w:rFonts w:eastAsia="Times New Roman"/>
          <w:color w:val="000000"/>
          <w:spacing w:val="-1"/>
          <w:lang w:val="sq-AL"/>
        </w:rPr>
      </w:pPr>
      <w:r w:rsidRPr="00A6284F">
        <w:rPr>
          <w:rFonts w:eastAsia="Times New Roman"/>
          <w:color w:val="000000"/>
          <w:spacing w:val="-1"/>
          <w:lang w:val="sq-AL"/>
        </w:rPr>
        <w:t>: = nuk janë në dispozicion</w:t>
      </w:r>
    </w:p>
    <w:p w:rsidR="00AC51AA" w:rsidRPr="00A6284F" w:rsidRDefault="00AC51AA" w:rsidP="00AC51AA">
      <w:pPr>
        <w:spacing w:before="6" w:line="249" w:lineRule="exact"/>
        <w:ind w:left="504"/>
        <w:jc w:val="both"/>
        <w:textAlignment w:val="baseline"/>
        <w:rPr>
          <w:rFonts w:eastAsia="Times New Roman"/>
          <w:color w:val="000000"/>
          <w:lang w:val="sq-AL"/>
        </w:rPr>
      </w:pPr>
      <w:r w:rsidRPr="00A6284F">
        <w:rPr>
          <w:rFonts w:eastAsia="Times New Roman"/>
          <w:color w:val="000000"/>
          <w:lang w:val="sq-AL"/>
        </w:rPr>
        <w:t>b = ndarja në seri</w:t>
      </w:r>
    </w:p>
    <w:p w:rsidR="00AC51AA" w:rsidRPr="00A6284F" w:rsidRDefault="00AC51AA" w:rsidP="00AC51AA">
      <w:pPr>
        <w:spacing w:line="249" w:lineRule="exact"/>
        <w:ind w:left="504"/>
        <w:jc w:val="both"/>
        <w:textAlignment w:val="baseline"/>
        <w:rPr>
          <w:rFonts w:eastAsia="Times New Roman"/>
          <w:color w:val="000000"/>
          <w:lang w:val="sq-AL"/>
        </w:rPr>
      </w:pPr>
      <w:r w:rsidRPr="00A6284F">
        <w:rPr>
          <w:rFonts w:eastAsia="Times New Roman"/>
          <w:color w:val="000000"/>
          <w:lang w:val="sq-AL"/>
        </w:rPr>
        <w:t>e = vlerësim</w:t>
      </w:r>
    </w:p>
    <w:p w:rsidR="00AC51AA" w:rsidRPr="00A6284F" w:rsidRDefault="00AC51AA" w:rsidP="00AC51AA">
      <w:pPr>
        <w:spacing w:before="6" w:line="249" w:lineRule="exact"/>
        <w:ind w:left="504"/>
        <w:jc w:val="both"/>
        <w:textAlignment w:val="baseline"/>
        <w:rPr>
          <w:rFonts w:eastAsia="Times New Roman"/>
          <w:color w:val="000000"/>
          <w:lang w:val="sq-AL"/>
        </w:rPr>
      </w:pPr>
      <w:r w:rsidRPr="00A6284F">
        <w:rPr>
          <w:rFonts w:eastAsia="Times New Roman"/>
          <w:color w:val="000000"/>
          <w:lang w:val="sq-AL"/>
        </w:rPr>
        <w:t>p = përkohshme</w:t>
      </w:r>
    </w:p>
    <w:p w:rsidR="00AC51AA" w:rsidRPr="00A6284F" w:rsidRDefault="00AC51AA" w:rsidP="00AC51AA">
      <w:pPr>
        <w:spacing w:before="5" w:line="249" w:lineRule="exact"/>
        <w:ind w:left="504"/>
        <w:jc w:val="both"/>
        <w:textAlignment w:val="baseline"/>
        <w:rPr>
          <w:rFonts w:eastAsia="Times New Roman"/>
          <w:color w:val="000000"/>
          <w:lang w:val="sq-AL"/>
        </w:rPr>
      </w:pPr>
      <w:r w:rsidRPr="00A6284F">
        <w:rPr>
          <w:rFonts w:eastAsia="Times New Roman"/>
          <w:color w:val="000000"/>
          <w:lang w:val="sq-AL"/>
        </w:rPr>
        <w:t xml:space="preserve">* = indikatori </w:t>
      </w:r>
      <w:proofErr w:type="spellStart"/>
      <w:r w:rsidRPr="00A6284F">
        <w:rPr>
          <w:rFonts w:eastAsia="Times New Roman"/>
          <w:color w:val="000000"/>
          <w:lang w:val="sq-AL"/>
        </w:rPr>
        <w:t>Europe</w:t>
      </w:r>
      <w:proofErr w:type="spellEnd"/>
      <w:r w:rsidRPr="00A6284F">
        <w:rPr>
          <w:rFonts w:eastAsia="Times New Roman"/>
          <w:color w:val="000000"/>
          <w:lang w:val="sq-AL"/>
        </w:rPr>
        <w:t xml:space="preserve"> 2020</w:t>
      </w:r>
    </w:p>
    <w:p w:rsidR="00AC51AA" w:rsidRPr="00A6284F" w:rsidRDefault="00AC51AA" w:rsidP="00AC51AA">
      <w:pPr>
        <w:spacing w:before="6" w:line="249" w:lineRule="exact"/>
        <w:ind w:left="504"/>
        <w:jc w:val="both"/>
        <w:textAlignment w:val="baseline"/>
        <w:rPr>
          <w:rFonts w:eastAsia="Times New Roman"/>
          <w:color w:val="000000"/>
          <w:lang w:val="sq-AL"/>
        </w:rPr>
      </w:pPr>
      <w:r w:rsidRPr="00A6284F">
        <w:rPr>
          <w:rFonts w:eastAsia="Times New Roman"/>
          <w:color w:val="000000"/>
          <w:lang w:val="sq-AL"/>
        </w:rPr>
        <w:t>** = Indikatori i Procedurës së Mosbalancimit Makroekonomik (MIP)</w:t>
      </w:r>
    </w:p>
    <w:p w:rsidR="00AC51AA" w:rsidRPr="00A6284F" w:rsidRDefault="00AC51AA" w:rsidP="00AC51AA">
      <w:pPr>
        <w:spacing w:line="249" w:lineRule="exact"/>
        <w:ind w:left="504"/>
        <w:jc w:val="both"/>
        <w:textAlignment w:val="baseline"/>
        <w:rPr>
          <w:rFonts w:eastAsia="Times New Roman"/>
          <w:color w:val="000000"/>
          <w:lang w:val="sq-AL"/>
        </w:rPr>
      </w:pPr>
      <w:r w:rsidRPr="00A6284F">
        <w:rPr>
          <w:rFonts w:eastAsia="Times New Roman"/>
          <w:color w:val="000000"/>
          <w:lang w:val="sq-AL"/>
        </w:rPr>
        <w:t>*** = të dhënat për deficitin dhe borxhin qeveritar në vendet e zgjerimit publikohen në baza</w:t>
      </w:r>
      <w:r w:rsidR="00B178FD">
        <w:rPr>
          <w:rFonts w:eastAsia="Times New Roman"/>
          <w:color w:val="000000"/>
          <w:lang w:val="sq-AL"/>
        </w:rPr>
        <w:t xml:space="preserve"> </w:t>
      </w:r>
      <w:bookmarkStart w:id="0" w:name="_GoBack"/>
      <w:bookmarkEnd w:id="0"/>
      <w:r w:rsidRPr="00A6284F">
        <w:rPr>
          <w:rFonts w:eastAsia="Times New Roman"/>
          <w:color w:val="000000"/>
          <w:lang w:val="sq-AL"/>
        </w:rPr>
        <w:t>“ashtu si janë” dhe pa ndonjë siguri në lidhje me cilësinë dhe përputhshmërinë me</w:t>
      </w:r>
      <w:r w:rsidR="00B178FD">
        <w:rPr>
          <w:rFonts w:eastAsia="Times New Roman"/>
          <w:color w:val="000000"/>
          <w:lang w:val="sq-AL"/>
        </w:rPr>
        <w:t xml:space="preserve"> </w:t>
      </w:r>
      <w:r w:rsidRPr="00A6284F">
        <w:rPr>
          <w:rFonts w:eastAsia="Times New Roman"/>
          <w:color w:val="000000"/>
          <w:lang w:val="sq-AL"/>
        </w:rPr>
        <w:t xml:space="preserve">rregullat </w:t>
      </w:r>
      <w:r w:rsidR="00B178FD">
        <w:rPr>
          <w:rFonts w:eastAsia="Times New Roman"/>
          <w:color w:val="000000"/>
          <w:lang w:val="sq-AL"/>
        </w:rPr>
        <w:t xml:space="preserve">e </w:t>
      </w:r>
      <w:r w:rsidRPr="00A6284F">
        <w:rPr>
          <w:rFonts w:eastAsia="Times New Roman"/>
          <w:color w:val="000000"/>
          <w:lang w:val="sq-AL"/>
        </w:rPr>
        <w:t>ESA.</w:t>
      </w:r>
    </w:p>
    <w:p w:rsidR="00AC51AA" w:rsidRPr="00A6284F" w:rsidRDefault="00AC51AA" w:rsidP="00AC51AA">
      <w:pPr>
        <w:spacing w:before="6" w:after="672" w:line="249" w:lineRule="exact"/>
        <w:rPr>
          <w:lang w:val="sq-AL"/>
        </w:rPr>
        <w:sectPr w:rsidR="00AC51AA" w:rsidRPr="00A6284F">
          <w:pgSz w:w="16838" w:h="11909" w:orient="landscape"/>
          <w:pgMar w:top="1380" w:right="1247" w:bottom="573" w:left="1364"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27"/>
          <w:sz w:val="20"/>
          <w:lang w:val="sq-AL"/>
        </w:rPr>
      </w:pPr>
      <w:r w:rsidRPr="00A6284F">
        <w:rPr>
          <w:rFonts w:eastAsia="Times New Roman"/>
          <w:color w:val="000000"/>
          <w:spacing w:val="27"/>
          <w:sz w:val="20"/>
          <w:lang w:val="sq-AL"/>
        </w:rPr>
        <w:lastRenderedPageBreak/>
        <w:t>100</w:t>
      </w:r>
    </w:p>
    <w:p w:rsidR="00AC51AA" w:rsidRPr="00A6284F" w:rsidRDefault="00AC51AA" w:rsidP="00AC51AA">
      <w:pPr>
        <w:rPr>
          <w:lang w:val="sq-AL"/>
        </w:rPr>
        <w:sectPr w:rsidR="00AC51AA" w:rsidRPr="00A6284F">
          <w:type w:val="continuous"/>
          <w:pgSz w:w="16838" w:h="11909" w:orient="landscape"/>
          <w:pgMar w:top="1380" w:right="3726" w:bottom="573" w:left="3752" w:header="720" w:footer="720" w:gutter="0"/>
          <w:cols w:space="720"/>
        </w:sectPr>
      </w:pPr>
    </w:p>
    <w:p w:rsidR="00AC51AA" w:rsidRPr="00A6284F" w:rsidRDefault="00AC51AA" w:rsidP="00AC51AA">
      <w:pPr>
        <w:spacing w:before="2" w:line="253" w:lineRule="exact"/>
        <w:ind w:left="432"/>
        <w:textAlignment w:val="baseline"/>
        <w:rPr>
          <w:rFonts w:eastAsia="Times New Roman"/>
          <w:color w:val="000000"/>
          <w:lang w:val="sq-AL"/>
        </w:rPr>
      </w:pPr>
      <w:r w:rsidRPr="00A6284F">
        <w:rPr>
          <w:rFonts w:eastAsia="Times New Roman"/>
          <w:color w:val="000000"/>
          <w:lang w:val="sq-AL"/>
        </w:rPr>
        <w:lastRenderedPageBreak/>
        <w:t>Fusnotat</w:t>
      </w:r>
    </w:p>
    <w:p w:rsidR="00AC51AA" w:rsidRPr="00A6284F" w:rsidRDefault="00AC51AA" w:rsidP="00AC51AA">
      <w:pPr>
        <w:numPr>
          <w:ilvl w:val="0"/>
          <w:numId w:val="1"/>
        </w:numPr>
        <w:spacing w:before="2" w:line="253" w:lineRule="exact"/>
        <w:ind w:left="450" w:right="216" w:hanging="432"/>
        <w:textAlignment w:val="baseline"/>
        <w:rPr>
          <w:rFonts w:eastAsia="Times New Roman"/>
          <w:color w:val="000000"/>
          <w:lang w:val="sq-AL"/>
        </w:rPr>
      </w:pPr>
      <w:r w:rsidRPr="00A6284F">
        <w:rPr>
          <w:rFonts w:eastAsia="Times New Roman"/>
          <w:color w:val="000000"/>
          <w:lang w:val="sq-AL"/>
        </w:rPr>
        <w:t xml:space="preserve">Ndryshimi i sipërfaqes së përgjithshme ndërmjet vitit 2016 dhe 2017 pasqyron matjet e bëra nga Agjencia </w:t>
      </w:r>
      <w:proofErr w:type="spellStart"/>
      <w:r w:rsidRPr="00A6284F">
        <w:rPr>
          <w:rFonts w:eastAsia="Times New Roman"/>
          <w:color w:val="000000"/>
          <w:lang w:val="sq-AL"/>
        </w:rPr>
        <w:t>Kadastrale</w:t>
      </w:r>
      <w:proofErr w:type="spellEnd"/>
      <w:r w:rsidRPr="00A6284F">
        <w:rPr>
          <w:rFonts w:eastAsia="Times New Roman"/>
          <w:color w:val="000000"/>
          <w:lang w:val="sq-AL"/>
        </w:rPr>
        <w:t xml:space="preserve"> e Kosovës.</w:t>
      </w:r>
    </w:p>
    <w:p w:rsidR="00AC51AA" w:rsidRPr="00A6284F" w:rsidRDefault="00AC51AA" w:rsidP="00AC51AA">
      <w:pPr>
        <w:numPr>
          <w:ilvl w:val="0"/>
          <w:numId w:val="1"/>
        </w:numPr>
        <w:spacing w:before="2" w:line="253" w:lineRule="exact"/>
        <w:ind w:left="432" w:hanging="432"/>
        <w:textAlignment w:val="baseline"/>
        <w:rPr>
          <w:rFonts w:eastAsia="Times New Roman"/>
          <w:color w:val="000000"/>
          <w:spacing w:val="-1"/>
          <w:lang w:val="sq-AL"/>
        </w:rPr>
      </w:pPr>
      <w:r w:rsidRPr="00A6284F">
        <w:rPr>
          <w:rFonts w:eastAsia="Times New Roman"/>
          <w:color w:val="000000"/>
          <w:spacing w:val="-1"/>
          <w:lang w:val="sq-AL"/>
        </w:rPr>
        <w:t>2006, 2013 dhe 2014: indeksi i çmimit të konsumit.</w:t>
      </w:r>
    </w:p>
    <w:p w:rsidR="00AC51AA" w:rsidRPr="00A6284F" w:rsidRDefault="00AC51AA" w:rsidP="00AC51AA">
      <w:pPr>
        <w:numPr>
          <w:ilvl w:val="0"/>
          <w:numId w:val="1"/>
        </w:numPr>
        <w:spacing w:line="249" w:lineRule="exact"/>
        <w:ind w:left="432" w:hanging="432"/>
        <w:textAlignment w:val="baseline"/>
        <w:rPr>
          <w:rFonts w:eastAsia="Times New Roman"/>
          <w:color w:val="000000"/>
          <w:lang w:val="sq-AL"/>
        </w:rPr>
      </w:pPr>
      <w:r w:rsidRPr="00A6284F">
        <w:rPr>
          <w:rFonts w:eastAsia="Times New Roman"/>
          <w:color w:val="000000"/>
          <w:lang w:val="sq-AL"/>
        </w:rPr>
        <w:t xml:space="preserve">2013 dhe 2014: përfshin tarifën e </w:t>
      </w:r>
      <w:proofErr w:type="spellStart"/>
      <w:r w:rsidRPr="00A6284F">
        <w:rPr>
          <w:rFonts w:eastAsia="Times New Roman"/>
          <w:color w:val="000000"/>
          <w:lang w:val="sq-AL"/>
        </w:rPr>
        <w:t>disbursimet</w:t>
      </w:r>
      <w:proofErr w:type="spellEnd"/>
      <w:r w:rsidRPr="00A6284F">
        <w:rPr>
          <w:rFonts w:eastAsia="Times New Roman"/>
          <w:color w:val="000000"/>
          <w:lang w:val="sq-AL"/>
        </w:rPr>
        <w:t xml:space="preserve"> ngarkuar nga bankat.</w:t>
      </w:r>
    </w:p>
    <w:p w:rsidR="00AC51AA" w:rsidRPr="00A6284F" w:rsidRDefault="00AC51AA" w:rsidP="00AC51AA">
      <w:pPr>
        <w:numPr>
          <w:ilvl w:val="0"/>
          <w:numId w:val="1"/>
        </w:numPr>
        <w:spacing w:before="2" w:line="253" w:lineRule="exact"/>
        <w:ind w:left="432" w:hanging="432"/>
        <w:textAlignment w:val="baseline"/>
        <w:rPr>
          <w:rFonts w:eastAsia="Times New Roman"/>
          <w:color w:val="000000"/>
          <w:spacing w:val="-1"/>
          <w:lang w:val="sq-AL"/>
        </w:rPr>
      </w:pPr>
      <w:r w:rsidRPr="00A6284F">
        <w:rPr>
          <w:rFonts w:eastAsia="Times New Roman"/>
          <w:color w:val="000000"/>
          <w:spacing w:val="-1"/>
          <w:lang w:val="sq-AL"/>
        </w:rPr>
        <w:t>Përfshin tokën e përbashkët bujqësore.</w:t>
      </w:r>
    </w:p>
    <w:p w:rsidR="00AC51AA" w:rsidRPr="00A6284F" w:rsidRDefault="00AC51AA" w:rsidP="00AC51AA">
      <w:pPr>
        <w:numPr>
          <w:ilvl w:val="0"/>
          <w:numId w:val="1"/>
        </w:numPr>
        <w:spacing w:before="1" w:line="253" w:lineRule="exact"/>
        <w:ind w:left="432" w:hanging="432"/>
        <w:textAlignment w:val="baseline"/>
        <w:rPr>
          <w:rFonts w:eastAsia="Times New Roman"/>
          <w:color w:val="000000"/>
          <w:spacing w:val="-1"/>
          <w:lang w:val="sq-AL"/>
        </w:rPr>
      </w:pPr>
      <w:r w:rsidRPr="00A6284F">
        <w:rPr>
          <w:rFonts w:eastAsia="Times New Roman"/>
          <w:color w:val="000000"/>
          <w:spacing w:val="-1"/>
          <w:lang w:val="sq-AL"/>
        </w:rPr>
        <w:t>2014: të dhëna nga regjistrimi bujqësor 2014.</w:t>
      </w:r>
    </w:p>
    <w:p w:rsidR="00AC51AA" w:rsidRPr="00A6284F" w:rsidRDefault="00AC51AA" w:rsidP="00AC51AA">
      <w:pPr>
        <w:numPr>
          <w:ilvl w:val="0"/>
          <w:numId w:val="1"/>
        </w:numPr>
        <w:spacing w:line="252" w:lineRule="exact"/>
        <w:ind w:left="432" w:hanging="432"/>
        <w:textAlignment w:val="baseline"/>
        <w:rPr>
          <w:rFonts w:eastAsia="Times New Roman"/>
          <w:color w:val="000000"/>
          <w:lang w:val="sq-AL"/>
        </w:rPr>
      </w:pPr>
      <w:r w:rsidRPr="00A6284F">
        <w:rPr>
          <w:rFonts w:eastAsia="Times New Roman"/>
          <w:color w:val="000000"/>
          <w:lang w:val="sq-AL"/>
        </w:rPr>
        <w:t>2014-2017: rezultatet për katër komunat në veri të Kosovës të cilat nuk kanë marrë pjesë në regjistrim/sondazhe janë përafruar.</w:t>
      </w:r>
    </w:p>
    <w:p w:rsidR="00AC51AA" w:rsidRPr="00A6284F" w:rsidRDefault="00AC51AA" w:rsidP="00AC51AA">
      <w:pPr>
        <w:numPr>
          <w:ilvl w:val="0"/>
          <w:numId w:val="1"/>
        </w:numPr>
        <w:spacing w:before="2" w:after="6744" w:line="253" w:lineRule="exact"/>
        <w:ind w:left="432" w:hanging="432"/>
        <w:textAlignment w:val="baseline"/>
        <w:rPr>
          <w:rFonts w:eastAsia="Times New Roman"/>
          <w:color w:val="000000"/>
          <w:spacing w:val="-2"/>
          <w:lang w:val="sq-AL"/>
        </w:rPr>
      </w:pPr>
      <w:r w:rsidRPr="00A6284F">
        <w:rPr>
          <w:rFonts w:eastAsia="Times New Roman"/>
          <w:color w:val="000000"/>
          <w:spacing w:val="-2"/>
          <w:lang w:val="sq-AL"/>
        </w:rPr>
        <w:t>Përjashton orizin.</w:t>
      </w:r>
    </w:p>
    <w:p w:rsidR="00AC51AA" w:rsidRPr="00A6284F" w:rsidRDefault="00AC51AA" w:rsidP="00AC51AA">
      <w:pPr>
        <w:spacing w:before="2" w:after="6744" w:line="253" w:lineRule="exact"/>
        <w:rPr>
          <w:lang w:val="sq-AL"/>
        </w:rPr>
        <w:sectPr w:rsidR="00AC51AA" w:rsidRPr="00A6284F">
          <w:pgSz w:w="16838" w:h="11909" w:orient="landscape"/>
          <w:pgMar w:top="1420" w:right="6845" w:bottom="573" w:left="1613" w:header="720" w:footer="720" w:gutter="0"/>
          <w:cols w:space="720"/>
        </w:sectPr>
      </w:pPr>
    </w:p>
    <w:p w:rsidR="00AC51AA" w:rsidRPr="00A6284F" w:rsidRDefault="00AC51AA" w:rsidP="00AC51AA">
      <w:pPr>
        <w:spacing w:before="4" w:line="221" w:lineRule="exact"/>
        <w:jc w:val="center"/>
        <w:textAlignment w:val="baseline"/>
        <w:rPr>
          <w:rFonts w:eastAsia="Times New Roman"/>
          <w:color w:val="000000"/>
          <w:spacing w:val="7"/>
          <w:sz w:val="20"/>
          <w:lang w:val="sq-AL"/>
        </w:rPr>
      </w:pPr>
      <w:r w:rsidRPr="00A6284F">
        <w:rPr>
          <w:rFonts w:eastAsia="Times New Roman"/>
          <w:color w:val="000000"/>
          <w:spacing w:val="7"/>
          <w:sz w:val="20"/>
          <w:lang w:val="sq-AL"/>
        </w:rPr>
        <w:lastRenderedPageBreak/>
        <w:t>101</w:t>
      </w:r>
    </w:p>
    <w:p w:rsidR="00E0616C" w:rsidRPr="00A6284F" w:rsidRDefault="00E0616C" w:rsidP="00AC51AA">
      <w:pPr>
        <w:spacing w:after="456" w:line="357" w:lineRule="exact"/>
        <w:ind w:left="72"/>
        <w:textAlignment w:val="baseline"/>
        <w:rPr>
          <w:rFonts w:eastAsia="Times New Roman"/>
          <w:color w:val="000000"/>
          <w:spacing w:val="7"/>
          <w:sz w:val="20"/>
          <w:lang w:val="sq-AL"/>
        </w:rPr>
      </w:pPr>
    </w:p>
    <w:sectPr w:rsidR="00E0616C" w:rsidRPr="00A6284F" w:rsidSect="00E133D2">
      <w:type w:val="continuous"/>
      <w:pgSz w:w="16838" w:h="11909" w:orient="landscape"/>
      <w:pgMar w:top="1420" w:right="8187" w:bottom="573" w:left="8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E9" w:rsidRDefault="00A80BE9" w:rsidP="00303676">
      <w:r>
        <w:separator/>
      </w:r>
    </w:p>
  </w:endnote>
  <w:endnote w:type="continuationSeparator" w:id="0">
    <w:p w:rsidR="00A80BE9" w:rsidRDefault="00A80BE9" w:rsidP="003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alibri">
    <w:charset w:val="00"/>
    <w:pitch w:val="variable"/>
    <w:family w:val="swiss"/>
    <w:panose1 w:val="02020603050405020304"/>
  </w:font>
  <w:font w:name="Arial Narrow">
    <w:charset w:val="00"/>
    <w:pitch w:val="variable"/>
    <w:family w:val="swiss"/>
    <w:panose1 w:val="02020603050405020304"/>
  </w:font>
  <w:font w:name="Segoe UI Symbo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E9" w:rsidRDefault="00A80BE9" w:rsidP="00303676">
      <w:r>
        <w:separator/>
      </w:r>
    </w:p>
  </w:footnote>
  <w:footnote w:type="continuationSeparator" w:id="0">
    <w:p w:rsidR="00A80BE9" w:rsidRDefault="00A80BE9" w:rsidP="00303676">
      <w:r>
        <w:continuationSeparator/>
      </w:r>
    </w:p>
  </w:footnote>
  <w:footnote w:id="1">
    <w:p w:rsidR="00F23D22" w:rsidRDefault="00F23D22" w:rsidP="00303676">
      <w:pPr>
        <w:pStyle w:val="FootnoteText"/>
      </w:pPr>
      <w:r>
        <w:rPr>
          <w:rStyle w:val="FootnoteReference"/>
        </w:rPr>
        <w:footnoteRef/>
      </w:r>
      <w:r w:rsidRPr="0041486E">
        <w:rPr>
          <w:lang w:val="sq-AL"/>
        </w:rPr>
        <w:t>Ky raport mbulon periudhën nga marsi 2018 deri në mars 2019. Ai bazohet në të dhëna nga një shumëllojshmëri burimesh, përfshirë kontributet nga qeveria e Kosovës, Shtetet Anëtare të BE-së, Raportet e Parlamentit Evropian dhe informatat nga organizatat e ndryshme ndërkombëtare dhe joqeveritare.</w:t>
      </w:r>
    </w:p>
  </w:footnote>
  <w:footnote w:id="2">
    <w:p w:rsidR="00F23D22" w:rsidRDefault="00F23D22">
      <w:pPr>
        <w:pStyle w:val="FootnoteText"/>
      </w:pPr>
      <w:r>
        <w:rPr>
          <w:rStyle w:val="FootnoteReference"/>
        </w:rPr>
        <w:footnoteRef/>
      </w:r>
      <w:r>
        <w:t xml:space="preserve"> </w:t>
      </w:r>
      <w:r w:rsidRPr="008929B0">
        <w:rPr>
          <w:lang w:val="sq-AL"/>
        </w:rPr>
        <w:t>Në përputhje me terminologjinë e institucioneve evropiane, termi ombrellë "rom" është përdorur këtu për t'iu referuar një numri grupesh të ndryshme, pa mohuar veçoritë e këtyre grupeve</w:t>
      </w:r>
    </w:p>
  </w:footnote>
  <w:footnote w:id="3">
    <w:p w:rsidR="00F23D22" w:rsidRPr="008929B0" w:rsidRDefault="00F23D22">
      <w:pPr>
        <w:pStyle w:val="FootnoteText"/>
        <w:rPr>
          <w:lang w:val="sq-AL"/>
        </w:rPr>
      </w:pPr>
      <w:r>
        <w:rPr>
          <w:rStyle w:val="FootnoteReference"/>
        </w:rPr>
        <w:footnoteRef/>
      </w:r>
      <w:r>
        <w:t xml:space="preserve"> </w:t>
      </w:r>
      <w:r w:rsidRPr="008929B0">
        <w:rPr>
          <w:lang w:val="sq-AL"/>
        </w:rPr>
        <w:t>Vlerësimi vjetor i bazuar në tremu</w:t>
      </w:r>
      <w:r>
        <w:rPr>
          <w:lang w:val="sq-AL"/>
        </w:rPr>
        <w:t>jorë për vitin 2017 është 3.7%.</w:t>
      </w:r>
    </w:p>
  </w:footnote>
  <w:footnote w:id="4">
    <w:p w:rsidR="00F23D22" w:rsidRDefault="00F23D22">
      <w:pPr>
        <w:pStyle w:val="FootnoteText"/>
      </w:pPr>
      <w:r>
        <w:rPr>
          <w:rStyle w:val="FootnoteReference"/>
        </w:rPr>
        <w:footnoteRef/>
      </w:r>
      <w:r>
        <w:t xml:space="preserve"> </w:t>
      </w:r>
      <w:r w:rsidRPr="008929B0">
        <w:rPr>
          <w:lang w:val="sq-AL"/>
        </w:rPr>
        <w:t>Të dhënat e bankës botërore.</w:t>
      </w:r>
    </w:p>
  </w:footnote>
  <w:footnote w:id="5">
    <w:p w:rsidR="00F23D22" w:rsidRPr="00575C25" w:rsidRDefault="00F23D22">
      <w:pPr>
        <w:pStyle w:val="FootnoteText"/>
        <w:rPr>
          <w:sz w:val="16"/>
          <w:szCs w:val="16"/>
        </w:rPr>
      </w:pPr>
      <w:r w:rsidRPr="00575C25">
        <w:rPr>
          <w:rStyle w:val="FootnoteReference"/>
          <w:sz w:val="16"/>
          <w:szCs w:val="16"/>
        </w:rPr>
        <w:footnoteRef/>
      </w:r>
      <w:r w:rsidRPr="00575C25">
        <w:rPr>
          <w:sz w:val="16"/>
          <w:szCs w:val="16"/>
        </w:rPr>
        <w:t xml:space="preserve"> </w:t>
      </w:r>
      <w:r w:rsidRPr="00575C25">
        <w:rPr>
          <w:sz w:val="16"/>
          <w:szCs w:val="16"/>
          <w:lang w:val="sq-AL"/>
        </w:rPr>
        <w:t>Të dhënat e FMN-së.</w:t>
      </w:r>
    </w:p>
  </w:footnote>
  <w:footnote w:id="6">
    <w:p w:rsidR="00F23D22" w:rsidRDefault="00F23D22">
      <w:pPr>
        <w:pStyle w:val="FootnoteText"/>
      </w:pPr>
      <w:r w:rsidRPr="00575C25">
        <w:rPr>
          <w:rStyle w:val="FootnoteReference"/>
          <w:sz w:val="16"/>
          <w:szCs w:val="16"/>
        </w:rPr>
        <w:footnoteRef/>
      </w:r>
      <w:r w:rsidRPr="00575C25">
        <w:rPr>
          <w:sz w:val="16"/>
          <w:szCs w:val="16"/>
        </w:rPr>
        <w:t xml:space="preserve"> </w:t>
      </w:r>
      <w:r w:rsidRPr="00575C25">
        <w:rPr>
          <w:sz w:val="16"/>
          <w:szCs w:val="16"/>
          <w:lang w:val="sq-AL"/>
        </w:rPr>
        <w:t xml:space="preserve">Mesatarja e thjeshtë e borxhit publik në gjashtë ekonomitë e Ballkanit Perëndimor u vlerësua në 47.9% të BPV-së në vitin 2018.Borxhi publik i Kosovës nuk përfshin pjesën e vet të borxhit të ish-Jugosllavisë, të cilin FMN-ja kohët e fundit ka </w:t>
      </w:r>
      <w:proofErr w:type="spellStart"/>
      <w:r w:rsidRPr="00575C25">
        <w:rPr>
          <w:sz w:val="16"/>
          <w:szCs w:val="16"/>
          <w:lang w:val="sq-AL"/>
        </w:rPr>
        <w:t>riklasifikuar</w:t>
      </w:r>
      <w:proofErr w:type="spellEnd"/>
      <w:r w:rsidRPr="00575C25">
        <w:rPr>
          <w:sz w:val="16"/>
          <w:szCs w:val="16"/>
          <w:lang w:val="sq-AL"/>
        </w:rPr>
        <w:t xml:space="preserve"> si një detyrim kontingjent</w:t>
      </w:r>
    </w:p>
  </w:footnote>
  <w:footnote w:id="7">
    <w:p w:rsidR="00F23D22" w:rsidRPr="00575C25" w:rsidRDefault="00F23D22">
      <w:pPr>
        <w:pStyle w:val="FootnoteText"/>
        <w:rPr>
          <w:sz w:val="16"/>
          <w:szCs w:val="16"/>
        </w:rPr>
      </w:pPr>
      <w:r w:rsidRPr="00575C25">
        <w:rPr>
          <w:rStyle w:val="FootnoteReference"/>
          <w:sz w:val="16"/>
          <w:szCs w:val="16"/>
        </w:rPr>
        <w:footnoteRef/>
      </w:r>
      <w:r w:rsidRPr="00575C25">
        <w:rPr>
          <w:sz w:val="16"/>
          <w:szCs w:val="16"/>
        </w:rPr>
        <w:t xml:space="preserve"> </w:t>
      </w:r>
      <w:r w:rsidRPr="00575C25">
        <w:rPr>
          <w:sz w:val="16"/>
          <w:szCs w:val="16"/>
          <w:lang w:val="sq-AL"/>
        </w:rPr>
        <w:t>Buxheti i vitit 2019 parashikon rritje reale të BPV-së prej 4.7%, ndërsa FMN dhe Banka Qendrore e Kosovës parashikojnë 4.2%.</w:t>
      </w:r>
    </w:p>
  </w:footnote>
  <w:footnote w:id="8">
    <w:p w:rsidR="00F23D22" w:rsidRPr="006C7B32" w:rsidRDefault="00F23D22">
      <w:pPr>
        <w:pStyle w:val="FootnoteText"/>
        <w:rPr>
          <w:sz w:val="16"/>
          <w:szCs w:val="16"/>
        </w:rPr>
      </w:pPr>
      <w:r w:rsidRPr="006C7B32">
        <w:rPr>
          <w:rStyle w:val="FootnoteReference"/>
          <w:sz w:val="16"/>
          <w:szCs w:val="16"/>
        </w:rPr>
        <w:footnoteRef/>
      </w:r>
      <w:r w:rsidRPr="006C7B32">
        <w:rPr>
          <w:sz w:val="16"/>
          <w:szCs w:val="16"/>
        </w:rPr>
        <w:t xml:space="preserve"> </w:t>
      </w:r>
      <w:r w:rsidRPr="006C7B32">
        <w:rPr>
          <w:sz w:val="16"/>
          <w:szCs w:val="16"/>
          <w:lang w:val="sq-AL"/>
        </w:rPr>
        <w:t>Sipas vlerësimeve të Bankës Botërore, sektori publik në Kosovë ende llogaritet për rreth një të katërtën e vlerës së shtuar bruto (VSHB) dhe punësimit.</w:t>
      </w:r>
    </w:p>
  </w:footnote>
  <w:footnote w:id="9">
    <w:p w:rsidR="00F23D22" w:rsidRDefault="00F23D22">
      <w:pPr>
        <w:pStyle w:val="FootnoteText"/>
      </w:pPr>
      <w:r w:rsidRPr="006C7B32">
        <w:rPr>
          <w:rStyle w:val="FootnoteReference"/>
          <w:sz w:val="16"/>
          <w:szCs w:val="16"/>
        </w:rPr>
        <w:footnoteRef/>
      </w:r>
      <w:r w:rsidRPr="006C7B32">
        <w:rPr>
          <w:sz w:val="16"/>
          <w:szCs w:val="16"/>
        </w:rPr>
        <w:t xml:space="preserve"> </w:t>
      </w:r>
      <w:r w:rsidRPr="006C7B32">
        <w:rPr>
          <w:sz w:val="16"/>
          <w:szCs w:val="16"/>
          <w:lang w:val="sq-AL"/>
        </w:rPr>
        <w:t>Ndërsa shifra e titullit paraqet një paraqitje të kënaqshme, ka një numër problemesh në sektorin e sigurimeve, pasi disa firma janë ende në të kuqe dhe tre prej tyre janë nën-</w:t>
      </w:r>
      <w:proofErr w:type="spellStart"/>
      <w:r w:rsidRPr="006C7B32">
        <w:rPr>
          <w:sz w:val="16"/>
          <w:szCs w:val="16"/>
          <w:lang w:val="sq-AL"/>
        </w:rPr>
        <w:t>kapitalizuar</w:t>
      </w:r>
      <w:proofErr w:type="spellEnd"/>
      <w:r w:rsidRPr="006C7B32">
        <w:rPr>
          <w:sz w:val="16"/>
          <w:szCs w:val="16"/>
          <w:lang w:val="sq-AL"/>
        </w:rPr>
        <w:t>.</w:t>
      </w:r>
    </w:p>
  </w:footnote>
  <w:footnote w:id="10">
    <w:p w:rsidR="00F23D22" w:rsidRPr="00684B05" w:rsidRDefault="00F23D22" w:rsidP="00CE1051">
      <w:pPr>
        <w:pStyle w:val="FootnoteText"/>
        <w:rPr>
          <w:rFonts w:asciiTheme="minorHAnsi" w:hAnsiTheme="minorHAnsi" w:cstheme="minorHAnsi"/>
          <w:lang w:val="sq-AL"/>
        </w:rPr>
      </w:pPr>
      <w:r w:rsidRPr="00684B05">
        <w:rPr>
          <w:rStyle w:val="FootnoteReference"/>
          <w:rFonts w:asciiTheme="minorHAnsi" w:hAnsiTheme="minorHAnsi" w:cstheme="minorHAnsi"/>
          <w:sz w:val="18"/>
          <w:lang w:val="sq-AL"/>
        </w:rPr>
        <w:footnoteRef/>
      </w:r>
      <w:r w:rsidRPr="00684B05">
        <w:rPr>
          <w:rFonts w:asciiTheme="minorHAnsi" w:hAnsiTheme="minorHAnsi" w:cstheme="minorHAnsi"/>
          <w:sz w:val="18"/>
          <w:lang w:val="sq-AL"/>
        </w:rPr>
        <w:t xml:space="preserve"> Programi i </w:t>
      </w:r>
      <w:r>
        <w:rPr>
          <w:rFonts w:asciiTheme="minorHAnsi" w:hAnsiTheme="minorHAnsi" w:cstheme="minorHAnsi"/>
          <w:sz w:val="18"/>
          <w:lang w:val="sq-AL"/>
        </w:rPr>
        <w:t>OECD</w:t>
      </w:r>
      <w:r w:rsidRPr="00684B05">
        <w:rPr>
          <w:rFonts w:asciiTheme="minorHAnsi" w:hAnsiTheme="minorHAnsi" w:cstheme="minorHAnsi"/>
          <w:sz w:val="18"/>
          <w:lang w:val="sq-AL"/>
        </w:rPr>
        <w:t xml:space="preserve"> për Vlerësimin Ndërkombëtar të Nxënësve.</w:t>
      </w:r>
    </w:p>
  </w:footnote>
  <w:footnote w:id="11">
    <w:p w:rsidR="00F23D22" w:rsidRDefault="00F23D22" w:rsidP="00CE1051">
      <w:pPr>
        <w:pStyle w:val="FootnoteText"/>
      </w:pPr>
      <w:r>
        <w:rPr>
          <w:rStyle w:val="FootnoteReference"/>
        </w:rPr>
        <w:footnoteRef/>
      </w:r>
      <w:r w:rsidRPr="00C04FFA">
        <w:rPr>
          <w:rFonts w:eastAsia="Times New Roman"/>
          <w:color w:val="000000"/>
          <w:spacing w:val="-2"/>
          <w:lang w:val="sq-AL"/>
        </w:rPr>
        <w:t xml:space="preserve">Të dhënat për </w:t>
      </w:r>
      <w:r>
        <w:rPr>
          <w:rFonts w:eastAsia="Times New Roman"/>
          <w:color w:val="000000"/>
          <w:spacing w:val="-2"/>
          <w:lang w:val="sq-AL"/>
        </w:rPr>
        <w:t xml:space="preserve">muajt </w:t>
      </w:r>
      <w:r w:rsidRPr="00C04FFA">
        <w:rPr>
          <w:rFonts w:eastAsia="Times New Roman"/>
          <w:color w:val="000000"/>
          <w:spacing w:val="-2"/>
          <w:lang w:val="sq-AL"/>
        </w:rPr>
        <w:t>janar-tetor</w:t>
      </w:r>
      <w:r w:rsidRPr="0080047F">
        <w:rPr>
          <w:rFonts w:eastAsia="Times New Roman"/>
          <w:color w:val="000000"/>
          <w:spacing w:val="-2"/>
          <w:lang w:val="sq-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31A"/>
    <w:multiLevelType w:val="hybridMultilevel"/>
    <w:tmpl w:val="4D229556"/>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2E86057C"/>
    <w:multiLevelType w:val="hybridMultilevel"/>
    <w:tmpl w:val="454C09A4"/>
    <w:lvl w:ilvl="0" w:tplc="9880FBC6">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D4998"/>
    <w:multiLevelType w:val="multilevel"/>
    <w:tmpl w:val="02BAF9E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E0616C"/>
    <w:rsid w:val="000009E2"/>
    <w:rsid w:val="000037FD"/>
    <w:rsid w:val="00007C99"/>
    <w:rsid w:val="00011E14"/>
    <w:rsid w:val="00015F5F"/>
    <w:rsid w:val="00027480"/>
    <w:rsid w:val="00027723"/>
    <w:rsid w:val="00040637"/>
    <w:rsid w:val="0004516D"/>
    <w:rsid w:val="0005696E"/>
    <w:rsid w:val="00061AED"/>
    <w:rsid w:val="000723BE"/>
    <w:rsid w:val="00076A9A"/>
    <w:rsid w:val="00077B32"/>
    <w:rsid w:val="00082FC5"/>
    <w:rsid w:val="00093676"/>
    <w:rsid w:val="00096A39"/>
    <w:rsid w:val="000A4761"/>
    <w:rsid w:val="000C09A2"/>
    <w:rsid w:val="000D1412"/>
    <w:rsid w:val="000E0542"/>
    <w:rsid w:val="000E1D08"/>
    <w:rsid w:val="000F203D"/>
    <w:rsid w:val="000F3C47"/>
    <w:rsid w:val="000F4E74"/>
    <w:rsid w:val="00106EC6"/>
    <w:rsid w:val="00112778"/>
    <w:rsid w:val="001218CE"/>
    <w:rsid w:val="00127845"/>
    <w:rsid w:val="0013105B"/>
    <w:rsid w:val="00135165"/>
    <w:rsid w:val="00161CC9"/>
    <w:rsid w:val="0016272D"/>
    <w:rsid w:val="00171163"/>
    <w:rsid w:val="001775AC"/>
    <w:rsid w:val="001815AC"/>
    <w:rsid w:val="00184E49"/>
    <w:rsid w:val="0019134A"/>
    <w:rsid w:val="00193CBB"/>
    <w:rsid w:val="001A41FC"/>
    <w:rsid w:val="001B7304"/>
    <w:rsid w:val="001C2D40"/>
    <w:rsid w:val="001C5B09"/>
    <w:rsid w:val="001D57ED"/>
    <w:rsid w:val="001F2E9D"/>
    <w:rsid w:val="001F4AB0"/>
    <w:rsid w:val="001F5B76"/>
    <w:rsid w:val="001F6A2A"/>
    <w:rsid w:val="00227CEF"/>
    <w:rsid w:val="00235219"/>
    <w:rsid w:val="002368C6"/>
    <w:rsid w:val="00246966"/>
    <w:rsid w:val="0025006C"/>
    <w:rsid w:val="00255CD3"/>
    <w:rsid w:val="00264450"/>
    <w:rsid w:val="002651C2"/>
    <w:rsid w:val="00270BED"/>
    <w:rsid w:val="00270C15"/>
    <w:rsid w:val="002739B1"/>
    <w:rsid w:val="00275800"/>
    <w:rsid w:val="00275F08"/>
    <w:rsid w:val="00276258"/>
    <w:rsid w:val="00280B1E"/>
    <w:rsid w:val="002A3552"/>
    <w:rsid w:val="002C1E8D"/>
    <w:rsid w:val="002C49A8"/>
    <w:rsid w:val="002D3476"/>
    <w:rsid w:val="002E663E"/>
    <w:rsid w:val="00303676"/>
    <w:rsid w:val="003111A3"/>
    <w:rsid w:val="00315F6C"/>
    <w:rsid w:val="0035509B"/>
    <w:rsid w:val="00357E67"/>
    <w:rsid w:val="003623D3"/>
    <w:rsid w:val="00370B93"/>
    <w:rsid w:val="00392970"/>
    <w:rsid w:val="00393980"/>
    <w:rsid w:val="003B44CF"/>
    <w:rsid w:val="003D176F"/>
    <w:rsid w:val="003E1E52"/>
    <w:rsid w:val="003E26C6"/>
    <w:rsid w:val="003E43F1"/>
    <w:rsid w:val="003E5F07"/>
    <w:rsid w:val="003E6605"/>
    <w:rsid w:val="00411147"/>
    <w:rsid w:val="00417E15"/>
    <w:rsid w:val="0042017F"/>
    <w:rsid w:val="00421A84"/>
    <w:rsid w:val="004345D0"/>
    <w:rsid w:val="00450352"/>
    <w:rsid w:val="00462FE6"/>
    <w:rsid w:val="00481052"/>
    <w:rsid w:val="0048237D"/>
    <w:rsid w:val="004B463E"/>
    <w:rsid w:val="004C1ABC"/>
    <w:rsid w:val="004C52EE"/>
    <w:rsid w:val="004D3A4C"/>
    <w:rsid w:val="004E2041"/>
    <w:rsid w:val="004F6C3A"/>
    <w:rsid w:val="004F74E8"/>
    <w:rsid w:val="0050232D"/>
    <w:rsid w:val="005056C2"/>
    <w:rsid w:val="005152A3"/>
    <w:rsid w:val="00522A1A"/>
    <w:rsid w:val="00522A4C"/>
    <w:rsid w:val="00526B1F"/>
    <w:rsid w:val="005301AE"/>
    <w:rsid w:val="005430E6"/>
    <w:rsid w:val="00555007"/>
    <w:rsid w:val="00556892"/>
    <w:rsid w:val="00556E38"/>
    <w:rsid w:val="005629E6"/>
    <w:rsid w:val="005652BC"/>
    <w:rsid w:val="00573825"/>
    <w:rsid w:val="00575C25"/>
    <w:rsid w:val="00587CE3"/>
    <w:rsid w:val="005A05FB"/>
    <w:rsid w:val="005B20E1"/>
    <w:rsid w:val="005D008F"/>
    <w:rsid w:val="005D1DB9"/>
    <w:rsid w:val="005D68E3"/>
    <w:rsid w:val="005F1AA7"/>
    <w:rsid w:val="005F227D"/>
    <w:rsid w:val="00610AF4"/>
    <w:rsid w:val="00622C27"/>
    <w:rsid w:val="00623DF0"/>
    <w:rsid w:val="0062586A"/>
    <w:rsid w:val="006310BD"/>
    <w:rsid w:val="00644F64"/>
    <w:rsid w:val="006604BB"/>
    <w:rsid w:val="00661043"/>
    <w:rsid w:val="006631A2"/>
    <w:rsid w:val="00670809"/>
    <w:rsid w:val="006724C9"/>
    <w:rsid w:val="00682C3E"/>
    <w:rsid w:val="006A320D"/>
    <w:rsid w:val="006A48D5"/>
    <w:rsid w:val="006C7565"/>
    <w:rsid w:val="006C7B32"/>
    <w:rsid w:val="006C7CCA"/>
    <w:rsid w:val="006D0BF3"/>
    <w:rsid w:val="006D67A2"/>
    <w:rsid w:val="006E0281"/>
    <w:rsid w:val="006F0DAB"/>
    <w:rsid w:val="006F47F1"/>
    <w:rsid w:val="006F6AD6"/>
    <w:rsid w:val="006F7A4C"/>
    <w:rsid w:val="00716711"/>
    <w:rsid w:val="00721864"/>
    <w:rsid w:val="00723AF3"/>
    <w:rsid w:val="007312B4"/>
    <w:rsid w:val="007315FB"/>
    <w:rsid w:val="00732ADA"/>
    <w:rsid w:val="007409FF"/>
    <w:rsid w:val="00741EA9"/>
    <w:rsid w:val="0074499E"/>
    <w:rsid w:val="00754B54"/>
    <w:rsid w:val="00764C15"/>
    <w:rsid w:val="007666BB"/>
    <w:rsid w:val="007711B1"/>
    <w:rsid w:val="00773261"/>
    <w:rsid w:val="00776EA4"/>
    <w:rsid w:val="00780766"/>
    <w:rsid w:val="00781FD3"/>
    <w:rsid w:val="007A2BF5"/>
    <w:rsid w:val="007A7C41"/>
    <w:rsid w:val="007B0D01"/>
    <w:rsid w:val="007D0634"/>
    <w:rsid w:val="007D707F"/>
    <w:rsid w:val="007E58F5"/>
    <w:rsid w:val="007E77DD"/>
    <w:rsid w:val="007F056C"/>
    <w:rsid w:val="007F566B"/>
    <w:rsid w:val="007F7F23"/>
    <w:rsid w:val="00802898"/>
    <w:rsid w:val="008046C4"/>
    <w:rsid w:val="00804E2E"/>
    <w:rsid w:val="008147ED"/>
    <w:rsid w:val="00822159"/>
    <w:rsid w:val="00826DFF"/>
    <w:rsid w:val="008305CB"/>
    <w:rsid w:val="0083180A"/>
    <w:rsid w:val="0083280B"/>
    <w:rsid w:val="00842B42"/>
    <w:rsid w:val="00860E5F"/>
    <w:rsid w:val="00862C26"/>
    <w:rsid w:val="008728C5"/>
    <w:rsid w:val="0088023E"/>
    <w:rsid w:val="008823CF"/>
    <w:rsid w:val="00891C62"/>
    <w:rsid w:val="0089216F"/>
    <w:rsid w:val="008929B0"/>
    <w:rsid w:val="00893827"/>
    <w:rsid w:val="00897073"/>
    <w:rsid w:val="008B31CC"/>
    <w:rsid w:val="008B45F4"/>
    <w:rsid w:val="008B5CA6"/>
    <w:rsid w:val="008C558E"/>
    <w:rsid w:val="008C6612"/>
    <w:rsid w:val="008D66AF"/>
    <w:rsid w:val="008E790A"/>
    <w:rsid w:val="008F040D"/>
    <w:rsid w:val="008F6F8C"/>
    <w:rsid w:val="00912661"/>
    <w:rsid w:val="00932EC7"/>
    <w:rsid w:val="00937580"/>
    <w:rsid w:val="0095243C"/>
    <w:rsid w:val="00954E97"/>
    <w:rsid w:val="00961D0E"/>
    <w:rsid w:val="00964E87"/>
    <w:rsid w:val="00967CBF"/>
    <w:rsid w:val="00974FDC"/>
    <w:rsid w:val="0098371F"/>
    <w:rsid w:val="00993A95"/>
    <w:rsid w:val="009A53FD"/>
    <w:rsid w:val="009B5C2F"/>
    <w:rsid w:val="009B647C"/>
    <w:rsid w:val="009B6F85"/>
    <w:rsid w:val="009C7CDA"/>
    <w:rsid w:val="009E49F0"/>
    <w:rsid w:val="009E4C9A"/>
    <w:rsid w:val="009F161D"/>
    <w:rsid w:val="009F5977"/>
    <w:rsid w:val="00A05931"/>
    <w:rsid w:val="00A22302"/>
    <w:rsid w:val="00A25931"/>
    <w:rsid w:val="00A41D12"/>
    <w:rsid w:val="00A51027"/>
    <w:rsid w:val="00A53537"/>
    <w:rsid w:val="00A6284F"/>
    <w:rsid w:val="00A75C72"/>
    <w:rsid w:val="00A80BE9"/>
    <w:rsid w:val="00AC51AA"/>
    <w:rsid w:val="00AD10E2"/>
    <w:rsid w:val="00AD4FED"/>
    <w:rsid w:val="00AE58C8"/>
    <w:rsid w:val="00AE5DAC"/>
    <w:rsid w:val="00AE7BB1"/>
    <w:rsid w:val="00B01AA2"/>
    <w:rsid w:val="00B01C30"/>
    <w:rsid w:val="00B12E4A"/>
    <w:rsid w:val="00B1431A"/>
    <w:rsid w:val="00B178FD"/>
    <w:rsid w:val="00B30B7A"/>
    <w:rsid w:val="00B47753"/>
    <w:rsid w:val="00B531EE"/>
    <w:rsid w:val="00B53D36"/>
    <w:rsid w:val="00B57D78"/>
    <w:rsid w:val="00B656E9"/>
    <w:rsid w:val="00B65FE2"/>
    <w:rsid w:val="00B66D54"/>
    <w:rsid w:val="00B7200B"/>
    <w:rsid w:val="00B93589"/>
    <w:rsid w:val="00BB48F2"/>
    <w:rsid w:val="00BB495E"/>
    <w:rsid w:val="00BC7BC0"/>
    <w:rsid w:val="00BD474F"/>
    <w:rsid w:val="00BD4D0B"/>
    <w:rsid w:val="00BD6FC1"/>
    <w:rsid w:val="00BE01CF"/>
    <w:rsid w:val="00BE0F6B"/>
    <w:rsid w:val="00BE38A8"/>
    <w:rsid w:val="00C016EF"/>
    <w:rsid w:val="00C01C38"/>
    <w:rsid w:val="00C12D8B"/>
    <w:rsid w:val="00C341CC"/>
    <w:rsid w:val="00C34824"/>
    <w:rsid w:val="00C51357"/>
    <w:rsid w:val="00C70029"/>
    <w:rsid w:val="00C7406D"/>
    <w:rsid w:val="00C854F6"/>
    <w:rsid w:val="00C87679"/>
    <w:rsid w:val="00C904A3"/>
    <w:rsid w:val="00C90B14"/>
    <w:rsid w:val="00C9142A"/>
    <w:rsid w:val="00C94ECB"/>
    <w:rsid w:val="00CA200E"/>
    <w:rsid w:val="00CA2CBB"/>
    <w:rsid w:val="00CE1051"/>
    <w:rsid w:val="00CF2224"/>
    <w:rsid w:val="00CF4EA3"/>
    <w:rsid w:val="00CF6548"/>
    <w:rsid w:val="00D0235E"/>
    <w:rsid w:val="00D033C8"/>
    <w:rsid w:val="00D06F3D"/>
    <w:rsid w:val="00D07A16"/>
    <w:rsid w:val="00D14CAD"/>
    <w:rsid w:val="00D17D0E"/>
    <w:rsid w:val="00D327DA"/>
    <w:rsid w:val="00D50628"/>
    <w:rsid w:val="00D5084E"/>
    <w:rsid w:val="00D52204"/>
    <w:rsid w:val="00D621BE"/>
    <w:rsid w:val="00D62BBF"/>
    <w:rsid w:val="00D63F91"/>
    <w:rsid w:val="00D64139"/>
    <w:rsid w:val="00D6428A"/>
    <w:rsid w:val="00D65F7E"/>
    <w:rsid w:val="00D76552"/>
    <w:rsid w:val="00D8054E"/>
    <w:rsid w:val="00D8426B"/>
    <w:rsid w:val="00D97E3F"/>
    <w:rsid w:val="00DA68DD"/>
    <w:rsid w:val="00DB4FBE"/>
    <w:rsid w:val="00DF2F9C"/>
    <w:rsid w:val="00DF39DC"/>
    <w:rsid w:val="00DF5E0E"/>
    <w:rsid w:val="00E0616C"/>
    <w:rsid w:val="00E0783C"/>
    <w:rsid w:val="00E1127C"/>
    <w:rsid w:val="00E133D2"/>
    <w:rsid w:val="00E13619"/>
    <w:rsid w:val="00E14F38"/>
    <w:rsid w:val="00E4050A"/>
    <w:rsid w:val="00E43A01"/>
    <w:rsid w:val="00E45A3A"/>
    <w:rsid w:val="00E63721"/>
    <w:rsid w:val="00E64E8F"/>
    <w:rsid w:val="00E67A42"/>
    <w:rsid w:val="00E70FFE"/>
    <w:rsid w:val="00E7333C"/>
    <w:rsid w:val="00E8557E"/>
    <w:rsid w:val="00EA12B0"/>
    <w:rsid w:val="00ED2C90"/>
    <w:rsid w:val="00ED6306"/>
    <w:rsid w:val="00EE494E"/>
    <w:rsid w:val="00EE596B"/>
    <w:rsid w:val="00EE599F"/>
    <w:rsid w:val="00EF6240"/>
    <w:rsid w:val="00F02D22"/>
    <w:rsid w:val="00F23D22"/>
    <w:rsid w:val="00F270BA"/>
    <w:rsid w:val="00F41259"/>
    <w:rsid w:val="00F44C16"/>
    <w:rsid w:val="00F514AB"/>
    <w:rsid w:val="00F57B39"/>
    <w:rsid w:val="00F60742"/>
    <w:rsid w:val="00F641E3"/>
    <w:rsid w:val="00F7057B"/>
    <w:rsid w:val="00F80BB1"/>
    <w:rsid w:val="00F90126"/>
    <w:rsid w:val="00FA4631"/>
    <w:rsid w:val="00FA6825"/>
    <w:rsid w:val="00FA7734"/>
    <w:rsid w:val="00FB21DC"/>
    <w:rsid w:val="00FD66C7"/>
    <w:rsid w:val="00FE1C47"/>
    <w:rsid w:val="00FF4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3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9A"/>
    <w:rPr>
      <w:rFonts w:ascii="Tahoma" w:hAnsi="Tahoma" w:cs="Tahoma"/>
      <w:sz w:val="16"/>
      <w:szCs w:val="16"/>
    </w:rPr>
  </w:style>
  <w:style w:type="character" w:customStyle="1" w:styleId="BalloonTextChar">
    <w:name w:val="Balloon Text Char"/>
    <w:basedOn w:val="DefaultParagraphFont"/>
    <w:link w:val="BalloonText"/>
    <w:uiPriority w:val="99"/>
    <w:semiHidden/>
    <w:rsid w:val="009E4C9A"/>
    <w:rPr>
      <w:rFonts w:ascii="Tahoma" w:hAnsi="Tahoma" w:cs="Tahoma"/>
      <w:sz w:val="16"/>
      <w:szCs w:val="16"/>
    </w:rPr>
  </w:style>
  <w:style w:type="paragraph" w:styleId="FootnoteText">
    <w:name w:val="footnote text"/>
    <w:basedOn w:val="Normal"/>
    <w:link w:val="FootnoteTextChar"/>
    <w:uiPriority w:val="99"/>
    <w:semiHidden/>
    <w:unhideWhenUsed/>
    <w:rsid w:val="00303676"/>
    <w:rPr>
      <w:sz w:val="20"/>
      <w:szCs w:val="20"/>
    </w:rPr>
  </w:style>
  <w:style w:type="character" w:customStyle="1" w:styleId="FootnoteTextChar">
    <w:name w:val="Footnote Text Char"/>
    <w:basedOn w:val="DefaultParagraphFont"/>
    <w:link w:val="FootnoteText"/>
    <w:uiPriority w:val="99"/>
    <w:semiHidden/>
    <w:rsid w:val="00303676"/>
    <w:rPr>
      <w:sz w:val="20"/>
      <w:szCs w:val="20"/>
    </w:rPr>
  </w:style>
  <w:style w:type="character" w:styleId="FootnoteReference">
    <w:name w:val="footnote reference"/>
    <w:basedOn w:val="DefaultParagraphFont"/>
    <w:uiPriority w:val="99"/>
    <w:semiHidden/>
    <w:unhideWhenUsed/>
    <w:rsid w:val="00303676"/>
    <w:rPr>
      <w:vertAlign w:val="superscript"/>
    </w:rPr>
  </w:style>
  <w:style w:type="paragraph" w:styleId="ListParagraph">
    <w:name w:val="List Paragraph"/>
    <w:basedOn w:val="Normal"/>
    <w:uiPriority w:val="34"/>
    <w:qFormat/>
    <w:rsid w:val="00CE1051"/>
    <w:pPr>
      <w:ind w:left="720"/>
      <w:contextualSpacing/>
    </w:pPr>
  </w:style>
  <w:style w:type="table" w:styleId="TableGrid">
    <w:name w:val="Table Grid"/>
    <w:basedOn w:val="TableNormal"/>
    <w:uiPriority w:val="59"/>
    <w:rsid w:val="00764C1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009E2"/>
    <w:rPr>
      <w:sz w:val="20"/>
      <w:szCs w:val="20"/>
    </w:rPr>
  </w:style>
  <w:style w:type="character" w:customStyle="1" w:styleId="EndnoteTextChar">
    <w:name w:val="Endnote Text Char"/>
    <w:basedOn w:val="DefaultParagraphFont"/>
    <w:link w:val="EndnoteText"/>
    <w:uiPriority w:val="99"/>
    <w:semiHidden/>
    <w:rsid w:val="000009E2"/>
    <w:rPr>
      <w:sz w:val="20"/>
      <w:szCs w:val="20"/>
    </w:rPr>
  </w:style>
  <w:style w:type="character" w:styleId="EndnoteReference">
    <w:name w:val="endnote reference"/>
    <w:basedOn w:val="DefaultParagraphFont"/>
    <w:uiPriority w:val="99"/>
    <w:semiHidden/>
    <w:unhideWhenUsed/>
    <w:rsid w:val="000009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9A"/>
    <w:rPr>
      <w:rFonts w:ascii="Tahoma" w:hAnsi="Tahoma" w:cs="Tahoma"/>
      <w:sz w:val="16"/>
      <w:szCs w:val="16"/>
    </w:rPr>
  </w:style>
  <w:style w:type="character" w:customStyle="1" w:styleId="BalloonTextChar">
    <w:name w:val="Balloon Text Char"/>
    <w:basedOn w:val="DefaultParagraphFont"/>
    <w:link w:val="BalloonText"/>
    <w:uiPriority w:val="99"/>
    <w:semiHidden/>
    <w:rsid w:val="009E4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1123-D2D1-4AD6-A545-21E2836E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107</Pages>
  <Words>54774</Words>
  <Characters>312218</Characters>
  <Application>Microsoft Office Word</Application>
  <DocSecurity>0</DocSecurity>
  <Lines>2601</Lines>
  <Paragraphs>732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366260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GCDA</cp:lastModifiedBy>
  <cp:revision>108</cp:revision>
  <dcterms:created xsi:type="dcterms:W3CDTF">2019-05-29T13:21:00Z</dcterms:created>
  <dcterms:modified xsi:type="dcterms:W3CDTF">2019-06-06T14:14:00Z</dcterms:modified>
</cp:coreProperties>
</file>